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eastAsia="Segoe UI" w:cs="Times New Roman"/>
          <w:i w:val="0"/>
          <w:iCs w:val="0"/>
          <w:caps w:val="0"/>
          <w:color w:val="374151"/>
          <w:spacing w:val="0"/>
          <w:sz w:val="24"/>
          <w:szCs w:val="24"/>
        </w:rPr>
      </w:pPr>
      <w:bookmarkStart w:id="0" w:name="_GoBack"/>
      <w:bookmarkEnd w:id="0"/>
      <w:r>
        <w:rPr>
          <w:rFonts w:hint="default" w:ascii="Times New Roman" w:hAnsi="Times New Roman" w:eastAsia="Segoe UI" w:cs="Times New Roman"/>
          <w:i w:val="0"/>
          <w:iCs w:val="0"/>
          <w:caps w:val="0"/>
          <w:color w:val="374151"/>
          <w:spacing w:val="0"/>
          <w:sz w:val="24"/>
          <w:szCs w:val="24"/>
        </w:rPr>
        <w:t>The advantages of electric cars are further underscored by the shifting landscape of consumer preferences. As sustainability takes center stage in consumer decision-making, electric vehicles (EVs) are gaining increased traction. This shift signifies a broader societal desire for eco-conscious choices, with consumers increasingly inclined to opt for products and services that align with their commitment to reducing carbon footprints. Electric cars, being inherently cleaner and producing lower emissions than their fuel counterparts, perfectly align with this cultural shift towards environmental responsibility. As awareness of climate change intensifies, consumers view electric cars not just as a technological innovation but as a tangible manifestation of their eco-conscious sentiments. Beyond environmental considerations, the appeal of electric cars extends to their integration with modern lifestyles and continual design improvements. The sleek and technologically advanced features of electric vehicles resonate with consumers seeking both sustainable options and cutting-edge innovations in their transportation choices. Government incentives and initiatives further accelerate the shift in consumer preferences. Subsidies, tax credits, and other benefits aimed at promoting electric car adoption make them economically attractive. As governments worldwide intensify efforts to reduce reliance on fossil fuels, consumers find additional motivation to choose electric cars. In conclusion, the advantages of electric cars are not limited to operational efficiency or environmental impact alone; they align with a broader societal shift in consumer values. The growing preference for sustainability, coupled with governmental support, positions electric cars as not only environmentally responsible but also economically attractive choices for the contemporary consumer. This transformative shift in consumer preferences solidifies the momentum of electric cars, establishing them as the forefront runners in the ongoing evolution of the automotive industry.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FmMGZjMTgxMTY1YTEyZjAyYjRhY2QzMTllNmFiMGYifQ=="/>
  </w:docVars>
  <w:rsids>
    <w:rsidRoot w:val="00000000"/>
    <w:rsid w:val="4052117F"/>
    <w:rsid w:val="651D7777"/>
    <w:rsid w:val="7F850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2023-12-13T09:18:00Z</dcterms:created>
  <dc:creator>god</dc:creator>
  <cp:lastModifiedBy>人间烟火</cp:lastModifiedBy>
  <dcterms:modified xsi:type="dcterms:W3CDTF">2023-12-24T11:17:50Z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08294B2E14E8431AA89D4F871E9E18CB_12</vt:lpwstr>
  </property>
</Properties>
</file>