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D6" w:rsidRDefault="00C90FBC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ab/>
      </w:r>
      <w:proofErr w:type="gramStart"/>
      <w:r w:rsidR="00B86CE9">
        <w:rPr>
          <w:rFonts w:hint="eastAsia"/>
          <w:b/>
          <w:bCs/>
          <w:sz w:val="32"/>
          <w:szCs w:val="32"/>
        </w:rPr>
        <w:t>江西省众恒电器</w:t>
      </w:r>
      <w:proofErr w:type="gramEnd"/>
      <w:r w:rsidR="00B86CE9">
        <w:rPr>
          <w:rFonts w:hint="eastAsia"/>
          <w:b/>
          <w:bCs/>
          <w:sz w:val="32"/>
          <w:szCs w:val="32"/>
        </w:rPr>
        <w:t>有限公司</w:t>
      </w:r>
      <w:r>
        <w:rPr>
          <w:rFonts w:hint="eastAsia"/>
          <w:b/>
          <w:bCs/>
          <w:sz w:val="32"/>
          <w:szCs w:val="32"/>
        </w:rPr>
        <w:tab/>
      </w:r>
    </w:p>
    <w:p w:rsidR="00B73AD6" w:rsidRDefault="00C90FB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8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672"/>
        <w:gridCol w:w="1330"/>
        <w:gridCol w:w="1772"/>
        <w:gridCol w:w="1262"/>
        <w:gridCol w:w="3400"/>
        <w:gridCol w:w="1889"/>
        <w:gridCol w:w="1873"/>
      </w:tblGrid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89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73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/</w:t>
            </w:r>
          </w:p>
          <w:p w:rsidR="00B73AD6" w:rsidRDefault="00C90FBC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切割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机械伤害、其它伤害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B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橙色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放置玻璃渣的车子，不可放的过满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掰边条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时，要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对边条轻拿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轻放，以免玻璃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渣片溅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入眼睛伤及自己或他人。</w:t>
            </w:r>
          </w:p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自动切割机作业运行时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操作人员应离开设备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50cm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以外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防止运行的设备伤人。</w:t>
            </w:r>
          </w:p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自动上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片设备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吸盘吸附玻璃时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,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周围严禁站人，以免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玻璃吸坏时或吸片架倾倒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伤人。</w:t>
            </w:r>
          </w:p>
          <w:p w:rsidR="00B73AD6" w:rsidRDefault="00C90FBC">
            <w:pPr>
              <w:pStyle w:val="Default"/>
              <w:numPr>
                <w:ilvl w:val="0"/>
                <w:numId w:val="1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磨边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砂轮片飞出、玻璃掉落、飞出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机械伤害、触电、其它伤害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把砂轮片后的螺丝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固定紧并保持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防护罩完好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平磨区地面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积水较多，比较容易出现滑倒伤人事件；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必须垫木垫板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。磨边机前，要防止手、衣物等被玻璃压住；磨边区玻璃渣较多，应及时清除。</w:t>
            </w:r>
          </w:p>
          <w:p w:rsidR="00B73AD6" w:rsidRDefault="00C90FBC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避免水喷洒在控制柜上，要保持控制柜干燥，杜绝湿手触摸控制柜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numPr>
                <w:ilvl w:val="0"/>
                <w:numId w:val="2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钢化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接触高温部位、玻璃掉落、飞出、设备故障运行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灼烫、触电、火灾、其它伤害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操作工应对加热系统多加观察，发现异常，应及时找维修工处理；炉子在保温时，应关掉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加热总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电源，以免电源失控。</w:t>
            </w:r>
          </w:p>
          <w:p w:rsidR="00B73AD6" w:rsidRDefault="00C90FBC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观察窗不能随意打开；链条及齿轮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可用手触摸，以免挤伤手；操作工在风机室不可逗留，以免受到伤害；电控系统出现故障时，应及时将炉中玻璃摇出，以免出现粘炉。</w:t>
            </w:r>
          </w:p>
          <w:p w:rsidR="00B73AD6" w:rsidRDefault="00C90FBC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检修风栅时，要插安全销，以免风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栅突然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下落；擦陶瓷辊时，升炉体后要插安全销并要戴口罩，以免造成设备和人身伤害。</w:t>
            </w:r>
          </w:p>
          <w:p w:rsidR="00B73AD6" w:rsidRDefault="00C90FBC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观察钢化玻璃平整度时，一定要戴平光镜，以免玻璃自爆伤及眼睛。</w:t>
            </w:r>
          </w:p>
          <w:p w:rsidR="00B73AD6" w:rsidRDefault="00C90FBC">
            <w:pPr>
              <w:pStyle w:val="Default"/>
              <w:numPr>
                <w:ilvl w:val="0"/>
                <w:numId w:val="3"/>
              </w:numPr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中空、夹胶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玻璃掉落、飞出、高压釜内超温超压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灼烫、触电、容器爆炸、其它伤害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在合片时应注意边角，确保各角边不与任何东西相碰撞。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在做玻璃时要做到手不靠近链条并用链条盒将链条罩牢；调试压辊时，不要将手放入压辊下面，必要时用木板代替；玻璃通过辊压机时应检查玻璃的厚度、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长度使进辊压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机的宽度不大于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2.5m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防止玻璃受阻伤害机器。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在高压釜运行过程中，操作人员应坚守岗位，遇到温度、压力急剧上升情况时，应立即降温、紧急排气防止</w:t>
            </w:r>
            <w:hyperlink r:id="rId8" w:history="1">
              <w:r>
                <w:rPr>
                  <w:rFonts w:ascii="宋体" w:eastAsia="宋体" w:hAnsi="宋体" w:cs="FZSSK" w:hint="eastAsia"/>
                  <w:sz w:val="21"/>
                  <w:szCs w:val="21"/>
                </w:rPr>
                <w:t>事故</w:t>
              </w:r>
            </w:hyperlink>
            <w:r>
              <w:rPr>
                <w:rFonts w:ascii="宋体" w:eastAsia="宋体" w:hAnsi="宋体" w:cs="FZSSK" w:hint="eastAsia"/>
                <w:sz w:val="21"/>
                <w:szCs w:val="21"/>
              </w:rPr>
              <w:t>发生。若风机出现异常，应及时找维修人员进行维修。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4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压力容器应定期校验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(5)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切胶片时身子应避开，其他人员应与切</w:t>
            </w:r>
            <w:proofErr w:type="gramStart"/>
            <w:r>
              <w:rPr>
                <w:rFonts w:ascii="宋体" w:eastAsia="宋体" w:hAnsi="宋体" w:cs="FZSSK" w:hint="eastAsia"/>
                <w:sz w:val="21"/>
                <w:szCs w:val="21"/>
              </w:rPr>
              <w:t>胶片工保持</w:t>
            </w:r>
            <w:proofErr w:type="gramEnd"/>
            <w:r>
              <w:rPr>
                <w:rFonts w:ascii="宋体" w:eastAsia="宋体" w:hAnsi="宋体" w:cs="FZSSK" w:hint="eastAsia"/>
                <w:sz w:val="21"/>
                <w:szCs w:val="21"/>
              </w:rPr>
              <w:t>安全距离。</w:t>
            </w: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装箱</w:t>
            </w:r>
            <w:r>
              <w:rPr>
                <w:rFonts w:ascii="宋体" w:eastAsia="宋体" w:hAnsi="宋体" w:cs="TBCDEE+E-B6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KTK" w:hint="eastAsia"/>
                <w:sz w:val="21"/>
                <w:szCs w:val="21"/>
              </w:rPr>
              <w:t>储运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玻璃堆垛旋转的机械手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用防护围栏遮护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防护围栏的关开与机械手开关互为保护连锁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悬挂警示标志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889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72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玻璃木箱吊装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钢带断裂木箱破损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吊装前应检查木箱是否有卡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碰的情况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2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吊装前应检查木箱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钢带的安全性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吊装路径应无人员通过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，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作业场所空间满足吊装要求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4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吊装作业应有专人负责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5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穿戴好个人防护用品</w:t>
            </w:r>
          </w:p>
        </w:tc>
        <w:tc>
          <w:tcPr>
            <w:tcW w:w="1889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《</w:t>
            </w:r>
            <w:r>
              <w:rPr>
                <w:rFonts w:ascii="宋体" w:eastAsia="宋体" w:hAnsi="宋体" w:cs="FZSSK" w:hint="eastAsia"/>
                <w:sz w:val="21"/>
                <w:szCs w:val="21"/>
              </w:rPr>
              <w:t>起重机械使用管理规则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》（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TSGQ5001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）</w:t>
            </w:r>
            <w:r>
              <w:rPr>
                <w:rFonts w:ascii="宋体" w:eastAsia="宋体" w:hAnsi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B73AD6">
        <w:trPr>
          <w:trHeight w:val="187"/>
          <w:tblHeader/>
        </w:trPr>
        <w:tc>
          <w:tcPr>
            <w:tcW w:w="645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6</w:t>
            </w:r>
          </w:p>
        </w:tc>
        <w:tc>
          <w:tcPr>
            <w:tcW w:w="16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  <w:r>
              <w:rPr>
                <w:rFonts w:ascii="宋体" w:eastAsia="宋体" w:hAnsi="宋体" w:cs="FZKTK" w:hint="eastAsia"/>
                <w:sz w:val="21"/>
                <w:szCs w:val="21"/>
              </w:rPr>
              <w:t>配电室</w:t>
            </w:r>
          </w:p>
        </w:tc>
        <w:tc>
          <w:tcPr>
            <w:tcW w:w="1330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  <w:r>
              <w:rPr>
                <w:rFonts w:ascii="宋体" w:eastAsia="宋体" w:hAnsi="宋体" w:cs="FZSSK" w:hint="eastAsia"/>
                <w:sz w:val="21"/>
                <w:szCs w:val="21"/>
              </w:rPr>
              <w:t>触电、火灾</w:t>
            </w:r>
          </w:p>
        </w:tc>
        <w:tc>
          <w:tcPr>
            <w:tcW w:w="1262" w:type="dxa"/>
            <w:vAlign w:val="center"/>
          </w:tcPr>
          <w:p w:rsidR="00B73AD6" w:rsidRDefault="00C90FBC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SBCDEE+E-BZ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SBCDEE+E-BZ" w:hint="eastAsia"/>
                <w:sz w:val="21"/>
                <w:szCs w:val="21"/>
              </w:rPr>
              <w:t>黄色</w:t>
            </w:r>
          </w:p>
        </w:tc>
        <w:tc>
          <w:tcPr>
            <w:tcW w:w="3400" w:type="dxa"/>
            <w:vAlign w:val="center"/>
          </w:tcPr>
          <w:p w:rsidR="00B73AD6" w:rsidRDefault="00C90FBC">
            <w:pPr>
              <w:pStyle w:val="Default"/>
              <w:numPr>
                <w:ilvl w:val="0"/>
                <w:numId w:val="4"/>
              </w:numPr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 w:rsidR="00B73AD6" w:rsidRDefault="00C90FBC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ascii="宋体" w:eastAsia="宋体" w:hAnsi="宋体" w:cs="宋体" w:hint="eastAsia"/>
                <w:szCs w:val="21"/>
              </w:rPr>
              <w:t>安装满足线路通（断）能力的开关、短路保护、过负荷保护和接地故障保护等装置。</w:t>
            </w:r>
          </w:p>
          <w:p w:rsidR="00B73AD6" w:rsidRDefault="00C90FBC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）接地可靠</w:t>
            </w:r>
          </w:p>
        </w:tc>
        <w:tc>
          <w:tcPr>
            <w:tcW w:w="1889" w:type="dxa"/>
            <w:vAlign w:val="center"/>
          </w:tcPr>
          <w:p w:rsidR="00B73AD6" w:rsidRDefault="00C90FBC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《低压配电设计规范》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(GB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50054)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《建筑物防雷设计规范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GB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50057 )</w:t>
            </w:r>
          </w:p>
        </w:tc>
        <w:tc>
          <w:tcPr>
            <w:tcW w:w="1873" w:type="dxa"/>
            <w:vAlign w:val="center"/>
          </w:tcPr>
          <w:p w:rsidR="00B73AD6" w:rsidRDefault="00B73AD6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B73AD6" w:rsidRDefault="00B73AD6"/>
    <w:p w:rsidR="00B73AD6" w:rsidRDefault="00B73AD6"/>
    <w:sectPr w:rsidR="00B73AD6">
      <w:headerReference w:type="default" r:id="rId9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FBC" w:rsidRDefault="00C90FBC">
      <w:r>
        <w:separator/>
      </w:r>
    </w:p>
  </w:endnote>
  <w:endnote w:type="continuationSeparator" w:id="0">
    <w:p w:rsidR="00C90FBC" w:rsidRDefault="00C9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FBC" w:rsidRDefault="00C90FBC">
      <w:r>
        <w:separator/>
      </w:r>
    </w:p>
  </w:footnote>
  <w:footnote w:type="continuationSeparator" w:id="0">
    <w:p w:rsidR="00C90FBC" w:rsidRDefault="00C9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AD6" w:rsidRDefault="00C90FBC">
    <w:pPr>
      <w:pStyle w:val="a4"/>
      <w:jc w:val="right"/>
    </w:pPr>
    <w:r>
      <w:rPr>
        <w:rFonts w:hint="eastAsia"/>
      </w:rPr>
      <w:t>DXCXGH/AQB4-0515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B73AD6"/>
    <w:rsid w:val="00B86CE9"/>
    <w:rsid w:val="00C90FBC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4C2D9E-93F1-4903-AE31-3A3BB93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jiaoli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>Micorosoft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2</cp:revision>
  <dcterms:created xsi:type="dcterms:W3CDTF">2019-08-12T08:18:00Z</dcterms:created>
  <dcterms:modified xsi:type="dcterms:W3CDTF">2021-05-10T08:19:00Z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