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Y="355"/>
        <w:tblW w:w="14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  <w:lang w:eastAsia="zh-CN"/>
              </w:rPr>
              <w:t>SRJHGX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>
            <w:pPr>
              <w:spacing w:line="320" w:lineRule="exact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828" w:type="dxa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828" w:type="dxa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8314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作业现场定置摆放良好。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作业人员按规定正确佩戴和使用劳保用品。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管线等设施无跑、冒、滴、漏现象，卫生状况良好。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各联锁装置必须投用，完好。摘除、恢复连锁装置必须履行相关手续。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安全防护设施、警示标牌完好、齐全、整洁。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动火作业、吊装作业、高处作业等无违章现象。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厂区内消防栓开启灵活，出水正常，排水良好，出水口扪盖、橡胶垫圈齐全完好。消防枪消防水带等完好。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消防水管管径及消防栓的配备数量和地点应符合国家标准。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消防柜内器材放置在干燥、清洁处，附件完好无损。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消防通道畅通无阻，消防水管保温良好。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化学品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化学品是否有一书一签，储存地点和储存方式是否符合有关规定。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废弃的危险化学品包装物是否进行了无害化处理。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消防器材是否完好，并设置在明显部位。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避雷设施完好且冲击接地电阻小于10Ω。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各安全阀、压力表完好且均在检验期内，远传信号良好，上下限报警正常。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各联锁装置运行正常，且定期试验。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各应急救援器材完好有效，且定期维护。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安全标识完好。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防雷设施完好，防腐处理完好，通风、防汛设施完好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F_Fang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F0D53"/>
    <w:multiLevelType w:val="singleLevel"/>
    <w:tmpl w:val="9CEF0D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626901"/>
    <w:multiLevelType w:val="singleLevel"/>
    <w:tmpl w:val="F16269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6437B9"/>
    <w:multiLevelType w:val="singleLevel"/>
    <w:tmpl w:val="266437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4B0A5F7"/>
    <w:multiLevelType w:val="singleLevel"/>
    <w:tmpl w:val="44B0A5F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29DF731"/>
    <w:multiLevelType w:val="singleLevel"/>
    <w:tmpl w:val="729DF7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3F6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20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5A69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1FFF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A1C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25892810"/>
    <w:rsid w:val="779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196</Words>
  <Characters>1119</Characters>
  <Lines>9</Lines>
  <Paragraphs>2</Paragraphs>
  <TotalTime>25</TotalTime>
  <ScaleCrop>false</ScaleCrop>
  <LinksUpToDate>false</LinksUpToDate>
  <CharactersWithSpaces>1313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2019-06-18T01:07:00Z</dcterms:created>
  <dc:creator>Admin</dc:creator>
  <cp:lastModifiedBy>admin</cp:lastModifiedBy>
  <dcterms:modified xsi:type="dcterms:W3CDTF">2021-12-27T03:02:05Z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07B817630FA94805A8B2FE3EE39A8B55</vt:lpwstr>
  </property>
</Properties>
</file>