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>
            <w:pPr>
              <w:jc w:val="right"/>
            </w:pPr>
            <w:r>
              <w:rPr>
                <w:rFonts w:hint="eastAsia"/>
                <w:lang w:eastAsia="zh-CN"/>
              </w:rPr>
              <w:t>SRJHGX</w:t>
            </w:r>
            <w:r>
              <w:t>/AQB4-050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华文隶书" w:hAnsi="宋体" w:eastAsia="华文隶书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right="-107" w:rightChars="-51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检查本车间操作规程执行情况；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人员劳动防护用品穿戴情况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人员精神状态情况。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bookmarkStart w:id="0" w:name="_GoBack"/>
            <w:bookmarkEnd w:id="0"/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1、作业现场定置摆放良好。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2、作业人员按规定正确佩戴和使用劳保用品。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4、管线等设施无跑、冒、滴、漏现象，卫生状况良好。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5、各联锁装置必须投用，完好。摘除、恢复连锁装置必须履行相关手续。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6、安全防护设施、警示标牌完好、齐全、整洁。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查开展班组安全活动情况，班组安全活动应有内容、有记录；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公司管理人员和安全员应对安全活动记录进行检查、签字；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747F4"/>
    <w:multiLevelType w:val="singleLevel"/>
    <w:tmpl w:val="AB2747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5AAC99"/>
    <w:multiLevelType w:val="singleLevel"/>
    <w:tmpl w:val="E05AA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1F8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27AC5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8CF3523"/>
    <w:rsid w:val="49471C49"/>
    <w:rsid w:val="4DA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149</Words>
  <Characters>850</Characters>
  <Lines>7</Lines>
  <Paragraphs>1</Paragraphs>
  <TotalTime>14</TotalTime>
  <ScaleCrop>false</ScaleCrop>
  <LinksUpToDate>false</LinksUpToDate>
  <CharactersWithSpaces>998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2019-06-18T01:11:00Z</dcterms:created>
  <dc:creator>Admin</dc:creator>
  <cp:lastModifiedBy>Brandon Ingram</cp:lastModifiedBy>
  <cp:lastPrinted>2021-12-30T01:45:47Z</cp:lastPrinted>
  <dcterms:modified xsi:type="dcterms:W3CDTF">2021-12-30T01:49:55Z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B75E2AE1C6B742CC8EC98FF2DEA5BCAB</vt:lpwstr>
  </property>
</Properties>
</file>