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55"/>
        <w:tblW w:w="14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84"/>
        <w:gridCol w:w="776"/>
        <w:gridCol w:w="2691"/>
        <w:gridCol w:w="5623"/>
        <w:gridCol w:w="344"/>
        <w:gridCol w:w="916"/>
        <w:gridCol w:w="384"/>
        <w:gridCol w:w="516"/>
        <w:gridCol w:w="1980"/>
      </w:tblGrid>
      <w:tr w:rsidR="00CD3E2C" w:rsidTr="001D5FC1">
        <w:trPr>
          <w:cantSplit/>
        </w:trPr>
        <w:tc>
          <w:tcPr>
            <w:tcW w:w="1312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467" w:type="dxa"/>
            <w:gridSpan w:val="2"/>
            <w:vAlign w:val="center"/>
          </w:tcPr>
          <w:p w:rsidR="00CD3E2C" w:rsidRDefault="00CD3E2C" w:rsidP="00E034B1">
            <w:pPr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967" w:type="dxa"/>
            <w:gridSpan w:val="2"/>
            <w:vAlign w:val="center"/>
          </w:tcPr>
          <w:p w:rsidR="00CD3E2C" w:rsidRDefault="00CD3E2C" w:rsidP="00712C1E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 w:rsidR="00CD3E2C" w:rsidRPr="007224B9" w:rsidRDefault="00C00D55" w:rsidP="00712C1E">
            <w:pPr>
              <w:jc w:val="right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SRWHGX</w:t>
            </w:r>
            <w:r w:rsidR="007224B9">
              <w:rPr>
                <w:rFonts w:ascii="宋体" w:hAnsi="宋体" w:hint="eastAsia"/>
                <w:bCs/>
                <w:sz w:val="28"/>
                <w:szCs w:val="28"/>
              </w:rPr>
              <w:t>/AQB4-0501</w:t>
            </w:r>
          </w:p>
        </w:tc>
        <w:tc>
          <w:tcPr>
            <w:tcW w:w="1300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CD3E2C" w:rsidTr="001D5FC1">
        <w:trPr>
          <w:cantSplit/>
        </w:trPr>
        <w:tc>
          <w:tcPr>
            <w:tcW w:w="1312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30" w:type="dxa"/>
            <w:gridSpan w:val="8"/>
            <w:vAlign w:val="center"/>
          </w:tcPr>
          <w:p w:rsidR="00CD3E2C" w:rsidRPr="004953BA" w:rsidRDefault="00CD3E2C" w:rsidP="001D5FC1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4C55BF">
              <w:rPr>
                <w:rFonts w:ascii="仿宋_GB2312" w:eastAsia="仿宋_GB2312" w:hAnsi="宋体" w:hint="eastAsia"/>
                <w:szCs w:val="21"/>
              </w:rPr>
              <w:t>每</w:t>
            </w:r>
            <w:r>
              <w:rPr>
                <w:rFonts w:ascii="仿宋_GB2312" w:eastAsia="仿宋_GB2312" w:hAnsi="宋体" w:hint="eastAsia"/>
                <w:szCs w:val="21"/>
              </w:rPr>
              <w:t>季</w:t>
            </w:r>
          </w:p>
        </w:tc>
      </w:tr>
      <w:tr w:rsidR="00CD3E2C" w:rsidTr="001D5FC1">
        <w:trPr>
          <w:cantSplit/>
          <w:trHeight w:val="411"/>
        </w:trPr>
        <w:tc>
          <w:tcPr>
            <w:tcW w:w="828" w:type="dxa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检查评价</w:t>
            </w:r>
          </w:p>
        </w:tc>
      </w:tr>
      <w:tr w:rsidR="00CD3E2C" w:rsidTr="001D5FC1">
        <w:trPr>
          <w:cantSplit/>
          <w:trHeight w:val="134"/>
        </w:trPr>
        <w:tc>
          <w:tcPr>
            <w:tcW w:w="828" w:type="dxa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8314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不符合及主要问题</w:t>
            </w:r>
          </w:p>
        </w:tc>
      </w:tr>
      <w:tr w:rsidR="00CD3E2C" w:rsidRPr="00D5004A" w:rsidTr="001D5FC1">
        <w:trPr>
          <w:trHeight w:val="180"/>
        </w:trPr>
        <w:tc>
          <w:tcPr>
            <w:tcW w:w="828" w:type="dxa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作业现场定置摆放良好。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作业人员按规定正确佩戴和使用劳保用品。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岗位操作人员严格遵守安全操作规程，控制的各项指标的执行良好，操作记录及时、真实，字迹清晰工整。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管线等设施无跑、冒、滴、漏现象，卫生状况良好。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各联锁装置必须投用，完好。摘除、恢复连锁装置必须履行相关手续。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安全防护设施、警示标牌完好、齐全、整洁。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动火作业、吊装作业、高处作业等无违章现象。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查记录</w:t>
            </w:r>
            <w:proofErr w:type="gramEnd"/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D5004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420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073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</w:t>
            </w:r>
            <w:r>
              <w:rPr>
                <w:rFonts w:ascii="仿宋_GB2312" w:eastAsia="仿宋_GB2312" w:hint="eastAsia"/>
                <w:szCs w:val="21"/>
              </w:rPr>
              <w:lastRenderedPageBreak/>
              <w:t>过负荷运行。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242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4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厂区内消防栓开启灵活，出水正常，排水良好，出水口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扪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盖、橡胶垫圈齐全完好。消防枪消防水带等完好。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消防水管管径及消防栓的配备数量和地点应符合国家标准。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消防柜内器材放置在干燥、清洁处，附件完好无损。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消防通道畅通无阻，消防水管保温良好。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046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化学品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化学品是否有一书一签，储存地点和储存方式是否符合有关规定。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使用过程中，防中毒、防飞溅、防火防爆、防静电、防泄漏等防护措施是否落实到位。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废弃的危险化学品包装物是否进行了无害化处理。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225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消防器材是否完好，并设置在明显部位。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避雷设施完好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且冲击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接地电阻小于10Ω。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各安全阀、压力表完好且均在检验期内，远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传信号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良好，上下限报警正常。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各联锁装置运行正常，且定期试验。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各应急救援器材完好有效，且定期维护。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安全标识完好。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624397">
            <w:pPr>
              <w:tabs>
                <w:tab w:val="left" w:pos="1800"/>
              </w:tabs>
              <w:spacing w:line="320" w:lineRule="exact"/>
              <w:ind w:firstLineChars="100" w:firstLine="210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300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防雷设施完好，防腐处理完好，通风、防汛设施完好</w:t>
            </w:r>
          </w:p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502586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</w:tbl>
    <w:p w:rsidR="00A4327E" w:rsidRDefault="00A4327E"/>
    <w:sectPr w:rsidR="00A4327E" w:rsidSect="00624397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C08" w:rsidRDefault="00D36C08" w:rsidP="00E034B1">
      <w:r>
        <w:separator/>
      </w:r>
    </w:p>
  </w:endnote>
  <w:endnote w:type="continuationSeparator" w:id="0">
    <w:p w:rsidR="00D36C08" w:rsidRDefault="00D36C08" w:rsidP="00E0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F_FangSong">
    <w:altName w:val="宋体"/>
    <w:charset w:val="86"/>
    <w:family w:val="auto"/>
    <w:pitch w:val="default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C08" w:rsidRDefault="00D36C08" w:rsidP="00E034B1">
      <w:r>
        <w:separator/>
      </w:r>
    </w:p>
  </w:footnote>
  <w:footnote w:type="continuationSeparator" w:id="0">
    <w:p w:rsidR="00D36C08" w:rsidRDefault="00D36C08" w:rsidP="00E03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4B1" w:rsidRDefault="00E034B1" w:rsidP="00384D8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EF0D53"/>
    <w:multiLevelType w:val="singleLevel"/>
    <w:tmpl w:val="9CEF0D5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1626901"/>
    <w:multiLevelType w:val="singleLevel"/>
    <w:tmpl w:val="F162690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66437B9"/>
    <w:multiLevelType w:val="singleLevel"/>
    <w:tmpl w:val="266437B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4B0A5F7"/>
    <w:multiLevelType w:val="singleLevel"/>
    <w:tmpl w:val="44B0A5F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29DF731"/>
    <w:multiLevelType w:val="singleLevel"/>
    <w:tmpl w:val="729DF731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E2C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5DA5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4D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4D87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37D"/>
    <w:rsid w:val="004C6EE9"/>
    <w:rsid w:val="004C7DBF"/>
    <w:rsid w:val="004C7DC6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86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397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4543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C1E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4B9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1B87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5D15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18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4D9E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77D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257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6CB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0D55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5C22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3E2C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8E7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6C08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04A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4B1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AE8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C7A0E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2DD644-3559-4AAC-AACD-0287FFC2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2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2019-06-18T01:07:00Z</dcterms:created>
  <dcterms:modified xsi:type="dcterms:W3CDTF">2021-05-10T02:48:00Z</dcterms:modified>
</cp:coreProperties>
</file>