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上饶市汇硕光电有限公司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1</w:t>
      </w:r>
      <w:r>
        <w:rPr>
          <w:rFonts w:ascii="宋体" w:hAnsi="宋体"/>
          <w:sz w:val="28"/>
          <w:szCs w:val="28"/>
          <w:u w:val="single"/>
        </w:rPr>
        <w:t>8</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19</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7"/>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color w:val="FF0000"/>
                <w:szCs w:val="21"/>
              </w:rPr>
            </w:pPr>
          </w:p>
        </w:tc>
        <w:tc>
          <w:tcPr>
            <w:tcW w:w="1249" w:type="dxa"/>
            <w:vAlign w:val="center"/>
          </w:tcPr>
          <w:p>
            <w:pPr>
              <w:spacing w:line="220" w:lineRule="exact"/>
              <w:jc w:val="center"/>
              <w:rPr>
                <w:rFonts w:hint="eastAsia" w:ascii="宋体" w:hAnsi="宋体" w:eastAsia="宋体"/>
                <w:bCs/>
                <w:color w:val="FF0000"/>
                <w:szCs w:val="21"/>
                <w:lang w:eastAsia="zh-CN"/>
              </w:rPr>
            </w:pPr>
            <w:r>
              <w:rPr>
                <w:rFonts w:hint="eastAsia" w:ascii="宋体" w:hAnsi="宋体"/>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eastAsia" w:ascii="宋体" w:hAnsi="宋体" w:eastAsia="宋体"/>
                <w:b/>
                <w:bCs/>
                <w:szCs w:val="21"/>
                <w:lang w:eastAsia="zh-CN"/>
              </w:rPr>
            </w:pPr>
            <w:r>
              <w:rPr>
                <w:rFonts w:hint="eastAsia" w:ascii="宋体" w:hAnsi="宋体"/>
                <w:b/>
                <w:bCs/>
                <w:szCs w:val="21"/>
              </w:rPr>
              <w:t>1</w:t>
            </w:r>
            <w:r>
              <w:rPr>
                <w:rFonts w:hint="eastAsia" w:ascii="宋体" w:hAnsi="宋体"/>
                <w:b/>
                <w:bCs/>
                <w:szCs w:val="21"/>
                <w:lang w:val="en-US" w:eastAsia="zh-CN"/>
              </w:rPr>
              <w:t>5</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p>
        </w:tc>
        <w:tc>
          <w:tcPr>
            <w:tcW w:w="1249" w:type="dxa"/>
            <w:vAlign w:val="center"/>
          </w:tcPr>
          <w:p>
            <w:pPr>
              <w:spacing w:line="240" w:lineRule="exact"/>
              <w:jc w:val="center"/>
              <w:rPr>
                <w:rFonts w:ascii="宋体" w:hAnsi="宋体"/>
                <w:bCs/>
                <w:i/>
                <w:iCs/>
                <w:szCs w:val="21"/>
              </w:rPr>
            </w:pPr>
            <w:r>
              <w:rPr>
                <w:rFonts w:hint="default" w:ascii="宋体" w:hAnsi="宋体"/>
                <w:bCs/>
                <w:i/>
                <w:iCs/>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default" w:ascii="宋体" w:hAnsi="宋体"/>
                <w:b/>
                <w:bCs/>
                <w:szCs w:val="21"/>
                <w:lang w:val="en-US"/>
              </w:rPr>
            </w:pPr>
            <w:r>
              <w:rPr>
                <w:rFonts w:hint="default" w:ascii="宋体" w:hAnsi="宋体"/>
                <w:b/>
                <w:bCs/>
                <w:szCs w:val="21"/>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无职业健康体检费用的使用计划</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eastAsia="zh-CN"/>
              </w:rPr>
              <w:t>未进行考核</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hint="eastAsia" w:ascii="宋体" w:hAnsi="宋体" w:eastAsia="宋体"/>
                <w:b/>
                <w:bCs/>
                <w:szCs w:val="21"/>
                <w:lang w:eastAsia="zh-CN"/>
              </w:rPr>
            </w:pPr>
            <w:r>
              <w:rPr>
                <w:rFonts w:ascii="宋体" w:hAnsi="宋体"/>
                <w:b/>
                <w:bCs/>
                <w:szCs w:val="21"/>
              </w:rPr>
              <w:t>6</w:t>
            </w:r>
            <w:r>
              <w:rPr>
                <w:rFonts w:hint="eastAsia" w:ascii="宋体" w:hAnsi="宋体"/>
                <w:b/>
                <w:b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未开展企业安全文化建设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r>
              <w:rPr>
                <w:rFonts w:hint="eastAsia" w:ascii="宋体" w:hAnsi="宋体"/>
                <w:iCs/>
                <w:color w:val="FF0000"/>
                <w:sz w:val="24"/>
              </w:rPr>
              <w:t>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color w:val="FF000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ascii="宋体" w:hAnsi="宋体"/>
                <w:i/>
                <w:iCs/>
                <w:color w:val="FF0000"/>
                <w:sz w:val="24"/>
              </w:rPr>
              <w:t>气瓶存放位置</w:t>
            </w:r>
            <w:r>
              <w:rPr>
                <w:rFonts w:hint="eastAsia" w:ascii="宋体" w:hAnsi="宋体"/>
                <w:i/>
                <w:iCs/>
                <w:color w:val="FF0000"/>
                <w:sz w:val="24"/>
              </w:rPr>
              <w:t>不符合要求</w:t>
            </w:r>
          </w:p>
        </w:tc>
        <w:tc>
          <w:tcPr>
            <w:tcW w:w="1249" w:type="dxa"/>
            <w:vAlign w:val="center"/>
          </w:tcPr>
          <w:p>
            <w:pPr>
              <w:spacing w:line="240" w:lineRule="exact"/>
              <w:ind w:firstLine="600" w:firstLineChars="250"/>
              <w:rPr>
                <w:rFonts w:ascii="宋体" w:hAnsi="宋体"/>
                <w:i/>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417" w:firstLineChars="199"/>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67</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16</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hint="eastAsia" w:ascii="宋体" w:hAnsi="宋体"/>
                <w:i/>
                <w:szCs w:val="21"/>
              </w:rPr>
              <w:t>无安全预警系统</w:t>
            </w:r>
          </w:p>
        </w:tc>
        <w:tc>
          <w:tcPr>
            <w:tcW w:w="1249" w:type="dxa"/>
            <w:vAlign w:val="center"/>
          </w:tcPr>
          <w:p>
            <w:pPr>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4</w:t>
            </w:r>
            <w:r>
              <w:rPr>
                <w:rFonts w:hint="eastAsia" w:ascii="宋体" w:hAnsi="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hint="default" w:ascii="宋体" w:hAnsi="宋体"/>
                <w:b/>
                <w:szCs w:val="21"/>
                <w:lang w:val="en-US"/>
              </w:rPr>
              <w:t>898</w:t>
            </w:r>
            <w:r>
              <w:rPr>
                <w:rFonts w:hint="eastAsia" w:ascii="宋体" w:hAnsi="宋体"/>
                <w:b/>
                <w:szCs w:val="21"/>
              </w:rPr>
              <w:t>分\缺项总计</w:t>
            </w:r>
            <w:r>
              <w:rPr>
                <w:rFonts w:hint="default" w:ascii="宋体" w:hAnsi="宋体"/>
                <w:b/>
                <w:szCs w:val="21"/>
                <w:lang w:val="en-US"/>
              </w:rPr>
              <w:t>102</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ascii="宋体" w:hAnsi="宋体"/>
                <w:b/>
                <w:szCs w:val="21"/>
              </w:rPr>
              <w:t>58</w:t>
            </w:r>
            <w:r>
              <w:rPr>
                <w:rFonts w:hint="default" w:ascii="宋体" w:hAnsi="宋体"/>
                <w:b/>
                <w:szCs w:val="21"/>
                <w:lang w:val="en-US"/>
              </w:rPr>
              <w:t>5</w:t>
            </w:r>
          </w:p>
        </w:tc>
      </w:tr>
    </w:tbl>
    <w:p>
      <w:pPr>
        <w:widowControl/>
        <w:spacing w:after="156"/>
        <w:jc w:val="center"/>
        <w:rPr>
          <w:rFonts w:ascii="宋体" w:hAnsi="宋体"/>
          <w:b/>
          <w:bCs/>
          <w:kern w:val="0"/>
          <w:sz w:val="32"/>
          <w:szCs w:val="32"/>
        </w:rPr>
      </w:pPr>
    </w:p>
    <w:p>
      <w:pPr>
        <w:widowControl/>
        <w:jc w:val="left"/>
        <w:rPr>
          <w:rFonts w:hint="eastAsia"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855BE"/>
    <w:rsid w:val="000A3BC8"/>
    <w:rsid w:val="000B5E00"/>
    <w:rsid w:val="000C769E"/>
    <w:rsid w:val="000F3531"/>
    <w:rsid w:val="000F36C5"/>
    <w:rsid w:val="000F72F3"/>
    <w:rsid w:val="00124E98"/>
    <w:rsid w:val="001360F6"/>
    <w:rsid w:val="00154E36"/>
    <w:rsid w:val="00155D8F"/>
    <w:rsid w:val="00162AD0"/>
    <w:rsid w:val="00162D0B"/>
    <w:rsid w:val="001811B3"/>
    <w:rsid w:val="00187FF2"/>
    <w:rsid w:val="0019481D"/>
    <w:rsid w:val="001A4304"/>
    <w:rsid w:val="001A750F"/>
    <w:rsid w:val="001D6E70"/>
    <w:rsid w:val="001E11FC"/>
    <w:rsid w:val="001F2CE9"/>
    <w:rsid w:val="002921CE"/>
    <w:rsid w:val="002939FB"/>
    <w:rsid w:val="002C691A"/>
    <w:rsid w:val="002D13BE"/>
    <w:rsid w:val="002E544D"/>
    <w:rsid w:val="003238E3"/>
    <w:rsid w:val="00331882"/>
    <w:rsid w:val="0035178C"/>
    <w:rsid w:val="00357261"/>
    <w:rsid w:val="00382B7C"/>
    <w:rsid w:val="00391E62"/>
    <w:rsid w:val="0039288D"/>
    <w:rsid w:val="003B5244"/>
    <w:rsid w:val="003D41F0"/>
    <w:rsid w:val="003D5A32"/>
    <w:rsid w:val="003E6163"/>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4175A"/>
    <w:rsid w:val="00B45AE0"/>
    <w:rsid w:val="00B4701E"/>
    <w:rsid w:val="00B4705B"/>
    <w:rsid w:val="00B61E27"/>
    <w:rsid w:val="00B73B72"/>
    <w:rsid w:val="00B74954"/>
    <w:rsid w:val="00B775BC"/>
    <w:rsid w:val="00B84080"/>
    <w:rsid w:val="00BA6F4C"/>
    <w:rsid w:val="00BB44CC"/>
    <w:rsid w:val="00BB67FC"/>
    <w:rsid w:val="00BB6E6E"/>
    <w:rsid w:val="00C32712"/>
    <w:rsid w:val="00C438EF"/>
    <w:rsid w:val="00C50EE7"/>
    <w:rsid w:val="00C9126F"/>
    <w:rsid w:val="00CB2DF7"/>
    <w:rsid w:val="00CD3531"/>
    <w:rsid w:val="00CE17A9"/>
    <w:rsid w:val="00CE72E0"/>
    <w:rsid w:val="00CF4491"/>
    <w:rsid w:val="00CF7B72"/>
    <w:rsid w:val="00D037A1"/>
    <w:rsid w:val="00D11D72"/>
    <w:rsid w:val="00D11EDE"/>
    <w:rsid w:val="00D3091B"/>
    <w:rsid w:val="00D3118E"/>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A6CAE"/>
    <w:rsid w:val="00FB30DA"/>
    <w:rsid w:val="00FD0652"/>
    <w:rsid w:val="01D04C40"/>
    <w:rsid w:val="05860665"/>
    <w:rsid w:val="05FD3867"/>
    <w:rsid w:val="08A06DA3"/>
    <w:rsid w:val="08FC05F2"/>
    <w:rsid w:val="0A447F47"/>
    <w:rsid w:val="0D495287"/>
    <w:rsid w:val="0D88766F"/>
    <w:rsid w:val="0E8A5C9E"/>
    <w:rsid w:val="1090055B"/>
    <w:rsid w:val="1165576D"/>
    <w:rsid w:val="1A026C2D"/>
    <w:rsid w:val="1A960CE8"/>
    <w:rsid w:val="1ACC305B"/>
    <w:rsid w:val="1C3E2C83"/>
    <w:rsid w:val="1DB9794E"/>
    <w:rsid w:val="1EED146E"/>
    <w:rsid w:val="1F7564B5"/>
    <w:rsid w:val="22D2670F"/>
    <w:rsid w:val="26AE4E68"/>
    <w:rsid w:val="27B1146A"/>
    <w:rsid w:val="29CB5639"/>
    <w:rsid w:val="2B6923B6"/>
    <w:rsid w:val="2CB959C8"/>
    <w:rsid w:val="31E02B90"/>
    <w:rsid w:val="32025A97"/>
    <w:rsid w:val="32F65B2C"/>
    <w:rsid w:val="33D36DDE"/>
    <w:rsid w:val="34C17436"/>
    <w:rsid w:val="358D2832"/>
    <w:rsid w:val="36DC1432"/>
    <w:rsid w:val="384A0391"/>
    <w:rsid w:val="3868277D"/>
    <w:rsid w:val="38E14305"/>
    <w:rsid w:val="39996363"/>
    <w:rsid w:val="39CC4CCA"/>
    <w:rsid w:val="39E040A5"/>
    <w:rsid w:val="3C58228A"/>
    <w:rsid w:val="3C6A734E"/>
    <w:rsid w:val="3C8C5E56"/>
    <w:rsid w:val="3D1E643F"/>
    <w:rsid w:val="3D5D1DB7"/>
    <w:rsid w:val="3F8D54A0"/>
    <w:rsid w:val="40705A68"/>
    <w:rsid w:val="40CE0E43"/>
    <w:rsid w:val="42695E8C"/>
    <w:rsid w:val="43AF7900"/>
    <w:rsid w:val="441B109E"/>
    <w:rsid w:val="45D205EF"/>
    <w:rsid w:val="464C12FB"/>
    <w:rsid w:val="46F8557F"/>
    <w:rsid w:val="47F00CBD"/>
    <w:rsid w:val="493E0B9F"/>
    <w:rsid w:val="4A605160"/>
    <w:rsid w:val="4C426A8D"/>
    <w:rsid w:val="4D437170"/>
    <w:rsid w:val="4FE2635E"/>
    <w:rsid w:val="50973826"/>
    <w:rsid w:val="50E64039"/>
    <w:rsid w:val="513C5DDA"/>
    <w:rsid w:val="51AA5CFD"/>
    <w:rsid w:val="54AF44E2"/>
    <w:rsid w:val="55B456CA"/>
    <w:rsid w:val="56B70C97"/>
    <w:rsid w:val="5AA85F5D"/>
    <w:rsid w:val="5AC7318C"/>
    <w:rsid w:val="5AD73578"/>
    <w:rsid w:val="5DC94B72"/>
    <w:rsid w:val="5E6F4FF5"/>
    <w:rsid w:val="5F98205D"/>
    <w:rsid w:val="62332B2E"/>
    <w:rsid w:val="64C10433"/>
    <w:rsid w:val="686E1BC7"/>
    <w:rsid w:val="6885295E"/>
    <w:rsid w:val="692B572E"/>
    <w:rsid w:val="693C71B9"/>
    <w:rsid w:val="6AB57DFD"/>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6">
    <w:name w:val="page number"/>
    <w:basedOn w:val="5"/>
    <w:qFormat/>
    <w:uiPriority w:val="0"/>
  </w:style>
  <w:style w:type="character" w:customStyle="1" w:styleId="8">
    <w:name w:val="页脚 字符"/>
    <w:basedOn w:val="5"/>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5190</Words>
  <Characters>29586</Characters>
  <Lines>246</Lines>
  <Paragraphs>69</Paragraphs>
  <TotalTime>4</TotalTime>
  <ScaleCrop>false</ScaleCrop>
  <LinksUpToDate>false</LinksUpToDate>
  <CharactersWithSpaces>34707</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my</cp:lastModifiedBy>
  <dcterms:modified xsi:type="dcterms:W3CDTF">2022-01-14T06:05:26Z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070BF0971DF44F42944FFE6BC4D6CC9F</vt:lpwstr>
  </property>
</Properties>
</file>