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上饶市浩瑞光学仪器有限公司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default" w:ascii="宋体" w:hAnsi="宋体"/>
          <w:sz w:val="28"/>
          <w:szCs w:val="28"/>
          <w:u w:val="single"/>
          <w:lang w:val="en-US"/>
        </w:rPr>
        <w:t>27</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w:t>
      </w:r>
      <w:r>
        <w:rPr>
          <w:rFonts w:hint="default" w:ascii="宋体" w:hAnsi="宋体"/>
          <w:sz w:val="28"/>
          <w:szCs w:val="28"/>
          <w:u w:val="single"/>
          <w:lang w:val="en-US"/>
        </w:rPr>
        <w:t>8</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475" w:type="dxa"/>
            <w:vAlign w:val="center"/>
          </w:tcPr>
          <w:p>
            <w:pPr>
              <w:jc w:val="center"/>
              <w:rPr>
                <w:rFonts w:ascii="宋体" w:hAnsi="宋体"/>
                <w:b/>
                <w:bCs/>
                <w:szCs w:val="21"/>
              </w:rPr>
            </w:pPr>
            <w:r>
              <w:rPr>
                <w:rFonts w:ascii="宋体" w:hAnsi="宋体"/>
                <w:b/>
                <w:bCs/>
                <w:szCs w:val="21"/>
              </w:rPr>
              <w:t>评分方式</w:t>
            </w:r>
          </w:p>
        </w:tc>
        <w:tc>
          <w:tcPr>
            <w:tcW w:w="1449"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475"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bookmarkStart w:id="3" w:name="_GoBack" w:colFirst="6" w:colLast="7"/>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475"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475"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449"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449"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475"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449"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475"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475"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475"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475"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475" w:type="dxa"/>
            <w:vAlign w:val="center"/>
          </w:tcPr>
          <w:p>
            <w:pPr>
              <w:spacing w:line="240" w:lineRule="exact"/>
              <w:rPr>
                <w:rFonts w:ascii="宋体" w:hAnsi="宋体"/>
                <w:b/>
                <w:bCs/>
                <w:szCs w:val="21"/>
              </w:rPr>
            </w:pPr>
            <w:r>
              <w:rPr>
                <w:rFonts w:ascii="宋体" w:hAnsi="宋体"/>
                <w:b/>
                <w:bCs/>
                <w:szCs w:val="21"/>
              </w:rPr>
              <w:t>得分小计</w:t>
            </w:r>
          </w:p>
        </w:tc>
        <w:tc>
          <w:tcPr>
            <w:tcW w:w="1449"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475"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475"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449"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未合理安排的，每处扣1分。</w:t>
            </w:r>
          </w:p>
        </w:tc>
        <w:tc>
          <w:tcPr>
            <w:tcW w:w="1449"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475"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475"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449"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475"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475"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475"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475"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449"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449"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475"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475"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475"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475"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449"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449"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color w:val="FF0000"/>
                <w:szCs w:val="21"/>
              </w:rPr>
            </w:pPr>
          </w:p>
        </w:tc>
        <w:tc>
          <w:tcPr>
            <w:tcW w:w="1249" w:type="dxa"/>
            <w:vAlign w:val="center"/>
          </w:tcPr>
          <w:p>
            <w:pPr>
              <w:spacing w:line="240" w:lineRule="exact"/>
              <w:ind w:firstLine="518" w:firstLineChars="247"/>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hint="default" w:ascii="宋体" w:hAnsi="宋体"/>
                <w:szCs w:val="21"/>
                <w:lang w:val="en-US"/>
              </w:rPr>
            </w:pPr>
            <w:r>
              <w:rPr>
                <w:rFonts w:hint="default" w:ascii="宋体" w:hAnsi="宋体"/>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p>
        </w:tc>
        <w:tc>
          <w:tcPr>
            <w:tcW w:w="1449"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475"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449"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449"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475"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475"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449"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475"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449"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475"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475"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w:t>
            </w:r>
            <w:r>
              <w:rPr>
                <w:rFonts w:hint="default" w:ascii="宋体" w:hAnsi="宋体"/>
                <w:b/>
                <w:szCs w:val="21"/>
                <w:lang w:val="en-US"/>
              </w:rPr>
              <w:t>1</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475"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475"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475"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475"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449"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449"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有一处不符合要求的，扣1分。</w:t>
            </w:r>
          </w:p>
        </w:tc>
        <w:tc>
          <w:tcPr>
            <w:tcW w:w="1449"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有一处不符合规定的，扣1分。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449"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p>
        </w:tc>
        <w:tc>
          <w:tcPr>
            <w:tcW w:w="1449"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475"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449"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475"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449"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449"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449"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szCs w:val="21"/>
              </w:rPr>
            </w:pPr>
            <w:r>
              <w:rPr>
                <w:rFonts w:ascii="宋体" w:hAnsi="宋体"/>
                <w:szCs w:val="21"/>
              </w:rPr>
              <w:t>无隐患汇总登记台账</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szCs w:val="21"/>
              </w:rPr>
            </w:pPr>
            <w:r>
              <w:rPr>
                <w:rFonts w:ascii="宋体" w:hAnsi="宋体"/>
                <w:szCs w:val="21"/>
              </w:rPr>
              <w:t>方案依据缺少或不正确</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szCs w:val="21"/>
              </w:rPr>
            </w:pPr>
            <w:r>
              <w:rPr>
                <w:rFonts w:ascii="宋体" w:hAnsi="宋体"/>
                <w:szCs w:val="21"/>
              </w:rPr>
              <w:t>有未排查出</w:t>
            </w:r>
            <w:r>
              <w:rPr>
                <w:rFonts w:hint="eastAsia" w:ascii="宋体" w:hAnsi="宋体"/>
                <w:szCs w:val="21"/>
                <w:lang w:val="en-US" w:eastAsia="zh-CN"/>
              </w:rPr>
              <w:t>的</w:t>
            </w:r>
            <w:r>
              <w:rPr>
                <w:rFonts w:ascii="宋体" w:hAnsi="宋体"/>
                <w:szCs w:val="21"/>
              </w:rPr>
              <w:t>隐患</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隐患排查范围每缺少一类，扣3分。</w:t>
            </w:r>
          </w:p>
        </w:tc>
        <w:tc>
          <w:tcPr>
            <w:tcW w:w="1449" w:type="dxa"/>
            <w:vAlign w:val="center"/>
          </w:tcPr>
          <w:p>
            <w:pPr>
              <w:spacing w:line="240" w:lineRule="exact"/>
              <w:rPr>
                <w:rFonts w:hint="default" w:ascii="宋体" w:hAnsi="宋体" w:eastAsia="宋体"/>
                <w:i/>
                <w:szCs w:val="21"/>
                <w:lang w:val="en-US" w:eastAsia="zh-CN"/>
              </w:rPr>
            </w:pPr>
            <w:r>
              <w:rPr>
                <w:rFonts w:hint="eastAsia" w:ascii="宋体" w:hAnsi="宋体"/>
                <w:i/>
                <w:szCs w:val="21"/>
                <w:lang w:val="en-US" w:eastAsia="zh-CN"/>
              </w:rPr>
              <w:t>隐患排查范围不全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475"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449" w:type="dxa"/>
            <w:vAlign w:val="center"/>
          </w:tcPr>
          <w:p>
            <w:pPr>
              <w:spacing w:line="240" w:lineRule="exact"/>
              <w:rPr>
                <w:rFonts w:hint="default" w:ascii="宋体" w:hAnsi="宋体" w:eastAsia="宋体"/>
                <w:i/>
                <w:szCs w:val="21"/>
                <w:lang w:val="en-US" w:eastAsia="zh-CN"/>
              </w:rPr>
            </w:pPr>
            <w:r>
              <w:rPr>
                <w:rFonts w:hint="eastAsia" w:ascii="宋体" w:hAnsi="宋体"/>
                <w:i/>
                <w:szCs w:val="21"/>
                <w:lang w:val="en-US" w:eastAsia="zh-CN"/>
              </w:rPr>
              <w:t>检查表签字不全</w:t>
            </w:r>
          </w:p>
        </w:tc>
        <w:tc>
          <w:tcPr>
            <w:tcW w:w="1249" w:type="dxa"/>
            <w:vAlign w:val="center"/>
          </w:tcPr>
          <w:p>
            <w:pPr>
              <w:spacing w:line="240" w:lineRule="exact"/>
              <w:jc w:val="center"/>
              <w:rPr>
                <w:rFonts w:hint="eastAsia" w:ascii="宋体" w:hAnsi="宋体" w:eastAsia="宋体"/>
                <w:i/>
                <w:szCs w:val="21"/>
                <w:lang w:val="en-US" w:eastAsia="zh-CN"/>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475"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szCs w:val="21"/>
              </w:rPr>
            </w:pPr>
            <w:r>
              <w:rPr>
                <w:rFonts w:ascii="宋体" w:hAnsi="宋体"/>
                <w:szCs w:val="21"/>
              </w:rPr>
              <w:t>隐患治理</w:t>
            </w: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未进行验证或评估的，每项扣2分。</w:t>
            </w:r>
          </w:p>
        </w:tc>
        <w:tc>
          <w:tcPr>
            <w:tcW w:w="1449"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449" w:type="dxa"/>
            <w:vAlign w:val="center"/>
          </w:tcPr>
          <w:p>
            <w:pPr>
              <w:spacing w:line="240" w:lineRule="exact"/>
              <w:rPr>
                <w:rFonts w:ascii="宋体" w:hAnsi="宋体"/>
                <w:i/>
                <w:szCs w:val="21"/>
              </w:rPr>
            </w:pPr>
            <w:r>
              <w:rPr>
                <w:rFonts w:ascii="宋体" w:hAnsi="宋体"/>
                <w:szCs w:val="21"/>
              </w:rPr>
              <w:t>无统计分析表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475"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szCs w:val="21"/>
              </w:rPr>
            </w:pPr>
            <w:r>
              <w:rPr>
                <w:rFonts w:ascii="宋体" w:hAnsi="宋体"/>
                <w:szCs w:val="21"/>
              </w:rPr>
              <w:t>未将隐患排查治理情况纳入安全预警系统</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449"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475"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449" w:type="dxa"/>
            <w:vAlign w:val="center"/>
          </w:tcPr>
          <w:p>
            <w:pPr>
              <w:spacing w:line="300" w:lineRule="exact"/>
              <w:rPr>
                <w:rFonts w:ascii="宋体" w:hAnsi="宋体"/>
                <w:i/>
                <w:szCs w:val="21"/>
              </w:rPr>
            </w:pPr>
            <w:r>
              <w:rPr>
                <w:rFonts w:ascii="宋体" w:hAnsi="宋体"/>
                <w:szCs w:val="21"/>
              </w:rPr>
              <w:t>危险源辨识和评估不充分、准确</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449" w:type="dxa"/>
            <w:vAlign w:val="center"/>
          </w:tcPr>
          <w:p>
            <w:pPr>
              <w:spacing w:line="300" w:lineRule="exact"/>
              <w:rPr>
                <w:rFonts w:ascii="宋体" w:hAnsi="宋体"/>
                <w:i/>
                <w:szCs w:val="21"/>
              </w:rPr>
            </w:pPr>
            <w:r>
              <w:rPr>
                <w:rFonts w:ascii="宋体" w:hAnsi="宋体"/>
                <w:szCs w:val="21"/>
              </w:rPr>
              <w:t>危险源档案资料</w:t>
            </w:r>
            <w:r>
              <w:rPr>
                <w:rFonts w:hint="eastAsia" w:ascii="宋体" w:hAnsi="宋体"/>
                <w:i/>
                <w:szCs w:val="21"/>
              </w:rPr>
              <w:t>不全</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449"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475"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449"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475"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449"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hint="default" w:ascii="宋体" w:hAnsi="宋体" w:eastAsia="宋体"/>
                <w:szCs w:val="21"/>
                <w:lang w:val="en-US" w:eastAsia="zh-CN"/>
              </w:rPr>
            </w:pPr>
            <w:r>
              <w:rPr>
                <w:rFonts w:hint="eastAsia" w:ascii="宋体" w:hAnsi="宋体"/>
                <w:i/>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szCs w:val="21"/>
              </w:rPr>
            </w:pPr>
            <w:r>
              <w:rPr>
                <w:rFonts w:ascii="宋体" w:hAnsi="宋体"/>
                <w:szCs w:val="21"/>
              </w:rPr>
              <w:t>警示标志污损或不明显</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475"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szCs w:val="21"/>
              </w:rPr>
            </w:pPr>
            <w:r>
              <w:rPr>
                <w:rFonts w:ascii="宋体" w:hAnsi="宋体"/>
                <w:szCs w:val="21"/>
              </w:rPr>
              <w:t>未进行员工健康检查</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szCs w:val="21"/>
              </w:rPr>
            </w:pPr>
            <w:r>
              <w:rPr>
                <w:rFonts w:ascii="宋体" w:hAnsi="宋体"/>
                <w:szCs w:val="21"/>
              </w:rPr>
              <w:t>未定期进行作业场所职业危害因素识别</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szCs w:val="21"/>
              </w:rPr>
            </w:pPr>
            <w:r>
              <w:rPr>
                <w:rFonts w:ascii="宋体" w:hAnsi="宋体"/>
                <w:szCs w:val="21"/>
              </w:rPr>
              <w:t>无急救用品、冲洗设备</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475"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449"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449"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449" w:type="dxa"/>
            <w:vAlign w:val="center"/>
          </w:tcPr>
          <w:p>
            <w:pPr>
              <w:spacing w:line="240" w:lineRule="exact"/>
              <w:rPr>
                <w:rFonts w:ascii="宋体" w:hAnsi="宋体"/>
                <w:i/>
                <w:szCs w:val="21"/>
              </w:rPr>
            </w:pPr>
            <w:r>
              <w:rPr>
                <w:rFonts w:ascii="宋体" w:hAnsi="宋体"/>
                <w:szCs w:val="21"/>
              </w:rPr>
              <w:t>无专人负责，并定期检验和维护</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449" w:type="dxa"/>
            <w:vAlign w:val="center"/>
          </w:tcPr>
          <w:p>
            <w:pPr>
              <w:spacing w:line="240" w:lineRule="exact"/>
              <w:rPr>
                <w:rFonts w:ascii="宋体" w:hAnsi="宋体"/>
                <w:i/>
                <w:szCs w:val="21"/>
              </w:rPr>
            </w:pPr>
            <w:r>
              <w:rPr>
                <w:rFonts w:ascii="宋体" w:hAnsi="宋体"/>
                <w:szCs w:val="21"/>
              </w:rPr>
              <w:t>未进行经常性的检维修</w:t>
            </w:r>
          </w:p>
        </w:tc>
        <w:tc>
          <w:tcPr>
            <w:tcW w:w="1249" w:type="dxa"/>
            <w:vAlign w:val="center"/>
          </w:tcPr>
          <w:p>
            <w:pPr>
              <w:spacing w:line="240" w:lineRule="exact"/>
              <w:jc w:val="center"/>
              <w:rPr>
                <w:rFonts w:hint="eastAsia" w:ascii="宋体" w:hAnsi="宋体" w:eastAsia="宋体"/>
                <w:iCs/>
                <w:szCs w:val="21"/>
                <w:lang w:eastAsia="zh-CN"/>
              </w:rPr>
            </w:pPr>
            <w:r>
              <w:rPr>
                <w:rFonts w:hint="eastAsia" w:ascii="宋体" w:hAnsi="宋体"/>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hint="eastAsia" w:ascii="宋体" w:hAnsi="宋体" w:eastAsia="宋体"/>
                <w:szCs w:val="21"/>
                <w:lang w:val="en-US"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szCs w:val="21"/>
              </w:rPr>
            </w:pPr>
            <w:r>
              <w:rPr>
                <w:rFonts w:ascii="宋体" w:hAnsi="宋体"/>
                <w:szCs w:val="21"/>
              </w:rPr>
              <w:t>无培训、宣传</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szCs w:val="21"/>
              </w:rPr>
            </w:pPr>
            <w:r>
              <w:rPr>
                <w:rFonts w:ascii="宋体" w:hAnsi="宋体"/>
                <w:szCs w:val="21"/>
              </w:rPr>
              <w:t>未设置标志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449"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475"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449" w:type="dxa"/>
            <w:vAlign w:val="center"/>
          </w:tcPr>
          <w:p>
            <w:pPr>
              <w:spacing w:line="240" w:lineRule="exact"/>
              <w:rPr>
                <w:rFonts w:ascii="宋体" w:hAnsi="宋体"/>
                <w:i/>
                <w:szCs w:val="21"/>
              </w:rPr>
            </w:pPr>
            <w:r>
              <w:rPr>
                <w:rFonts w:hint="eastAsia" w:ascii="宋体" w:hAnsi="宋体"/>
                <w:szCs w:val="21"/>
              </w:rPr>
              <w:t>未申报</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FF0000"/>
                <w:sz w:val="24"/>
              </w:rPr>
            </w:pPr>
            <w:r>
              <w:rPr>
                <w:rFonts w:ascii="宋体" w:hAnsi="宋体"/>
                <w:szCs w:val="21"/>
              </w:rPr>
              <w:t>未定期训练</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449"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hint="eastAsia" w:ascii="宋体" w:hAnsi="宋体" w:eastAsia="宋体"/>
                <w:szCs w:val="21"/>
                <w:lang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449"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szCs w:val="21"/>
              </w:rPr>
            </w:pPr>
            <w:r>
              <w:rPr>
                <w:rFonts w:ascii="宋体" w:hAnsi="宋体"/>
                <w:szCs w:val="21"/>
              </w:rPr>
              <w:t>无检查、维护、保养记录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475"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449" w:type="dxa"/>
            <w:vAlign w:val="center"/>
          </w:tcPr>
          <w:p>
            <w:pPr>
              <w:spacing w:line="280" w:lineRule="exact"/>
              <w:rPr>
                <w:rFonts w:ascii="宋体" w:hAnsi="宋体"/>
                <w:i/>
                <w:szCs w:val="21"/>
              </w:rPr>
            </w:pPr>
            <w:r>
              <w:rPr>
                <w:rFonts w:ascii="宋体" w:hAnsi="宋体"/>
                <w:szCs w:val="21"/>
              </w:rPr>
              <w:t>高层管理人员未参加演练的</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szCs w:val="21"/>
              </w:rPr>
            </w:pPr>
            <w:r>
              <w:rPr>
                <w:rFonts w:ascii="宋体" w:hAnsi="宋体"/>
                <w:szCs w:val="21"/>
              </w:rPr>
              <w:t>无评估报告</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449"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475"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449" w:type="dxa"/>
            <w:vAlign w:val="center"/>
          </w:tcPr>
          <w:p>
            <w:pPr>
              <w:spacing w:line="240" w:lineRule="exact"/>
              <w:jc w:val="center"/>
              <w:rPr>
                <w:rFonts w:ascii="宋体" w:hAnsi="宋体"/>
                <w:i/>
                <w:szCs w:val="21"/>
              </w:rPr>
            </w:pPr>
            <w:r>
              <w:rPr>
                <w:rFonts w:hint="eastAsia" w:ascii="宋体" w:hAnsi="宋体"/>
                <w:szCs w:val="21"/>
                <w:lang w:val="en-US" w:eastAsia="zh-CN"/>
              </w:rPr>
              <w:t>未</w:t>
            </w:r>
            <w:r>
              <w:rPr>
                <w:rFonts w:ascii="宋体" w:hAnsi="宋体"/>
                <w:szCs w:val="21"/>
              </w:rPr>
              <w:t>对事故进行登记建档管理</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szCs w:val="21"/>
              </w:rPr>
            </w:pPr>
          </w:p>
        </w:tc>
        <w:tc>
          <w:tcPr>
            <w:tcW w:w="1249" w:type="dxa"/>
            <w:vAlign w:val="center"/>
          </w:tcPr>
          <w:p>
            <w:pPr>
              <w:tabs>
                <w:tab w:val="left" w:pos="347"/>
              </w:tabs>
              <w:spacing w:line="240" w:lineRule="exact"/>
              <w:jc w:val="center"/>
              <w:rPr>
                <w:rFonts w:ascii="宋体" w:hAnsi="宋体"/>
                <w:i/>
                <w:szCs w:val="21"/>
              </w:rPr>
            </w:pPr>
            <w:r>
              <w:rPr>
                <w:rFonts w:hint="default" w:ascii="宋体" w:hAnsi="宋体"/>
                <w:i/>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szCs w:val="21"/>
              </w:rPr>
            </w:pPr>
            <w:r>
              <w:rPr>
                <w:rFonts w:hint="eastAsia" w:ascii="宋体" w:hAnsi="宋体"/>
                <w:szCs w:val="21"/>
              </w:rPr>
              <w:t>事故发生后，</w:t>
            </w:r>
            <w:r>
              <w:rPr>
                <w:rFonts w:ascii="宋体" w:hAnsi="宋体"/>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475"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szCs w:val="21"/>
              </w:rPr>
            </w:pPr>
            <w:r>
              <w:rPr>
                <w:rFonts w:hint="eastAsia" w:ascii="宋体" w:hAnsi="宋体"/>
                <w:i/>
                <w:szCs w:val="21"/>
              </w:rPr>
              <w:t>未</w:t>
            </w:r>
            <w:r>
              <w:rPr>
                <w:rFonts w:ascii="宋体" w:hAnsi="宋体"/>
                <w:szCs w:val="21"/>
              </w:rPr>
              <w:t>对本单位的事故及其他单位的有关事故进行回顾、学习</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szCs w:val="21"/>
              </w:rPr>
            </w:pPr>
            <w:r>
              <w:rPr>
                <w:rFonts w:ascii="宋体" w:hAnsi="宋体"/>
                <w:szCs w:val="21"/>
              </w:rPr>
              <w:t>抽查发现有关部门和人员对相关内容不清楚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475"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szCs w:val="21"/>
              </w:rPr>
            </w:pPr>
            <w:r>
              <w:rPr>
                <w:rFonts w:ascii="宋体" w:hAnsi="宋体"/>
                <w:szCs w:val="21"/>
              </w:rPr>
              <w:t>未纳入年度考评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szCs w:val="21"/>
              </w:rPr>
            </w:pPr>
            <w:r>
              <w:rPr>
                <w:rFonts w:ascii="宋体" w:hAnsi="宋体"/>
                <w:szCs w:val="21"/>
              </w:rPr>
              <w:t>未进行安全标准化系统持续改进</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475"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449"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default" w:ascii="宋体" w:hAnsi="宋体"/>
                <w:i/>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default" w:ascii="宋体" w:hAnsi="宋体"/>
                <w:b/>
                <w:szCs w:val="21"/>
                <w:lang w:val="en-US"/>
              </w:rPr>
              <w:t>16</w:t>
            </w:r>
            <w:r>
              <w:rPr>
                <w:rFonts w:hint="eastAsia" w:ascii="宋体" w:hAnsi="宋体"/>
                <w:b/>
                <w:szCs w:val="21"/>
              </w:rPr>
              <w:t>分\缺项总计</w:t>
            </w:r>
            <w:r>
              <w:rPr>
                <w:rFonts w:hint="default" w:ascii="宋体" w:hAnsi="宋体"/>
                <w:b/>
                <w:szCs w:val="21"/>
                <w:lang w:val="en-US"/>
              </w:rPr>
              <w:t>84</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6290744"/>
    <w:rsid w:val="08FC05F2"/>
    <w:rsid w:val="097D4DC0"/>
    <w:rsid w:val="0A447F47"/>
    <w:rsid w:val="0C345625"/>
    <w:rsid w:val="0D495287"/>
    <w:rsid w:val="0FED5C26"/>
    <w:rsid w:val="100D3F5D"/>
    <w:rsid w:val="1090055B"/>
    <w:rsid w:val="112223F7"/>
    <w:rsid w:val="113E19B8"/>
    <w:rsid w:val="1165576D"/>
    <w:rsid w:val="19B466FA"/>
    <w:rsid w:val="1A026C2D"/>
    <w:rsid w:val="1A960CE8"/>
    <w:rsid w:val="1ACC305B"/>
    <w:rsid w:val="1D1E53EE"/>
    <w:rsid w:val="1DB9794E"/>
    <w:rsid w:val="22D2670F"/>
    <w:rsid w:val="23D0171A"/>
    <w:rsid w:val="26AE4E68"/>
    <w:rsid w:val="27B1146A"/>
    <w:rsid w:val="29CB5639"/>
    <w:rsid w:val="2AA95450"/>
    <w:rsid w:val="2B311F66"/>
    <w:rsid w:val="2B6923B6"/>
    <w:rsid w:val="2C3B6ABA"/>
    <w:rsid w:val="2CB959C8"/>
    <w:rsid w:val="30F963D4"/>
    <w:rsid w:val="31E02B90"/>
    <w:rsid w:val="32025A97"/>
    <w:rsid w:val="32F65B2C"/>
    <w:rsid w:val="34C17436"/>
    <w:rsid w:val="358D2832"/>
    <w:rsid w:val="36DC1432"/>
    <w:rsid w:val="3868277D"/>
    <w:rsid w:val="38E14305"/>
    <w:rsid w:val="39E040A5"/>
    <w:rsid w:val="3B1840DD"/>
    <w:rsid w:val="3B1A0DFF"/>
    <w:rsid w:val="3C58228A"/>
    <w:rsid w:val="3C8C5E56"/>
    <w:rsid w:val="3D5D1DB7"/>
    <w:rsid w:val="3F8D54A0"/>
    <w:rsid w:val="40705A68"/>
    <w:rsid w:val="42695E8C"/>
    <w:rsid w:val="43AF7900"/>
    <w:rsid w:val="441B109E"/>
    <w:rsid w:val="464C12FB"/>
    <w:rsid w:val="46F8557F"/>
    <w:rsid w:val="47F00CBD"/>
    <w:rsid w:val="493E0B9F"/>
    <w:rsid w:val="4A605160"/>
    <w:rsid w:val="4BC619BE"/>
    <w:rsid w:val="4C426A8D"/>
    <w:rsid w:val="4D437170"/>
    <w:rsid w:val="4FE2635E"/>
    <w:rsid w:val="50973826"/>
    <w:rsid w:val="50E64039"/>
    <w:rsid w:val="513C5DDA"/>
    <w:rsid w:val="51AA5CFD"/>
    <w:rsid w:val="52375333"/>
    <w:rsid w:val="5458663C"/>
    <w:rsid w:val="54AF44E2"/>
    <w:rsid w:val="55B456CA"/>
    <w:rsid w:val="58EE3BD6"/>
    <w:rsid w:val="5AC7318C"/>
    <w:rsid w:val="5B791E56"/>
    <w:rsid w:val="5DC94B72"/>
    <w:rsid w:val="5DEA664B"/>
    <w:rsid w:val="5E6F4FF5"/>
    <w:rsid w:val="5EF479F5"/>
    <w:rsid w:val="5F98205D"/>
    <w:rsid w:val="61840CC8"/>
    <w:rsid w:val="62332B2E"/>
    <w:rsid w:val="64C10433"/>
    <w:rsid w:val="686E1BC7"/>
    <w:rsid w:val="6885295E"/>
    <w:rsid w:val="692B572E"/>
    <w:rsid w:val="693C71B9"/>
    <w:rsid w:val="6C49247D"/>
    <w:rsid w:val="6DC3251F"/>
    <w:rsid w:val="6F9469EF"/>
    <w:rsid w:val="6FB30578"/>
    <w:rsid w:val="71EE7DAD"/>
    <w:rsid w:val="722402D1"/>
    <w:rsid w:val="73365449"/>
    <w:rsid w:val="73591996"/>
    <w:rsid w:val="73E53121"/>
    <w:rsid w:val="747A599B"/>
    <w:rsid w:val="74860DE4"/>
    <w:rsid w:val="74A805E3"/>
    <w:rsid w:val="74F64B68"/>
    <w:rsid w:val="757839C9"/>
    <w:rsid w:val="758F06B4"/>
    <w:rsid w:val="75A615FB"/>
    <w:rsid w:val="768D6103"/>
    <w:rsid w:val="783D16E1"/>
    <w:rsid w:val="78567239"/>
    <w:rsid w:val="786A3443"/>
    <w:rsid w:val="79A151B5"/>
    <w:rsid w:val="79AA37F9"/>
    <w:rsid w:val="7BA41B64"/>
    <w:rsid w:val="7CBC71D4"/>
    <w:rsid w:val="7D007254"/>
    <w:rsid w:val="7D1F7F8A"/>
    <w:rsid w:val="7EDB6A54"/>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0</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2022-03-24T01:43:02Z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A34CB4EEAF7349FAA4ECB2960BA82D6B</vt:lpwstr>
  </property>
</Properties>
</file>