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方正仿宋_GBK"/>
          <w:lang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27940</wp:posOffset>
                </wp:positionV>
                <wp:extent cx="6442075" cy="874141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075" cy="8741410"/>
                          <a:chOff x="1846" y="3015"/>
                          <a:chExt cx="10145" cy="13766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1846" y="3015"/>
                            <a:ext cx="10145" cy="4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43C0B" w:themeColor="accent2" w:themeShade="80"/>
                                  <w:sz w:val="112"/>
                                  <w:szCs w:val="11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43C0B" w:themeColor="accent2" w:themeShade="80"/>
                                  <w:sz w:val="112"/>
                                  <w:szCs w:val="112"/>
                                </w:rPr>
                                <w:t>设备安全操作规定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678" y="14381"/>
                            <a:ext cx="8123" cy="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843C0B" w:themeColor="accent2" w:themeShade="80"/>
                                  <w:sz w:val="48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43C0B" w:themeColor="accent2" w:themeShade="80"/>
                                  <w:sz w:val="48"/>
                                  <w:szCs w:val="48"/>
                                  <w:lang w:val="en-US" w:eastAsia="zh-CN"/>
                                </w:rPr>
                                <w:t>内部资料 注意保管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2.2pt;height:688.3pt;width:507.25pt;z-index:251659264;mso-width-relative:page;mso-height-relative:page;" coordorigin="1846,3015" coordsize="10145,13766" o:gfxdata="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NawIFjaAAAACgEAAA8AAAAAAAAAAQAgAAAAIgAAAGRycy9k&#10;b3ducmV2LnhtbFBLAQIUABQAAAAIAIdO4kCUtT4K5AIAACUIAAAOAAAAAAAAAAEAIAAAACkBAABk&#10;cnMvZTJvRG9jLnhtbFBLBQYAAAAABgAGAFkBAAB/BgAAAAA=&#10;">
                <o:lock v:ext="edit" aspectratio="f"/>
                <v:shape id="_x0000_s1026" o:spid="_x0000_s1026" o:spt="202" type="#_x0000_t202" style="position:absolute;left:1846;top:3015;height:4700;width:1014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43C0B" w:themeColor="accent2" w:themeShade="80"/>
                            <w:sz w:val="112"/>
                            <w:szCs w:val="11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43C0B" w:themeColor="accent2" w:themeShade="80"/>
                            <w:sz w:val="112"/>
                            <w:szCs w:val="112"/>
                          </w:rPr>
                          <w:t>设备安全操作规定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78;top:14381;height:2400;width:8123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843C0B" w:themeColor="accent2" w:themeShade="80"/>
                            <w:sz w:val="48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43C0B" w:themeColor="accent2" w:themeShade="80"/>
                            <w:sz w:val="48"/>
                            <w:szCs w:val="48"/>
                            <w:lang w:val="en-US" w:eastAsia="zh-CN"/>
                          </w:rPr>
                          <w:t>内部资料 注意保管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ind w:firstLine="1040" w:firstLineChars="200"/>
        <w:rPr>
          <w:rFonts w:hint="eastAsia" w:eastAsia="方正仿宋_GBK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上饶市浩瑞光学仪器有限公司</w:t>
      </w: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设备安全操作规定</w:t>
      </w:r>
    </w:p>
    <w:p>
      <w:pPr>
        <w:numPr>
          <w:ilvl w:val="0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总则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制定目的</w:t>
      </w:r>
    </w:p>
    <w:p>
      <w:pPr>
        <w:ind w:left="737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为规范设备安全操作规程，确保设备、人员安全，预防安全事故的发生，特制定本规定。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适用范围</w:t>
      </w:r>
    </w:p>
    <w:p>
      <w:pPr>
        <w:ind w:left="737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本公司各项设备均应制定安全操作规程，并依本规定实施。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权责单位</w:t>
      </w:r>
    </w:p>
    <w:p>
      <w:pPr>
        <w:numPr>
          <w:ilvl w:val="0"/>
          <w:numId w:val="2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生技部负责本规定制定、修改、废止之起草工作。</w:t>
      </w:r>
    </w:p>
    <w:p>
      <w:pPr>
        <w:numPr>
          <w:ilvl w:val="0"/>
          <w:numId w:val="2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总经理负责本规定制定、修改、废止之核准。</w:t>
      </w:r>
    </w:p>
    <w:p>
      <w:pPr>
        <w:numPr>
          <w:ilvl w:val="0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规定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生技部职责</w:t>
      </w:r>
    </w:p>
    <w:p>
      <w:pPr>
        <w:numPr>
          <w:ilvl w:val="0"/>
          <w:numId w:val="3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对新进设备制定安全操作规程，供使用单位遵照执行。</w:t>
      </w:r>
    </w:p>
    <w:p>
      <w:pPr>
        <w:numPr>
          <w:ilvl w:val="0"/>
          <w:numId w:val="3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不定期查核安全操作规程执行状况。</w:t>
      </w:r>
    </w:p>
    <w:p>
      <w:pPr>
        <w:numPr>
          <w:ilvl w:val="0"/>
          <w:numId w:val="3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对设备使用单位干部、员工作安全操作教育训练。</w:t>
      </w:r>
    </w:p>
    <w:p>
      <w:pPr>
        <w:numPr>
          <w:ilvl w:val="0"/>
          <w:numId w:val="3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适时修订安全操作规程。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设备使用单位职责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参加安全操作教育训练，并学习掌握。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依安全操作规程操作设备，严格遵守安全规章。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反馈安全隐患，积极配合采取防护措施。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正确使用安全防护装置、用品、工具、设施。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依设备保养规范做好日常保养。</w:t>
      </w:r>
    </w:p>
    <w:p>
      <w:pPr>
        <w:numPr>
          <w:ilvl w:val="0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各种设备安全操作规程。</w:t>
      </w: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电气设备安全操作规程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本节之工业电气设备安全操作规程主要包括以下两个方面：</w:t>
      </w:r>
    </w:p>
    <w:p>
      <w:pPr>
        <w:numPr>
          <w:ilvl w:val="0"/>
          <w:numId w:val="6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电动机安全操作规程。</w:t>
      </w:r>
    </w:p>
    <w:p>
      <w:pPr>
        <w:numPr>
          <w:ilvl w:val="0"/>
          <w:numId w:val="6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保护电器安全操作规程。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检查、维修：</w:t>
      </w:r>
    </w:p>
    <w:p>
      <w:pPr>
        <w:numPr>
          <w:ilvl w:val="0"/>
          <w:numId w:val="7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各厂工业电气设备，包括动力箱、控制箱以及带有电气线路之装置，每天应指定专人巡视两次，发现问题要及时处理。</w:t>
      </w:r>
    </w:p>
    <w:p>
      <w:pPr>
        <w:numPr>
          <w:ilvl w:val="0"/>
          <w:numId w:val="7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电动机必须定期检修，一般每年一次，检修重点是轴承和润滑脂。但对于环境状况良好的动机，且上次检修已换过润滑脂者可免检，但最长时间不得超过两年。</w:t>
      </w:r>
    </w:p>
    <w:p>
      <w:pPr>
        <w:numPr>
          <w:ilvl w:val="0"/>
          <w:numId w:val="7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电气设备检修时，先关掉开关、验电，并有人把关或将开关的线拆除，以防突然送电。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安装：</w:t>
      </w:r>
    </w:p>
    <w:p>
      <w:pPr>
        <w:ind w:left="737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电气设备安装应考虑适合周围环境的需要：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电动机必须装在固定的底座上。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所有用电设备的外壳上应订有制造厂主要技术数据的铭牌。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电动机等电气设备的绝缘阻值不详小于0.5兆欧。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熔断器、断电器、脱扣器等各类保护电器之型号、规格的选择应符合设备运行的要求。开关电器包括闸刀开关、铁壳开关、自动空气开关、减压启动器、磁力启动器等之型号、规格应符合其所负荷各类和负荷电流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电动机在安装前应详细检查电气、机械两个方面，修理后的电动机更要严格地进行各种检查试验，长期搁置的电动机也要检查后方可使用。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每台电动机一般应有单独的操作开关，安装地点应能保证操作安全，并能看到电动机和被拖动机械的起动和停止。否则，必须加装急停开关和开车预选信号装置。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开关的各部件在构造上应完整无损，操作机构良好，并有额定电压、电流值和分合装置的标志。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容量在0.5</w:t>
      </w:r>
      <w:r>
        <w:rPr>
          <w:rFonts w:ascii="Times New Roman" w:hAnsi="Times New Roman" w:eastAsia="宋体" w:cs="Times New Roman"/>
          <w:sz w:val="21"/>
          <w:szCs w:val="24"/>
        </w:rPr>
        <w:t>k</w:t>
      </w:r>
      <w:r>
        <w:rPr>
          <w:rFonts w:hint="eastAsia" w:ascii="Times New Roman" w:hAnsi="Times New Roman" w:eastAsia="宋体" w:cs="Times New Roman"/>
          <w:sz w:val="21"/>
          <w:szCs w:val="24"/>
        </w:rPr>
        <w:t>W以下的电动机可以用插梢直接分开。但是，重载起动的电机容量超过10</w:t>
      </w:r>
      <w:r>
        <w:rPr>
          <w:rFonts w:ascii="Times New Roman" w:hAnsi="Times New Roman" w:eastAsia="宋体" w:cs="Times New Roman"/>
          <w:sz w:val="21"/>
          <w:szCs w:val="24"/>
        </w:rPr>
        <w:t>k</w:t>
      </w:r>
      <w:r>
        <w:rPr>
          <w:rFonts w:hint="eastAsia" w:ascii="Times New Roman" w:hAnsi="Times New Roman" w:eastAsia="宋体" w:cs="Times New Roman"/>
          <w:sz w:val="21"/>
          <w:szCs w:val="24"/>
        </w:rPr>
        <w:t>W时，应用减压起动电动机，并有负荷、短路、缺相等保护，不允许自起动。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电气设备外壳必须牢固地接“零”。零线截面直径大于1</w:t>
      </w:r>
      <w:r>
        <w:rPr>
          <w:rFonts w:ascii="Times New Roman" w:hAnsi="Times New Roman" w:eastAsia="宋体" w:cs="Times New Roman"/>
          <w:sz w:val="21"/>
          <w:szCs w:val="24"/>
        </w:rPr>
        <w:t>mm</w:t>
      </w:r>
      <w:r>
        <w:rPr>
          <w:rFonts w:hint="eastAsia" w:ascii="Times New Roman" w:hAnsi="Times New Roman" w:eastAsia="宋体" w:cs="Times New Roman"/>
          <w:sz w:val="21"/>
          <w:szCs w:val="24"/>
        </w:rPr>
        <w:t>，并用螺丝锁紧，决不允许缠绕在螺丝上。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电动机运行时应当注意各部分温度不超过允许值，还必须注意以下问题：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电压波动小于-5%~+10%的范围。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三相电压不平衡小于5%。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最大的不平衡电流，当各相电流均未超过额定电流时，其值不得超过额定电流的10%。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音响和震动不得太大。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电动机不得缺相运行，机械部分不被卡住。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电动机出现下列情形之一，应使电动机立即停电：</w:t>
      </w:r>
    </w:p>
    <w:p>
      <w:pPr>
        <w:numPr>
          <w:ilvl w:val="0"/>
          <w:numId w:val="10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有可能发生人身安全事故。</w:t>
      </w:r>
    </w:p>
    <w:p>
      <w:pPr>
        <w:numPr>
          <w:ilvl w:val="0"/>
          <w:numId w:val="10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电动机及附属的设备有烧臭味或冒烟起火时。</w:t>
      </w:r>
    </w:p>
    <w:p>
      <w:pPr>
        <w:numPr>
          <w:ilvl w:val="0"/>
          <w:numId w:val="10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发生强烈震动。</w:t>
      </w:r>
    </w:p>
    <w:p>
      <w:pPr>
        <w:numPr>
          <w:ilvl w:val="0"/>
          <w:numId w:val="10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电动机所带动的机械设备损坏。</w:t>
      </w: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钻床安全操作规程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工作服须扎裤子里，不准戴手套操作，严禁用手清理碎屑。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头部不可离钻床太近，男工禁蓄长发，女工头发应盘扎在头上，并按规定戴好头巾帽。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钻孔前，要先定紧工作台，摇臂钻床还应定紧摇臂，然后才可开钻。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将工件固定好，并尽可能固紧于工作台的中心部位，防止工件夹不牢，在加工中工件松动而导致的伤害事件。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在开始钻孔和工件快要钻通时，切不可用力过猛。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在装夹大型工件时，应认真对待，防止操作不当，使手挤压在工具与夹具之间。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擦拭机器、更换钻头、交换皮带或加油时，均应先停车再处理。</w:t>
      </w:r>
    </w:p>
    <w:p>
      <w:pPr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br w:type="page"/>
      </w:r>
      <w:bookmarkStart w:id="0" w:name="_GoBack"/>
      <w:bookmarkEnd w:id="0"/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数控车床安全操作规程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工作服应扎在裤子里，戴好防护镜，严禁戴手套。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切削下的切屑，应用勾子及时清除，切忌直接用手清理。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用改变刀具角度等办法控制切削的形态。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在刀具附近安装排屑器，控制切削流向。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工件在旋转中不得用手触摸，交换刀具、装卸工件、修理、清屑、检验加工件时，必须停车。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使用尾架时，顶针要顶紧，加工长的工件，要用中心架。</w:t>
      </w: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铣床安全操作规程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切勿使重物坠落于机器面上。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须保持充分油量，注意油路清洁。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优质立轴孔的清洁，勿将粗糙之心轴插入。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旋转时切勿变速，应停机后再调整齿轮。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开动机器之前，应详细检查工作物是否坚固于工作台上，螺丝应确实旋紧。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操作中，切勿移去铣刀与工作物间之铁屑，应在停机后以刷子清除之。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操作时，脸应尽量远离工作线。</w:t>
      </w:r>
    </w:p>
    <w:p>
      <w:pPr>
        <w:numPr>
          <w:ilvl w:val="0"/>
          <w:numId w:val="0"/>
        </w:numPr>
        <w:ind w:left="737" w:leftChars="0"/>
        <w:rPr>
          <w:rFonts w:hint="eastAsia" w:ascii="Times New Roman" w:hAnsi="Times New Roman" w:eastAsia="宋体" w:cs="Times New Roman"/>
          <w:sz w:val="21"/>
          <w:szCs w:val="24"/>
        </w:rPr>
      </w:pP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叉车安全操作规程</w:t>
      </w:r>
    </w:p>
    <w:p>
      <w:pPr>
        <w:numPr>
          <w:ilvl w:val="0"/>
          <w:numId w:val="14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人力叉车</w:t>
      </w:r>
    </w:p>
    <w:p>
      <w:pPr>
        <w:numPr>
          <w:ilvl w:val="0"/>
          <w:numId w:val="15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严禁站在人力叉车上快速滑行。</w:t>
      </w:r>
    </w:p>
    <w:p>
      <w:pPr>
        <w:numPr>
          <w:ilvl w:val="0"/>
          <w:numId w:val="15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各厂物料应摆放整齐，保持通道通畅，以利叉车通行。</w:t>
      </w:r>
    </w:p>
    <w:p>
      <w:pPr>
        <w:numPr>
          <w:ilvl w:val="0"/>
          <w:numId w:val="15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人力叉车上堆放物料，不得超过1.8</w:t>
      </w:r>
      <w:r>
        <w:rPr>
          <w:rFonts w:ascii="Times New Roman" w:hAnsi="Times New Roman" w:eastAsia="宋体" w:cs="Times New Roman"/>
          <w:sz w:val="21"/>
          <w:szCs w:val="24"/>
        </w:rPr>
        <w:t>m</w:t>
      </w:r>
      <w:r>
        <w:rPr>
          <w:rFonts w:hint="eastAsia" w:ascii="Times New Roman" w:hAnsi="Times New Roman" w:eastAsia="宋体" w:cs="Times New Roman"/>
          <w:sz w:val="21"/>
          <w:szCs w:val="24"/>
        </w:rPr>
        <w:t>。</w:t>
      </w:r>
    </w:p>
    <w:p>
      <w:pPr>
        <w:numPr>
          <w:ilvl w:val="0"/>
          <w:numId w:val="15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人力叉车搬称时，拉料人员应保持正确姿式，面朝前方，严禁快速拉车。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5419725</wp:posOffset>
              </wp:positionH>
              <wp:positionV relativeFrom="paragraph">
                <wp:posOffset>-124460</wp:posOffset>
              </wp:positionV>
              <wp:extent cx="1007745" cy="114935"/>
              <wp:effectExtent l="0" t="0" r="13335" b="6985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185535" y="9798050"/>
                        <a:ext cx="1007745" cy="114935"/>
                      </a:xfrm>
                      <a:prstGeom prst="rect">
                        <a:avLst/>
                      </a:prstGeom>
                      <a:solidFill>
                        <a:srgbClr val="B5212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6.75pt;margin-top:-9.8pt;height:9.05pt;width:79.35pt;z-index:251659264;v-text-anchor:middle;mso-width-relative:page;mso-height-relative:page;" fillcolor="#B5212D" filled="t" stroked="f" coordsize="21600,21600" o:gfxdata="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ut3ZtsAAAALAQAADwAAAAAAAAABACAAAAAi&#10;AAAAZHJzL2Rvd25yZXYueG1sUEsBAhQAFAAAAAgAh07iQIdYE4R5AgAA1wQAAA4AAAAAAAAAAQAg&#10;AAAAKgEAAGRycy9lMm9Eb2MueG1sUEsFBgAAAAAGAAYAWQEAABU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-1131570</wp:posOffset>
              </wp:positionH>
              <wp:positionV relativeFrom="paragraph">
                <wp:posOffset>210185</wp:posOffset>
              </wp:positionV>
              <wp:extent cx="993140" cy="114935"/>
              <wp:effectExtent l="0" t="0" r="12700" b="6985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140" cy="114935"/>
                      </a:xfrm>
                      <a:prstGeom prst="rect">
                        <a:avLst/>
                      </a:prstGeom>
                      <a:solidFill>
                        <a:srgbClr val="B5212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89.1pt;margin-top:16.55pt;height:9.05pt;width:78.2pt;z-index:251660288;v-text-anchor:middle;mso-width-relative:page;mso-height-relative:page;" fillcolor="#B5212D" filled="t" stroked="f" coordsize="21600,21600" o:gfxdata="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EXW+K2wAAAAoBAAAPAAAAAAAAAAEAIAAAACIAAABkcnMvZG93bnJl&#10;di54bWxQSwECFAAUAAAACACHTuJAYYo5t2wCAADKBAAADgAAAAAAAAABACAAAAAqAQAAZHJzL2Uy&#10;b0RvYy54bWxQSwUGAAAAAAYABgBZAQAACA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A5D51"/>
    <w:multiLevelType w:val="multilevel"/>
    <w:tmpl w:val="1D9A5D51"/>
    <w:lvl w:ilvl="0" w:tentative="0">
      <w:start w:val="1"/>
      <w:numFmt w:val="decimal"/>
      <w:lvlText w:val="（%1）"/>
      <w:lvlJc w:val="left"/>
      <w:pPr>
        <w:tabs>
          <w:tab w:val="left" w:pos="1312"/>
        </w:tabs>
        <w:ind w:left="1312" w:hanging="915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1177"/>
        </w:tabs>
        <w:ind w:left="1177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0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0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1">
    <w:nsid w:val="26DB4B41"/>
    <w:multiLevelType w:val="multilevel"/>
    <w:tmpl w:val="26DB4B41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7F1706B"/>
    <w:multiLevelType w:val="multilevel"/>
    <w:tmpl w:val="27F1706B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6FA2604"/>
    <w:multiLevelType w:val="multilevel"/>
    <w:tmpl w:val="46FA2604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color w:val="auto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2" w:tentative="0">
      <w:start w:val="1"/>
      <w:numFmt w:val="decimal"/>
      <w:lvlText w:val="%1.%2.%3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3" w:tentative="0">
      <w:start w:val="1"/>
      <w:numFmt w:val="decimal"/>
      <w:lvlText w:val="%1.%2.%3.%4."/>
      <w:lvlJc w:val="left"/>
      <w:pPr>
        <w:tabs>
          <w:tab w:val="left" w:pos="1021"/>
        </w:tabs>
        <w:ind w:left="1021" w:hanging="1021"/>
      </w:pPr>
      <w:rPr>
        <w:rFonts w:hint="eastAsia"/>
        <w:sz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1080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49365B91"/>
    <w:multiLevelType w:val="multilevel"/>
    <w:tmpl w:val="49365B91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9E2288A"/>
    <w:multiLevelType w:val="multilevel"/>
    <w:tmpl w:val="49E2288A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F4E2A1D"/>
    <w:multiLevelType w:val="multilevel"/>
    <w:tmpl w:val="4F4E2A1D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03B23E2"/>
    <w:multiLevelType w:val="multilevel"/>
    <w:tmpl w:val="503B23E2"/>
    <w:lvl w:ilvl="0" w:tentative="0">
      <w:start w:val="1"/>
      <w:numFmt w:val="decimal"/>
      <w:lvlText w:val="（%1）"/>
      <w:lvlJc w:val="left"/>
      <w:pPr>
        <w:tabs>
          <w:tab w:val="left" w:pos="1117"/>
        </w:tabs>
        <w:ind w:left="1117" w:hanging="7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1177"/>
        </w:tabs>
        <w:ind w:left="1177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0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0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8">
    <w:nsid w:val="5F476095"/>
    <w:multiLevelType w:val="multilevel"/>
    <w:tmpl w:val="5F476095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5FE51C28"/>
    <w:multiLevelType w:val="multilevel"/>
    <w:tmpl w:val="5FE51C28"/>
    <w:lvl w:ilvl="0" w:tentative="0">
      <w:start w:val="1"/>
      <w:numFmt w:val="decimal"/>
      <w:lvlText w:val="（%1）"/>
      <w:lvlJc w:val="left"/>
      <w:pPr>
        <w:tabs>
          <w:tab w:val="left" w:pos="1117"/>
        </w:tabs>
        <w:ind w:left="1117" w:hanging="7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1177"/>
        </w:tabs>
        <w:ind w:left="1177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0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0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10">
    <w:nsid w:val="61095ED9"/>
    <w:multiLevelType w:val="multilevel"/>
    <w:tmpl w:val="61095ED9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637C60A1"/>
    <w:multiLevelType w:val="multilevel"/>
    <w:tmpl w:val="637C60A1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color w:val="auto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2" w:tentative="0">
      <w:start w:val="1"/>
      <w:numFmt w:val="decimal"/>
      <w:lvlText w:val="%1.%2.%3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3" w:tentative="0">
      <w:start w:val="1"/>
      <w:numFmt w:val="decimal"/>
      <w:lvlText w:val="%1.%2.%3.%4."/>
      <w:lvlJc w:val="left"/>
      <w:pPr>
        <w:tabs>
          <w:tab w:val="left" w:pos="1021"/>
        </w:tabs>
        <w:ind w:left="1021" w:hanging="1021"/>
      </w:pPr>
      <w:rPr>
        <w:rFonts w:hint="eastAsia"/>
        <w:sz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1080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>
    <w:nsid w:val="65635B60"/>
    <w:multiLevelType w:val="multilevel"/>
    <w:tmpl w:val="65635B60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color w:val="auto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2" w:tentative="0">
      <w:start w:val="1"/>
      <w:numFmt w:val="decimal"/>
      <w:lvlText w:val="%1.%2.%3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3" w:tentative="0">
      <w:start w:val="1"/>
      <w:numFmt w:val="decimal"/>
      <w:lvlText w:val="%1.%2.%3.%4."/>
      <w:lvlJc w:val="left"/>
      <w:pPr>
        <w:tabs>
          <w:tab w:val="left" w:pos="1021"/>
        </w:tabs>
        <w:ind w:left="1021" w:hanging="1021"/>
      </w:pPr>
      <w:rPr>
        <w:rFonts w:hint="eastAsia"/>
        <w:sz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1080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>
    <w:nsid w:val="6896226F"/>
    <w:multiLevelType w:val="multilevel"/>
    <w:tmpl w:val="6896226F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7AA676F7"/>
    <w:multiLevelType w:val="multilevel"/>
    <w:tmpl w:val="7AA676F7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1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14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E643B"/>
    <w:rsid w:val="009F3D91"/>
    <w:rsid w:val="1AFE643B"/>
    <w:rsid w:val="1FFF42C8"/>
    <w:rsid w:val="28E73EF7"/>
    <w:rsid w:val="2B7579B7"/>
    <w:rsid w:val="37B20B40"/>
    <w:rsid w:val="48E511D7"/>
    <w:rsid w:val="4A363634"/>
    <w:rsid w:val="57B41F28"/>
    <w:rsid w:val="592D3835"/>
    <w:rsid w:val="5B8A2A11"/>
    <w:rsid w:val="6A320D8F"/>
    <w:rsid w:val="744A6D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方正仿宋_GBK" w:cs="华文中宋" w:asciiTheme="minorHAnsi" w:hAnsiTheme="minorHAnsi"/>
      <w:kern w:val="2"/>
      <w:sz w:val="28"/>
      <w:szCs w:val="28"/>
      <w:lang w:val="en-US" w:eastAsia="zh-CN" w:bidi="ar-SA"/>
    </w:rPr>
  </w:style>
  <w:style w:type="paragraph" w:styleId="2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dc671fa6-679a-4172-9a85-c8883643b4cc\&#35774;&#22791;&#23433;&#20840;&#25805;&#20316;&#35268;&#23450;&#65288;&#26631;&#20934;&#33539;&#26412;&#6528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设备安全操作规定（标准范本）.docx</Template>
  <Pages>10</Pages>
  <Words>7330</Words>
  <Characters>7380</Characters>
  <Lines>0</Lines>
  <Paragraphs>0</Paragraphs>
  <TotalTime>6</TotalTime>
  <ScaleCrop>false</ScaleCrop>
  <LinksUpToDate>false</LinksUpToDate>
  <CharactersWithSpaces>7435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2021-12-10T01:22:00Z</dcterms:created>
  <dc:creator>小青</dc:creator>
  <cp:lastModifiedBy>Brandon Ingram</cp:lastModifiedBy>
  <cp:lastPrinted>2021-12-28T10:35:18Z</cp:lastPrinted>
  <dcterms:modified xsi:type="dcterms:W3CDTF">2021-12-28T10:35:39Z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KSOTemplateUUID">
    <vt:lpwstr>v1.0_mb_GHJgeeYGUFPhOxuUj/33ww==</vt:lpwstr>
  </property>
  <property fmtid="{D5CDD505-2E9C-101B-9397-08002B2CF9AE}" pid="4" name="ICV">
    <vt:lpwstr>E33275F189FA41D1ABB11B188B82AE19</vt:lpwstr>
  </property>
</Properties>
</file>