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企业简介</w:t>
      </w:r>
    </w:p>
    <w:p>
      <w:pPr>
        <w:ind w:firstLine="560"/>
        <w:jc w:val="both"/>
        <w:rPr>
          <w:rFonts w:cs="宋体"/>
          <w:lang w:eastAsia="zh-CN"/>
        </w:rPr>
      </w:pPr>
      <w:r>
        <w:rPr>
          <w:rFonts w:hint="eastAsia" w:cs="宋体"/>
          <w:lang w:eastAsia="zh-CN"/>
        </w:rPr>
        <w:t>上饶市浩瑞光学仪器有限公司成立于2016年12月21日，位于江西省上饶市信州区朝阳产业园朝阳大道8号宇瞳光学园，法定代表人饶艳芳，注册资本500万元整，统一社会信用代码：9161102MA35MRW55C，类型为有限责任公司（自然人投资或控股），主要为光学仪器、配件及五金制品生产、加工、销售；光学制品、玻璃制品、光学工具、五金制品、模具配件批发、零售。该项目为年产6050万片隔圈镜头建设项目，总投资500万元，厂区占地面积约2000㎡，企业租赁宇瞳光学园2栋1层进行该项目建设。</w:t>
      </w:r>
    </w:p>
    <w:p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hint="eastAsia" w:cs="宋体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>
      <w:pPr>
        <w:widowControl/>
        <w:spacing w:line="240" w:lineRule="auto"/>
        <w:ind w:firstLine="0" w:firstLineChars="0"/>
        <w:rPr>
          <w:lang w:eastAsia="zh-CN"/>
        </w:rPr>
      </w:pPr>
      <w:r>
        <w:rPr>
          <w:b/>
          <w:bCs/>
          <w:lang w:eastAsia="zh-CN"/>
        </w:rPr>
        <w:br w:type="page"/>
      </w:r>
    </w:p>
    <w:p>
      <w:pPr>
        <w:ind w:firstLine="0" w:firstLineChars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表2.1-1 企业简介一览表</w:t>
      </w:r>
    </w:p>
    <w:tbl>
      <w:tblPr>
        <w:tblStyle w:val="7"/>
        <w:tblW w:w="501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348"/>
        <w:gridCol w:w="1606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上饶市浩瑞光学仪器有限公司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饶艳芳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联系电话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0793-8097798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>江西省上饶市信州区朝阳产业园朝阳大道8号宇瞳光学园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有限责任公司（自然人投资或控股）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注册资金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伍</w:t>
            </w:r>
            <w:r>
              <w:rPr>
                <w:rFonts w:hint="eastAsia"/>
                <w:kern w:val="21"/>
                <w:sz w:val="21"/>
                <w:szCs w:val="20"/>
              </w:rPr>
              <w:t>佰万元整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91361102</w:t>
            </w:r>
            <w:r>
              <w:rPr>
                <w:rFonts w:hint="eastAsia" w:cs="宋体"/>
                <w:kern w:val="21"/>
                <w:sz w:val="21"/>
                <w:lang w:eastAsia="zh-CN"/>
              </w:rPr>
              <w:t>MA</w:t>
            </w:r>
            <w:r>
              <w:rPr>
                <w:rFonts w:cs="宋体"/>
                <w:kern w:val="21"/>
                <w:sz w:val="21"/>
              </w:rPr>
              <w:t>35MRW55C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邮政编码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企业占地面积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2000</w:t>
            </w:r>
            <w:r>
              <w:rPr>
                <w:rFonts w:hint="eastAsia"/>
                <w:kern w:val="21"/>
                <w:sz w:val="21"/>
                <w:szCs w:val="20"/>
              </w:rPr>
              <w:t>平方米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企业员工人数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rFonts w:hint="default"/>
                <w:kern w:val="21"/>
                <w:sz w:val="21"/>
                <w:szCs w:val="20"/>
                <w:lang w:val="en-US"/>
              </w:rPr>
            </w:pPr>
            <w:r>
              <w:rPr>
                <w:rFonts w:hint="default"/>
                <w:kern w:val="21"/>
                <w:sz w:val="21"/>
                <w:szCs w:val="20"/>
                <w:lang w:val="en-US"/>
              </w:rPr>
              <w:t>42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rPr>
                <w:rFonts w:hint="eastAsia" w:cs="宋体"/>
                <w:kern w:val="21"/>
                <w:sz w:val="21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>经营范围为光学仪器、配件及五金制品生产、加工、销售；光学制品、玻璃制品、光学工具、五金制品、模具配件批发、零售</w:t>
            </w:r>
          </w:p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>（以上项目国家有项规定凭许可证或资质证经营）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2016年12月21</w:t>
            </w:r>
            <w:r>
              <w:rPr>
                <w:rFonts w:hint="eastAsia" w:cs="宋体"/>
                <w:kern w:val="21"/>
                <w:sz w:val="21"/>
                <w:lang w:eastAsia="zh-CN"/>
              </w:rPr>
              <w:t>日</w:t>
            </w:r>
          </w:p>
        </w:tc>
      </w:tr>
    </w:tbl>
    <w:p>
      <w:pPr>
        <w:widowControl/>
        <w:spacing w:line="240" w:lineRule="auto"/>
        <w:ind w:firstLine="0" w:firstLineChars="0"/>
        <w:rPr>
          <w:lang w:eastAsia="zh-CN"/>
        </w:rPr>
      </w:pPr>
    </w:p>
    <w:p>
      <w:pPr>
        <w:spacing w:after="312" w:afterLines="100"/>
        <w:jc w:val="center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主要设备清单</w:t>
      </w:r>
    </w:p>
    <w:tbl>
      <w:tblPr>
        <w:tblStyle w:val="7"/>
        <w:tblW w:w="867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2438"/>
        <w:gridCol w:w="2150"/>
        <w:gridCol w:w="32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bookmarkStart w:id="0" w:name="_Toc18046"/>
            <w:r>
              <w:rPr>
                <w:sz w:val="21"/>
                <w:szCs w:val="21"/>
              </w:rPr>
              <w:t>序号</w:t>
            </w:r>
          </w:p>
        </w:tc>
        <w:tc>
          <w:tcPr>
            <w:tcW w:w="243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设备名称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设备型号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3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加工中心（CNC）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VMC-650L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VMC-850L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850L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SZ1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43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数控车床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G-CNC350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H30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M-CK300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t>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30F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36A2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GT-200MA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43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普通车床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C6240A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CD6140A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243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铣床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JCINA-4VB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243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模切机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F0350EA60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243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贴合机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TZ1-300-3C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243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TZI-300-5C</w:t>
            </w:r>
          </w:p>
        </w:tc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1台</w:t>
            </w:r>
          </w:p>
        </w:tc>
      </w:tr>
    </w:tbl>
    <w:p>
      <w:pPr>
        <w:jc w:val="center"/>
        <w:rPr>
          <w:b/>
          <w:sz w:val="44"/>
          <w:szCs w:val="44"/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lang w:eastAsia="zh-CN"/>
        </w:rPr>
        <w:br w:type="page"/>
      </w:r>
    </w:p>
    <w:p>
      <w:pPr>
        <w:jc w:val="center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工艺流程</w:t>
      </w:r>
      <w:bookmarkEnd w:id="0"/>
    </w:p>
    <w:p>
      <w:pPr>
        <w:ind w:firstLine="560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550545</wp:posOffset>
            </wp:positionV>
            <wp:extent cx="5759450" cy="738505"/>
            <wp:effectExtent l="0" t="0" r="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项目隔圈、皿台、上治具生产工艺为：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图2.3-1项目隔圈、皿台、上治具生产工艺流程图</w:t>
      </w:r>
    </w:p>
    <w:p>
      <w:pPr>
        <w:ind w:firstLine="562"/>
        <w:rPr>
          <w:b/>
          <w:lang w:eastAsia="zh-CN"/>
        </w:rPr>
      </w:pPr>
      <w:r>
        <w:rPr>
          <w:rFonts w:hint="eastAsia"/>
          <w:b/>
          <w:lang w:eastAsia="zh-CN"/>
        </w:rPr>
        <w:t>工艺流程说明：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①粗加工：根据客户要求，采用车床对完整铜、铁、塑钢等材料进行粗加工。粗加工过程采用切削液冷却，切削液与水配比为1:25，车床自带循环水箱，循环使用。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②精加工：采用数控车床对毛坯件进行精磨加工，以提高尺寸精度和减小形位公差，粗加工过程采用切削液冷却，切削液与水配比为1:25，车床自带循环水箱，循环使用。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③检验：本环节主要检验是否有不合格的产品，合格产品入库包装。</w:t>
      </w:r>
    </w:p>
    <w:p>
      <w:pPr>
        <w:ind w:firstLine="560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451485</wp:posOffset>
            </wp:positionV>
            <wp:extent cx="5753100" cy="6845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镀膜板工艺流程：</w:t>
      </w:r>
    </w:p>
    <w:p>
      <w:pPr>
        <w:ind w:firstLine="560"/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>图2.3-2项目镀膜板生产工艺流程图</w:t>
      </w:r>
    </w:p>
    <w:p>
      <w:pPr>
        <w:ind w:firstLine="562"/>
        <w:rPr>
          <w:lang w:eastAsia="zh-CN"/>
        </w:rPr>
      </w:pPr>
      <w:r>
        <w:rPr>
          <w:rFonts w:hint="eastAsia"/>
          <w:b/>
          <w:lang w:eastAsia="zh-CN"/>
        </w:rPr>
        <w:t>工艺流程说明：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①车床：根据订单要求，将完整铜、不锈钢等材料切割成不同长度、不同形状的毛坯。切割过程采用切削液冷却，切削液与水配比为1:25，车床自带循环水箱，循环使用。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②CNC加工中心：对毛坯件进行进一步加工，主要包括车外圆、车内圆、车台阶端面等作业过程。切割过程采用切削液冷却，切削液与水配比为1:25，车床自带循环水箱，循环使用。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③铣床：根据产品需要，对毛坯件进行铣平面、铣底面、铣侧边、铣台面、铣孔口面以及钻孔等作业，以提高其安装精度。采用切削液冷却，与车床一致。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④检验：本环节主要检验是否有不合格的产品，合格产品入库包装。</w:t>
      </w:r>
    </w:p>
    <w:p>
      <w:pPr>
        <w:ind w:firstLine="560"/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0488A"/>
    <w:rsid w:val="00014782"/>
    <w:rsid w:val="00017FD4"/>
    <w:rsid w:val="00031C9A"/>
    <w:rsid w:val="0004464C"/>
    <w:rsid w:val="00091795"/>
    <w:rsid w:val="000D1164"/>
    <w:rsid w:val="00103A88"/>
    <w:rsid w:val="001074EC"/>
    <w:rsid w:val="00153148"/>
    <w:rsid w:val="0016223B"/>
    <w:rsid w:val="00174C52"/>
    <w:rsid w:val="00181D6A"/>
    <w:rsid w:val="001B2311"/>
    <w:rsid w:val="001D3E13"/>
    <w:rsid w:val="001F380C"/>
    <w:rsid w:val="00250B03"/>
    <w:rsid w:val="0028558E"/>
    <w:rsid w:val="002D16A5"/>
    <w:rsid w:val="002F7BC4"/>
    <w:rsid w:val="00313D6F"/>
    <w:rsid w:val="00376601"/>
    <w:rsid w:val="003C6579"/>
    <w:rsid w:val="003E7DB1"/>
    <w:rsid w:val="003E7F5A"/>
    <w:rsid w:val="0042458A"/>
    <w:rsid w:val="00453F08"/>
    <w:rsid w:val="0045704B"/>
    <w:rsid w:val="004A534B"/>
    <w:rsid w:val="004D5591"/>
    <w:rsid w:val="004E10D7"/>
    <w:rsid w:val="00505C94"/>
    <w:rsid w:val="005230B7"/>
    <w:rsid w:val="00523CD1"/>
    <w:rsid w:val="005246D8"/>
    <w:rsid w:val="005379F7"/>
    <w:rsid w:val="00591271"/>
    <w:rsid w:val="005C48B8"/>
    <w:rsid w:val="005F7E33"/>
    <w:rsid w:val="00620924"/>
    <w:rsid w:val="00645653"/>
    <w:rsid w:val="00692F61"/>
    <w:rsid w:val="006E2922"/>
    <w:rsid w:val="006E38D0"/>
    <w:rsid w:val="006F09AD"/>
    <w:rsid w:val="006F45FC"/>
    <w:rsid w:val="006F5814"/>
    <w:rsid w:val="007207A8"/>
    <w:rsid w:val="007264CF"/>
    <w:rsid w:val="00726F27"/>
    <w:rsid w:val="00782953"/>
    <w:rsid w:val="00797AEE"/>
    <w:rsid w:val="007F2153"/>
    <w:rsid w:val="007F3CE8"/>
    <w:rsid w:val="00852C9E"/>
    <w:rsid w:val="0088556C"/>
    <w:rsid w:val="008B13C9"/>
    <w:rsid w:val="008B46A8"/>
    <w:rsid w:val="008D2DCF"/>
    <w:rsid w:val="00914F77"/>
    <w:rsid w:val="009365EA"/>
    <w:rsid w:val="00950746"/>
    <w:rsid w:val="00950D01"/>
    <w:rsid w:val="009A0355"/>
    <w:rsid w:val="009A667E"/>
    <w:rsid w:val="009C2DE3"/>
    <w:rsid w:val="00A10953"/>
    <w:rsid w:val="00A65338"/>
    <w:rsid w:val="00A72874"/>
    <w:rsid w:val="00A87F08"/>
    <w:rsid w:val="00A944B0"/>
    <w:rsid w:val="00B07DA6"/>
    <w:rsid w:val="00B11699"/>
    <w:rsid w:val="00B17922"/>
    <w:rsid w:val="00B33344"/>
    <w:rsid w:val="00B44B17"/>
    <w:rsid w:val="00B5246A"/>
    <w:rsid w:val="00B605B2"/>
    <w:rsid w:val="00B75A20"/>
    <w:rsid w:val="00B87D40"/>
    <w:rsid w:val="00BB2B47"/>
    <w:rsid w:val="00BD5DD7"/>
    <w:rsid w:val="00BE46C3"/>
    <w:rsid w:val="00BF3AC5"/>
    <w:rsid w:val="00C20341"/>
    <w:rsid w:val="00C334FB"/>
    <w:rsid w:val="00C579D4"/>
    <w:rsid w:val="00C80011"/>
    <w:rsid w:val="00C83E2D"/>
    <w:rsid w:val="00CB116E"/>
    <w:rsid w:val="00CD32D2"/>
    <w:rsid w:val="00CE035D"/>
    <w:rsid w:val="00CF2CE5"/>
    <w:rsid w:val="00D00A6F"/>
    <w:rsid w:val="00D22A6C"/>
    <w:rsid w:val="00D235CA"/>
    <w:rsid w:val="00D47C97"/>
    <w:rsid w:val="00D50E3D"/>
    <w:rsid w:val="00D70479"/>
    <w:rsid w:val="00D979D8"/>
    <w:rsid w:val="00DB10C5"/>
    <w:rsid w:val="00E00384"/>
    <w:rsid w:val="00E1225B"/>
    <w:rsid w:val="00E31B53"/>
    <w:rsid w:val="00E46B57"/>
    <w:rsid w:val="00E70DD4"/>
    <w:rsid w:val="00E77A09"/>
    <w:rsid w:val="00E876D4"/>
    <w:rsid w:val="00EB64F5"/>
    <w:rsid w:val="00EC38EC"/>
    <w:rsid w:val="00F03E78"/>
    <w:rsid w:val="00F114DF"/>
    <w:rsid w:val="00F32215"/>
    <w:rsid w:val="00F41295"/>
    <w:rsid w:val="00F43D31"/>
    <w:rsid w:val="00F47705"/>
    <w:rsid w:val="00F50F40"/>
    <w:rsid w:val="00FA5883"/>
    <w:rsid w:val="00FB61F3"/>
    <w:rsid w:val="00FD0586"/>
    <w:rsid w:val="00FD248D"/>
    <w:rsid w:val="00FE3E40"/>
    <w:rsid w:val="574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spacing w:line="500" w:lineRule="exact"/>
      <w:ind w:firstLine="883" w:firstLineChars="200"/>
    </w:pPr>
    <w:rPr>
      <w:rFonts w:ascii="宋体" w:hAnsi="宋体" w:eastAsia="宋体" w:cs="黑体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rFonts w:ascii="宋体" w:hAnsi="宋体" w:eastAsia="宋体" w:cs="黑体"/>
      <w:b/>
      <w:bCs/>
      <w:kern w:val="44"/>
      <w:sz w:val="44"/>
      <w:szCs w:val="44"/>
      <w:lang w:eastAsia="en-US"/>
    </w:rPr>
  </w:style>
  <w:style w:type="paragraph" w:customStyle="1" w:styleId="13">
    <w:name w:val="表格内文字"/>
    <w:basedOn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="0" w:firstLineChars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14">
    <w:name w:val="标题 3 字符"/>
    <w:basedOn w:val="9"/>
    <w:link w:val="3"/>
    <w:semiHidden/>
    <w:qFormat/>
    <w:uiPriority w:val="9"/>
    <w:rPr>
      <w:rFonts w:ascii="宋体" w:hAnsi="宋体" w:eastAsia="宋体" w:cs="黑体"/>
      <w:b/>
      <w:bCs/>
      <w:kern w:val="0"/>
      <w:sz w:val="32"/>
      <w:szCs w:val="32"/>
      <w:lang w:eastAsia="en-US"/>
    </w:r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宋体" w:hAnsi="宋体" w:eastAsia="宋体" w:cs="黑体"/>
      <w:kern w:val="0"/>
      <w:sz w:val="18"/>
      <w:szCs w:val="18"/>
      <w:lang w:eastAsia="en-US"/>
    </w:rPr>
  </w:style>
  <w:style w:type="paragraph" w:styleId="16">
    <w:name w:val="List Paragraph"/>
    <w:basedOn w:val="1"/>
    <w:unhideWhenUsed/>
    <w:qFormat/>
    <w:uiPriority w:val="99"/>
    <w:pPr>
      <w:widowControl/>
      <w:spacing w:line="360" w:lineRule="auto"/>
      <w:ind w:firstLine="420"/>
      <w:jc w:val="center"/>
    </w:pPr>
    <w:rPr>
      <w:rFonts w:cs="Times New Roman" w:asciiTheme="minorEastAsia" w:eastAsiaTheme="minorEastAsia"/>
      <w:kern w:val="2"/>
      <w:szCs w:val="28"/>
      <w:lang w:eastAsia="zh-CN"/>
    </w:rPr>
  </w:style>
  <w:style w:type="table" w:customStyle="1" w:styleId="17">
    <w:name w:val="网格型5"/>
    <w:basedOn w:val="7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163D1A-597E-4054-B814-2FFD364920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5</Pages>
  <Words>232</Words>
  <Characters>1325</Characters>
  <Lines>11</Lines>
  <Paragraphs>3</Paragraphs>
  <TotalTime>131</TotalTime>
  <ScaleCrop>false</ScaleCrop>
  <LinksUpToDate>false</LinksUpToDate>
  <CharactersWithSpaces>1554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2021-05-06T01:32:00Z</dcterms:created>
  <dc:creator>Micorosoft</dc:creator>
  <cp:lastModifiedBy>Brandon Ingram</cp:lastModifiedBy>
  <dcterms:modified xsi:type="dcterms:W3CDTF">2021-12-17T12:18:59Z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D78D887015B640678A16DEA580F28AF1</vt:lpwstr>
  </property>
</Properties>
</file>