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4174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2551"/>
        <w:gridCol w:w="6695"/>
      </w:tblGrid>
      <w:tr w:rsidR="002646B2">
        <w:trPr>
          <w:trHeight w:val="999"/>
          <w:jc w:val="center"/>
        </w:trPr>
        <w:tc>
          <w:tcPr>
            <w:tcW w:w="14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46B2" w:rsidRDefault="002E21C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kern w:val="0"/>
                <w:sz w:val="36"/>
                <w:szCs w:val="36"/>
              </w:rPr>
              <w:t>叉车风险点告知卡</w:t>
            </w:r>
          </w:p>
          <w:p w:rsidR="002646B2" w:rsidRDefault="002646B2">
            <w:pPr>
              <w:rPr>
                <w:sz w:val="24"/>
                <w:szCs w:val="24"/>
              </w:rPr>
            </w:pPr>
          </w:p>
        </w:tc>
      </w:tr>
      <w:tr w:rsidR="002646B2">
        <w:trPr>
          <w:trHeight w:val="396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风险点名称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叉车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主要危险因素概述</w:t>
            </w:r>
          </w:p>
        </w:tc>
        <w:tc>
          <w:tcPr>
            <w:tcW w:w="66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由于人员误操作、设备缺陷、外力因素等导致叉车故障，易发生</w:t>
            </w:r>
            <w:r>
              <w:rPr>
                <w:rFonts w:ascii="宋体" w:hint="eastAsia"/>
                <w:kern w:val="0"/>
                <w:sz w:val="24"/>
                <w:szCs w:val="24"/>
              </w:rPr>
              <w:t>火灾、触电、车辆伤害</w:t>
            </w:r>
            <w:r>
              <w:rPr>
                <w:rFonts w:hint="eastAsia"/>
                <w:kern w:val="0"/>
                <w:sz w:val="24"/>
                <w:szCs w:val="24"/>
              </w:rPr>
              <w:t>等事故。</w:t>
            </w:r>
          </w:p>
        </w:tc>
      </w:tr>
      <w:tr w:rsidR="002646B2">
        <w:trPr>
          <w:trHeight w:val="302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风险点编号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646B2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2646B2">
        <w:trPr>
          <w:trHeight w:val="449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风险等级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三级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2646B2">
        <w:trPr>
          <w:trHeight w:val="3164"/>
          <w:jc w:val="center"/>
        </w:trPr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安全标志</w:t>
            </w:r>
          </w:p>
          <w:p w:rsidR="002646B2" w:rsidRDefault="002E21CA"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819150" cy="1095375"/>
                  <wp:effectExtent l="19050" t="0" r="0" b="0"/>
                  <wp:docPr id="1" name="图片 1" descr="C:\Users\ADMINI~1\AppData\Local\Temp\ksohtml1400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~1\AppData\Local\Temp\ksohtml1400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104900" cy="1095375"/>
                  <wp:effectExtent l="19050" t="0" r="0" b="0"/>
                  <wp:docPr id="2" name="图片 2" descr="C:\Users\ADMINI~1\AppData\Local\Temp\ksohtml1400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~1\AppData\Local\Temp\ksohtml1400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028700" cy="1152525"/>
                  <wp:effectExtent l="19050" t="0" r="0" b="0"/>
                  <wp:docPr id="3" name="图片 3" descr="C:\Users\ADMINI~1\AppData\Local\Temp\ksohtml1400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1400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主要风险控制措施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adjustRightInd w:val="0"/>
              <w:snapToGrid w:val="0"/>
              <w:spacing w:line="400" w:lineRule="exact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1、叉车充电区域保证通风；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2、发生触电，区域急救人员先断电，呼吸、心跳停止进行心肺复苏；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3、每月对于叉车进行点检，发现异常及时进行维修；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4、对于叉车进行限速行驶的速度为7公里以下，货物超出本身视线，要进行倒车行驶。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5、叉车速度限速5公里；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6、张贴警示标示及操作规程；</w:t>
            </w:r>
          </w:p>
          <w:p w:rsidR="002646B2" w:rsidRDefault="002E21CA">
            <w:pPr>
              <w:widowControl/>
              <w:adjustRightInd w:val="0"/>
              <w:snapToGrid w:val="0"/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7、严格按照操作规程操作。</w:t>
            </w:r>
          </w:p>
        </w:tc>
      </w:tr>
      <w:tr w:rsidR="002646B2">
        <w:trPr>
          <w:trHeight w:val="515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责任部门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主要事故类型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火灾、触电、车辆伤害、物体打击等</w:t>
            </w:r>
          </w:p>
        </w:tc>
      </w:tr>
      <w:tr w:rsidR="002646B2">
        <w:trPr>
          <w:trHeight w:val="1166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责任人</w:t>
            </w:r>
          </w:p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应急处置措施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、立即疏散厂房及周边人群，对事故现场实施隔离和警戒；</w:t>
            </w:r>
          </w:p>
          <w:p w:rsidR="002646B2" w:rsidRDefault="002E21CA"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、对受伤人员进行及时抢救，并拨打</w:t>
            </w:r>
            <w:r>
              <w:rPr>
                <w:rFonts w:hint="eastAsia"/>
                <w:kern w:val="0"/>
                <w:sz w:val="24"/>
                <w:szCs w:val="24"/>
              </w:rPr>
              <w:t>120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</w:t>
            </w:r>
            <w:r>
              <w:rPr>
                <w:rFonts w:hint="eastAsia"/>
                <w:kern w:val="0"/>
                <w:sz w:val="24"/>
                <w:szCs w:val="24"/>
              </w:rPr>
              <w:t>110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电话求救；</w:t>
            </w:r>
          </w:p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、现场发现事故人员立即根据企业制订的《生产安全事故应急救援预案》规定的流程向企业相关管理人员进行事故报告。</w:t>
            </w:r>
          </w:p>
        </w:tc>
      </w:tr>
    </w:tbl>
    <w:p w:rsidR="002646B2" w:rsidRDefault="002E21C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火警电话</w:t>
      </w:r>
      <w:r>
        <w:rPr>
          <w:rFonts w:hint="eastAsia"/>
          <w:sz w:val="36"/>
          <w:szCs w:val="36"/>
        </w:rPr>
        <w:t xml:space="preserve">119                               </w:t>
      </w:r>
      <w:r>
        <w:rPr>
          <w:rFonts w:hint="eastAsia"/>
          <w:sz w:val="36"/>
          <w:szCs w:val="36"/>
        </w:rPr>
        <w:t>急救电话</w:t>
      </w:r>
      <w:r>
        <w:rPr>
          <w:rFonts w:hint="eastAsia"/>
          <w:sz w:val="36"/>
          <w:szCs w:val="36"/>
        </w:rPr>
        <w:t>120</w:t>
      </w:r>
    </w:p>
    <w:sectPr w:rsidR="002646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F4B" w:rsidRDefault="00B41F4B">
      <w:r>
        <w:separator/>
      </w:r>
    </w:p>
  </w:endnote>
  <w:endnote w:type="continuationSeparator" w:id="0">
    <w:p w:rsidR="00B41F4B" w:rsidRDefault="00B41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BF" w:rsidRDefault="007833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BF" w:rsidRDefault="007833B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BF" w:rsidRDefault="007833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F4B" w:rsidRDefault="00B41F4B">
      <w:r>
        <w:separator/>
      </w:r>
    </w:p>
  </w:footnote>
  <w:footnote w:type="continuationSeparator" w:id="0">
    <w:p w:rsidR="00B41F4B" w:rsidRDefault="00B41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BF" w:rsidRDefault="007833B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6B2" w:rsidRDefault="007833BF">
    <w:pPr>
      <w:pStyle w:val="a6"/>
      <w:rPr>
        <w:b/>
        <w:bCs/>
      </w:rPr>
    </w:pPr>
    <w:r>
      <w:rPr>
        <w:rFonts w:hint="eastAsia"/>
        <w:b/>
        <w:bCs/>
      </w:rPr>
      <w:t>上饶市城投中大建筑工业有限公司</w:t>
    </w:r>
  </w:p>
  <w:p w:rsidR="007833BF" w:rsidRDefault="007833BF">
    <w:pPr>
      <w:pStyle w:val="a6"/>
      <w:rPr>
        <w:rFonts w:hint="eastAsia"/>
        <w:b/>
        <w:bCs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BF" w:rsidRDefault="007833B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3BE"/>
    <w:rsid w:val="001C3E0B"/>
    <w:rsid w:val="002646B2"/>
    <w:rsid w:val="002E21CA"/>
    <w:rsid w:val="007833BF"/>
    <w:rsid w:val="0089177B"/>
    <w:rsid w:val="009B7794"/>
    <w:rsid w:val="00AA7DC3"/>
    <w:rsid w:val="00AD63BE"/>
    <w:rsid w:val="00B41F4B"/>
    <w:rsid w:val="00D27320"/>
    <w:rsid w:val="00F864CA"/>
    <w:rsid w:val="02666CC0"/>
    <w:rsid w:val="2C760D55"/>
    <w:rsid w:val="34533A7D"/>
    <w:rsid w:val="48786E37"/>
    <w:rsid w:val="4EB0377B"/>
    <w:rsid w:val="68FA32CC"/>
    <w:rsid w:val="70074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5F0D3"/>
  <w15:docId w15:val="{DD3D4E8D-9E08-4376-A1D7-9F5DBD3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99"/>
    <w:unhideWhenUsed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5</cp:revision>
  <dcterms:created xsi:type="dcterms:W3CDTF">2019-10-17T08:43:00Z</dcterms:created>
  <dcterms:modified xsi:type="dcterms:W3CDTF">2021-06-02T02:49:00Z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