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5"/>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rPr>
        <w:t xml:space="preserve"> 江西恒道科技有限公司  </w:t>
      </w:r>
      <w:r>
        <w:rPr>
          <w:rFonts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ascii="宋体" w:hAnsi="宋体"/>
          <w:sz w:val="28"/>
          <w:szCs w:val="28"/>
          <w:u w:val="single"/>
        </w:rPr>
        <w:t>7</w:t>
      </w:r>
      <w:r>
        <w:rPr>
          <w:rFonts w:hint="eastAsia" w:ascii="宋体" w:hAnsi="宋体"/>
          <w:sz w:val="28"/>
          <w:szCs w:val="28"/>
        </w:rPr>
        <w:t>月</w:t>
      </w:r>
      <w:r>
        <w:rPr>
          <w:rFonts w:hint="eastAsia" w:ascii="宋体" w:hAnsi="宋体"/>
          <w:sz w:val="28"/>
          <w:szCs w:val="28"/>
          <w:u w:val="single"/>
        </w:rPr>
        <w:t xml:space="preserve"> 1</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ascii="宋体" w:hAnsi="宋体"/>
          <w:sz w:val="28"/>
          <w:szCs w:val="28"/>
          <w:u w:val="single"/>
        </w:rPr>
        <w:t>7</w:t>
      </w:r>
      <w:r>
        <w:rPr>
          <w:rFonts w:hint="eastAsia" w:ascii="宋体" w:hAnsi="宋体"/>
          <w:sz w:val="28"/>
          <w:szCs w:val="28"/>
        </w:rPr>
        <w:t>月</w:t>
      </w:r>
      <w:r>
        <w:rPr>
          <w:rFonts w:ascii="宋体" w:hAnsi="宋体"/>
          <w:sz w:val="28"/>
          <w:szCs w:val="28"/>
          <w:u w:val="single"/>
        </w:rPr>
        <w:t>13</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rPr>
        <w:t>自评组组长：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自评组主要成员：</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 </w:t>
      </w:r>
    </w:p>
    <w:tbl>
      <w:tblPr>
        <w:tblStyle w:val="6"/>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232" w:type="dxa"/>
            <w:vAlign w:val="center"/>
          </w:tcPr>
          <w:p>
            <w:pPr>
              <w:jc w:val="center"/>
              <w:rPr>
                <w:rFonts w:ascii="宋体" w:hAnsi="宋体"/>
                <w:b/>
                <w:bCs/>
                <w:szCs w:val="21"/>
              </w:rPr>
            </w:pPr>
            <w:r>
              <w:rPr>
                <w:rFonts w:ascii="宋体" w:hAnsi="宋体"/>
                <w:b/>
                <w:bCs/>
                <w:szCs w:val="21"/>
              </w:rPr>
              <w:t>评分方式</w:t>
            </w:r>
          </w:p>
        </w:tc>
        <w:tc>
          <w:tcPr>
            <w:tcW w:w="1692"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ascii="宋体" w:hAnsi="宋体"/>
                <w:bCs/>
                <w:i/>
                <w:iCs/>
                <w:szCs w:val="21"/>
              </w:rPr>
            </w:pPr>
            <w:r>
              <w:rPr>
                <w:rFonts w:hint="eastAsia" w:ascii="宋体" w:hAnsi="宋体"/>
                <w:bCs/>
                <w:i/>
                <w:iCs/>
                <w:szCs w:val="21"/>
              </w:rPr>
              <w:t>部分整改项未完成</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个别</w:t>
            </w:r>
            <w:r>
              <w:rPr>
                <w:rFonts w:ascii="宋体" w:hAnsi="宋体"/>
                <w:i/>
                <w:iCs/>
                <w:szCs w:val="21"/>
              </w:rPr>
              <w:t>责任制内容与岗位工作实际不相符</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ascii="宋体" w:hAnsi="宋体"/>
                <w:b/>
                <w:bCs/>
                <w:szCs w:val="21"/>
              </w:rPr>
            </w:pPr>
            <w:r>
              <w:rPr>
                <w:rFonts w:ascii="宋体" w:hAnsi="宋体"/>
                <w:b/>
                <w:bCs/>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232"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无安全标志标识和职业健康体检费用的使用计划</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ascii="宋体" w:hAnsi="宋体"/>
                <w:b/>
                <w:bCs/>
                <w:szCs w:val="21"/>
              </w:rPr>
            </w:pPr>
            <w:r>
              <w:rPr>
                <w:rFonts w:ascii="宋体" w:hAnsi="宋体"/>
                <w:b/>
                <w:bCs/>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692"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692"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232"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692"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232"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232" w:type="dxa"/>
            <w:vAlign w:val="center"/>
          </w:tcPr>
          <w:p>
            <w:pPr>
              <w:spacing w:line="240" w:lineRule="exact"/>
              <w:rPr>
                <w:rFonts w:ascii="宋体" w:hAnsi="宋体"/>
                <w:b/>
                <w:bCs/>
                <w:szCs w:val="21"/>
              </w:rPr>
            </w:pPr>
            <w:r>
              <w:rPr>
                <w:rFonts w:ascii="宋体" w:hAnsi="宋体"/>
                <w:b/>
                <w:bCs/>
                <w:szCs w:val="21"/>
              </w:rPr>
              <w:t>得分小计</w:t>
            </w:r>
          </w:p>
        </w:tc>
        <w:tc>
          <w:tcPr>
            <w:tcW w:w="1692" w:type="dxa"/>
            <w:vAlign w:val="center"/>
          </w:tcPr>
          <w:p>
            <w:pPr>
              <w:spacing w:line="260" w:lineRule="exact"/>
              <w:rPr>
                <w:rFonts w:ascii="宋体" w:hAnsi="宋体"/>
                <w:b/>
                <w:bCs/>
                <w:szCs w:val="21"/>
              </w:rPr>
            </w:pPr>
          </w:p>
        </w:tc>
        <w:tc>
          <w:tcPr>
            <w:tcW w:w="1249" w:type="dxa"/>
            <w:vAlign w:val="center"/>
          </w:tcPr>
          <w:p>
            <w:pPr>
              <w:spacing w:line="260" w:lineRule="exact"/>
              <w:jc w:val="center"/>
              <w:rPr>
                <w:rFonts w:ascii="宋体" w:hAnsi="宋体"/>
                <w:b/>
                <w:bCs/>
                <w:szCs w:val="21"/>
              </w:rPr>
            </w:pPr>
            <w:r>
              <w:rPr>
                <w:rFonts w:ascii="宋体" w:hAnsi="宋体"/>
                <w:b/>
                <w:bCs/>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232"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3</w:t>
            </w:r>
            <w:r>
              <w:rPr>
                <w:rFonts w:ascii="宋体" w:hAnsi="宋体"/>
                <w:b/>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hint="default" w:ascii="宋体" w:hAnsi="宋体" w:eastAsia="宋体"/>
                <w:i/>
                <w:iCs/>
                <w:szCs w:val="21"/>
                <w:lang w:val="en-US" w:eastAsia="zh-CN"/>
              </w:rPr>
            </w:pPr>
            <w:r>
              <w:rPr>
                <w:rFonts w:hint="default" w:ascii="宋体" w:hAnsi="宋体"/>
                <w:i/>
                <w:iCs/>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0000FF"/>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692"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szCs w:val="21"/>
              </w:rPr>
            </w:pPr>
            <w:r>
              <w:rPr>
                <w:rFonts w:hint="eastAsia" w:ascii="宋体" w:hAnsi="宋体"/>
                <w:i/>
                <w:color w:val="FF0000"/>
                <w:sz w:val="24"/>
              </w:rPr>
              <w:t>未定期进行检定</w:t>
            </w:r>
          </w:p>
        </w:tc>
        <w:tc>
          <w:tcPr>
            <w:tcW w:w="1249" w:type="dxa"/>
            <w:vAlign w:val="center"/>
          </w:tcPr>
          <w:p>
            <w:pPr>
              <w:spacing w:line="240" w:lineRule="exact"/>
              <w:jc w:val="center"/>
              <w:rPr>
                <w:rFonts w:ascii="宋体" w:hAnsi="宋体"/>
                <w:i/>
                <w:iCs/>
                <w:szCs w:val="21"/>
              </w:rPr>
            </w:pPr>
            <w:r>
              <w:rPr>
                <w:rFonts w:hint="eastAsia" w:ascii="宋体" w:hAnsi="宋体"/>
                <w:i/>
                <w:color w:val="FF0000"/>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232"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jc w:val="center"/>
              <w:rPr>
                <w:rFonts w:ascii="宋体" w:hAnsi="宋体"/>
                <w:i/>
                <w:iCs/>
                <w:color w:val="FF0000"/>
                <w:sz w:val="24"/>
              </w:rPr>
            </w:pPr>
          </w:p>
        </w:tc>
        <w:tc>
          <w:tcPr>
            <w:tcW w:w="1249" w:type="dxa"/>
            <w:vAlign w:val="center"/>
          </w:tcPr>
          <w:p>
            <w:pPr>
              <w:spacing w:line="240" w:lineRule="exact"/>
              <w:jc w:val="center"/>
              <w:rPr>
                <w:rFonts w:hint="eastAsia" w:ascii="宋体" w:hAnsi="宋体" w:eastAsia="宋体"/>
                <w:i/>
                <w:iCs/>
                <w:color w:val="FF0000"/>
                <w:sz w:val="24"/>
                <w:lang w:eastAsia="zh-CN"/>
              </w:rPr>
            </w:pPr>
            <w:r>
              <w:rPr>
                <w:rFonts w:hint="eastAsia" w:ascii="宋体" w:hAnsi="宋体"/>
                <w:i/>
                <w:color w:val="0000FF"/>
                <w:sz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232"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232"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pPr>
              <w:spacing w:line="240" w:lineRule="exact"/>
              <w:ind w:firstLine="600" w:firstLineChars="250"/>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232"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692"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pPr>
              <w:spacing w:line="240" w:lineRule="exact"/>
              <w:ind w:firstLine="105" w:firstLineChars="50"/>
              <w:rPr>
                <w:rFonts w:hint="eastAsia" w:ascii="宋体" w:hAnsi="宋体" w:eastAsia="宋体"/>
                <w:i/>
                <w:szCs w:val="21"/>
                <w:lang w:val="en-US" w:eastAsia="zh-CN"/>
              </w:rPr>
            </w:pPr>
            <w:r>
              <w:rPr>
                <w:rFonts w:hint="eastAsia" w:ascii="宋体" w:hAnsi="宋体"/>
                <w:szCs w:val="21"/>
                <w:lang w:val="en-US" w:eastAsia="zh-CN"/>
              </w:rPr>
              <w:t>无</w:t>
            </w:r>
            <w:r>
              <w:rPr>
                <w:rFonts w:ascii="宋体" w:hAnsi="宋体"/>
                <w:szCs w:val="21"/>
              </w:rPr>
              <w:t>台账或检（维）修计划</w:t>
            </w:r>
          </w:p>
        </w:tc>
        <w:tc>
          <w:tcPr>
            <w:tcW w:w="1249" w:type="dxa"/>
            <w:vAlign w:val="center"/>
          </w:tcPr>
          <w:p>
            <w:pPr>
              <w:spacing w:line="240" w:lineRule="exact"/>
              <w:jc w:val="center"/>
              <w:rPr>
                <w:rFonts w:hint="eastAsia" w:ascii="宋体" w:hAnsi="宋体" w:eastAsia="宋体"/>
                <w:i/>
                <w:szCs w:val="21"/>
                <w:lang w:eastAsia="zh-CN"/>
              </w:rPr>
            </w:pPr>
            <w:r>
              <w:rPr>
                <w:rFonts w:hint="eastAsia" w:ascii="宋体" w:hAnsi="宋体"/>
                <w:i/>
                <w:color w:val="0000FF"/>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692"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pPr>
              <w:spacing w:line="240" w:lineRule="exact"/>
              <w:ind w:firstLine="600" w:firstLineChars="250"/>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jc w:val="center"/>
              <w:rPr>
                <w:rFonts w:ascii="宋体" w:hAnsi="宋体"/>
                <w:i/>
                <w:iCs/>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pPr>
              <w:spacing w:line="240" w:lineRule="exact"/>
              <w:ind w:firstLine="600" w:firstLineChars="250"/>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232"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232"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232"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szCs w:val="21"/>
              </w:rPr>
            </w:pPr>
            <w:r>
              <w:rPr>
                <w:rFonts w:hint="eastAsia" w:ascii="宋体" w:hAnsi="宋体"/>
                <w:i/>
                <w:color w:val="0000FF"/>
                <w:sz w:val="24"/>
              </w:rPr>
              <w:t>缺项</w:t>
            </w:r>
          </w:p>
        </w:tc>
        <w:tc>
          <w:tcPr>
            <w:tcW w:w="1249" w:type="dxa"/>
            <w:vAlign w:val="center"/>
          </w:tcPr>
          <w:p>
            <w:pPr>
              <w:spacing w:line="240" w:lineRule="exact"/>
              <w:ind w:firstLine="525" w:firstLineChars="250"/>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692"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692"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FF0000"/>
                <w:szCs w:val="21"/>
              </w:rPr>
            </w:pPr>
            <w:r>
              <w:rPr>
                <w:rFonts w:hint="eastAsia" w:ascii="宋体" w:hAnsi="宋体"/>
                <w:color w:val="FF0000"/>
                <w:szCs w:val="21"/>
              </w:rPr>
              <w:t>防护罩不符合要求</w:t>
            </w:r>
          </w:p>
        </w:tc>
        <w:tc>
          <w:tcPr>
            <w:tcW w:w="1249" w:type="dxa"/>
            <w:vAlign w:val="center"/>
          </w:tcPr>
          <w:p>
            <w:pPr>
              <w:spacing w:line="240" w:lineRule="exact"/>
              <w:ind w:firstLine="518" w:firstLineChars="247"/>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color w:val="FF000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p>
        </w:tc>
        <w:tc>
          <w:tcPr>
            <w:tcW w:w="1692" w:type="dxa"/>
            <w:vAlign w:val="center"/>
          </w:tcPr>
          <w:p>
            <w:pPr>
              <w:spacing w:line="240" w:lineRule="exact"/>
              <w:jc w:val="center"/>
              <w:rPr>
                <w:rFonts w:ascii="宋体" w:hAnsi="宋体"/>
                <w:szCs w:val="21"/>
              </w:rPr>
            </w:pPr>
            <w:r>
              <w:rPr>
                <w:rFonts w:hint="eastAsia" w:ascii="宋体" w:hAnsi="宋体"/>
                <w:i/>
                <w:color w:val="FF0000"/>
                <w:szCs w:val="21"/>
              </w:rPr>
              <w:t>缺项</w:t>
            </w:r>
          </w:p>
        </w:tc>
        <w:tc>
          <w:tcPr>
            <w:tcW w:w="1249" w:type="dxa"/>
            <w:vAlign w:val="center"/>
          </w:tcPr>
          <w:p>
            <w:pPr>
              <w:spacing w:line="240" w:lineRule="exact"/>
              <w:ind w:firstLine="417" w:firstLineChars="199"/>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232"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692"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hint="default" w:ascii="宋体" w:hAnsi="宋体"/>
                <w:i/>
                <w:szCs w:val="21"/>
                <w:lang w:val="en-US"/>
              </w:rPr>
              <w:t>3</w:t>
            </w: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232"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color w:val="0000FF"/>
                <w:szCs w:val="21"/>
              </w:rPr>
            </w:pPr>
            <w:r>
              <w:rPr>
                <w:rFonts w:ascii="宋体" w:hAnsi="宋体"/>
                <w:b/>
                <w:color w:val="0000FF"/>
                <w:szCs w:val="21"/>
              </w:rPr>
              <w:t>得分小计</w:t>
            </w:r>
            <w:r>
              <w:rPr>
                <w:rFonts w:hint="eastAsia" w:ascii="宋体" w:hAnsi="宋体"/>
                <w:b/>
                <w:color w:val="0000FF"/>
                <w:szCs w:val="21"/>
              </w:rPr>
              <w:t xml:space="preserve"> 缺项</w:t>
            </w:r>
            <w:r>
              <w:rPr>
                <w:rFonts w:hint="eastAsia" w:ascii="宋体" w:hAnsi="宋体"/>
                <w:b/>
                <w:color w:val="0000FF"/>
                <w:szCs w:val="21"/>
                <w:lang w:val="en-US" w:eastAsia="zh-CN"/>
              </w:rPr>
              <w:t>67</w:t>
            </w:r>
            <w:r>
              <w:rPr>
                <w:rFonts w:hint="eastAsia" w:ascii="宋体" w:hAnsi="宋体"/>
                <w:b/>
                <w:color w:val="0000FF"/>
                <w:szCs w:val="21"/>
              </w:rPr>
              <w:t xml:space="preserve">分                       </w:t>
            </w:r>
          </w:p>
        </w:tc>
        <w:tc>
          <w:tcPr>
            <w:tcW w:w="1249" w:type="dxa"/>
            <w:vAlign w:val="center"/>
          </w:tcPr>
          <w:p>
            <w:pPr>
              <w:spacing w:line="240" w:lineRule="exact"/>
              <w:jc w:val="center"/>
              <w:rPr>
                <w:rFonts w:hint="default" w:ascii="宋体" w:hAnsi="宋体" w:eastAsia="宋体"/>
                <w:b/>
                <w:color w:val="0000FF"/>
                <w:szCs w:val="21"/>
                <w:lang w:val="en-US" w:eastAsia="zh-CN"/>
              </w:rPr>
            </w:pPr>
            <w:r>
              <w:rPr>
                <w:rFonts w:hint="eastAsia" w:ascii="宋体" w:hAnsi="宋体"/>
                <w:b/>
                <w:color w:val="0000FF"/>
                <w:szCs w:val="21"/>
                <w:lang w:val="en-US" w:eastAsia="zh-CN"/>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232"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232"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jc w:val="center"/>
              <w:rPr>
                <w:rFonts w:ascii="宋体" w:hAnsi="宋体"/>
                <w: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pPr>
              <w:spacing w:line="240" w:lineRule="exact"/>
              <w:rPr>
                <w:rFonts w:ascii="宋体" w:hAnsi="宋体"/>
                <w:szCs w:val="21"/>
              </w:rPr>
            </w:pPr>
            <w:r>
              <w:rPr>
                <w:rFonts w:hint="eastAsia" w:ascii="宋体" w:hAnsi="宋体"/>
                <w:i/>
                <w:color w:val="FF0000"/>
                <w:sz w:val="24"/>
              </w:rPr>
              <w:t>未按规定设置标识</w:t>
            </w: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692"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692" w:type="dxa"/>
            <w:vAlign w:val="center"/>
          </w:tcPr>
          <w:p>
            <w:pPr>
              <w:spacing w:line="240" w:lineRule="exact"/>
              <w:rPr>
                <w:rFonts w:ascii="宋体" w:hAnsi="宋体"/>
                <w:i/>
                <w:iCs/>
                <w:szCs w:val="21"/>
              </w:rPr>
            </w:pPr>
            <w:r>
              <w:rPr>
                <w:rFonts w:ascii="宋体" w:hAnsi="宋体"/>
                <w:color w:val="0000FF"/>
                <w:szCs w:val="21"/>
              </w:rPr>
              <w:t>承包协议中未明确双方安全生产责任和义务</w:t>
            </w:r>
          </w:p>
        </w:tc>
        <w:tc>
          <w:tcPr>
            <w:tcW w:w="1249" w:type="dxa"/>
            <w:vAlign w:val="center"/>
          </w:tcPr>
          <w:p>
            <w:pPr>
              <w:spacing w:line="240" w:lineRule="exact"/>
              <w:jc w:val="center"/>
              <w:rPr>
                <w:rFonts w:hint="eastAsia" w:ascii="宋体" w:hAnsi="宋体" w:eastAsia="宋体"/>
                <w:i/>
                <w:iCs/>
                <w:szCs w:val="21"/>
                <w:lang w:eastAsia="zh-CN"/>
              </w:rPr>
            </w:pPr>
            <w:r>
              <w:rPr>
                <w:rFonts w:hint="eastAsia" w:ascii="宋体" w:hAnsi="宋体"/>
                <w:i/>
                <w:iCs/>
                <w:color w:val="0000FF"/>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28</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color w:val="0000FF"/>
                <w:szCs w:val="21"/>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szCs w:val="21"/>
              </w:rPr>
            </w:pPr>
            <w:r>
              <w:rPr>
                <w:rFonts w:ascii="宋体" w:hAnsi="宋体"/>
                <w:i/>
                <w:szCs w:val="21"/>
              </w:rPr>
              <w:t xml:space="preserve">  </w:t>
            </w:r>
            <w:r>
              <w:rPr>
                <w:rFonts w:hint="eastAsia" w:ascii="宋体" w:hAnsi="宋体"/>
                <w:i/>
                <w:szCs w:val="21"/>
              </w:rPr>
              <w:t>隐</w:t>
            </w:r>
            <w:r>
              <w:rPr>
                <w:rFonts w:ascii="宋体" w:hAnsi="宋体"/>
                <w:i/>
                <w:szCs w:val="21"/>
              </w:rPr>
              <w:t>患登记档案资料不全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szCs w:val="21"/>
              </w:rPr>
            </w:pPr>
            <w:r>
              <w:rPr>
                <w:rFonts w:hint="eastAsia" w:ascii="宋体" w:hAnsi="宋体"/>
                <w:i/>
                <w:szCs w:val="21"/>
              </w:rPr>
              <w:t>方案内容缺项</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szCs w:val="21"/>
              </w:rPr>
            </w:pPr>
            <w:r>
              <w:rPr>
                <w:rFonts w:hint="eastAsia" w:ascii="宋体" w:hAnsi="宋体"/>
                <w:i/>
                <w:szCs w:val="21"/>
              </w:rPr>
              <w:t>未进行汇总总结</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pPr>
              <w:spacing w:line="240" w:lineRule="exact"/>
              <w:rPr>
                <w:rFonts w:ascii="宋体" w:hAnsi="宋体"/>
                <w:i/>
                <w:szCs w:val="21"/>
              </w:rPr>
            </w:pPr>
            <w:r>
              <w:rPr>
                <w:rFonts w:hint="eastAsia" w:ascii="宋体" w:hAnsi="宋体"/>
                <w:i/>
                <w:szCs w:val="21"/>
              </w:rPr>
              <w:t>缺少环境类隐患排查</w:t>
            </w:r>
          </w:p>
        </w:tc>
        <w:tc>
          <w:tcPr>
            <w:tcW w:w="1249" w:type="dxa"/>
            <w:vAlign w:val="center"/>
          </w:tcPr>
          <w:p>
            <w:pPr>
              <w:spacing w:line="240" w:lineRule="exact"/>
              <w:jc w:val="center"/>
              <w:rPr>
                <w:rFonts w:ascii="宋体" w:hAnsi="宋体"/>
                <w:i/>
                <w:szCs w:val="21"/>
              </w:rPr>
            </w:pPr>
            <w:r>
              <w:rPr>
                <w:rFonts w:ascii="宋体" w:hAnsi="宋体"/>
                <w:i/>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692" w:type="dxa"/>
            <w:vAlign w:val="center"/>
          </w:tcPr>
          <w:p>
            <w:pPr>
              <w:spacing w:line="240" w:lineRule="exact"/>
              <w:rPr>
                <w:rFonts w:ascii="宋体" w:hAnsi="宋体"/>
                <w:i/>
                <w:szCs w:val="21"/>
              </w:rPr>
            </w:pPr>
            <w:r>
              <w:rPr>
                <w:rFonts w:hint="eastAsia" w:ascii="宋体" w:hAnsi="宋体"/>
                <w:i/>
                <w:szCs w:val="21"/>
              </w:rPr>
              <w:t>检查人签字不全</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szCs w:val="21"/>
              </w:rPr>
            </w:pPr>
            <w:r>
              <w:rPr>
                <w:rFonts w:hint="eastAsia" w:ascii="宋体" w:hAnsi="宋体"/>
                <w:i/>
                <w:szCs w:val="21"/>
              </w:rPr>
              <w:t>方案内容不全</w:t>
            </w:r>
          </w:p>
        </w:tc>
        <w:tc>
          <w:tcPr>
            <w:tcW w:w="1249" w:type="dxa"/>
            <w:vAlign w:val="center"/>
          </w:tcPr>
          <w:p>
            <w:pPr>
              <w:jc w:val="center"/>
              <w:rPr>
                <w:rFonts w:ascii="宋体" w:hAnsi="宋体"/>
                <w:i/>
                <w:szCs w:val="21"/>
              </w:rPr>
            </w:pPr>
            <w:r>
              <w:rPr>
                <w:rFonts w:ascii="宋体" w:hAnsi="宋体"/>
                <w:i/>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pPr>
              <w:spacing w:line="240" w:lineRule="exact"/>
              <w:rPr>
                <w:rFonts w:ascii="宋体" w:hAnsi="宋体"/>
                <w:i/>
                <w:szCs w:val="21"/>
              </w:rPr>
            </w:pPr>
            <w:r>
              <w:rPr>
                <w:rFonts w:hint="eastAsia" w:ascii="宋体" w:hAnsi="宋体"/>
                <w:i/>
                <w:szCs w:val="21"/>
              </w:rPr>
              <w:t>无统计分析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ascii="宋体" w:hAnsi="宋体"/>
                <w:i/>
                <w:szCs w:val="21"/>
              </w:rPr>
            </w:pPr>
            <w:r>
              <w:rPr>
                <w:rFonts w:ascii="宋体" w:hAnsi="宋体"/>
                <w:szCs w:val="21"/>
              </w:rPr>
              <w:t>未每月进行风险分析</w:t>
            </w:r>
          </w:p>
        </w:tc>
        <w:tc>
          <w:tcPr>
            <w:tcW w:w="1249" w:type="dxa"/>
            <w:vAlign w:val="center"/>
          </w:tcPr>
          <w:p>
            <w:pPr>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232"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692" w:type="dxa"/>
            <w:vAlign w:val="center"/>
          </w:tcPr>
          <w:p>
            <w:pPr>
              <w:spacing w:line="300" w:lineRule="exact"/>
              <w:rPr>
                <w:rFonts w:ascii="宋体" w:hAnsi="宋体"/>
                <w:i/>
                <w:szCs w:val="21"/>
              </w:rPr>
            </w:pPr>
            <w:r>
              <w:rPr>
                <w:rFonts w:hint="eastAsia" w:ascii="宋体" w:hAnsi="宋体"/>
                <w:i/>
                <w:szCs w:val="21"/>
              </w:rPr>
              <w:t>评估不充分</w:t>
            </w:r>
          </w:p>
        </w:tc>
        <w:tc>
          <w:tcPr>
            <w:tcW w:w="1249" w:type="dxa"/>
            <w:vAlign w:val="center"/>
          </w:tcPr>
          <w:p>
            <w:pPr>
              <w:spacing w:line="240" w:lineRule="exact"/>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pPr>
              <w:spacing w:line="300" w:lineRule="exact"/>
              <w:rPr>
                <w:rFonts w:ascii="宋体" w:hAnsi="宋体"/>
                <w:i/>
                <w:szCs w:val="21"/>
              </w:rPr>
            </w:pPr>
            <w:r>
              <w:rPr>
                <w:rFonts w:hint="eastAsia" w:ascii="宋体" w:hAnsi="宋体"/>
                <w:i/>
                <w:szCs w:val="21"/>
              </w:rPr>
              <w:t>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pPr>
              <w:spacing w:line="300" w:lineRule="exact"/>
              <w:rPr>
                <w:rFonts w:ascii="宋体" w:hAnsi="宋体"/>
                <w:i/>
                <w:color w:val="FF0000"/>
                <w:szCs w:val="21"/>
              </w:rPr>
            </w:pPr>
            <w:r>
              <w:rPr>
                <w:rFonts w:hint="eastAsia" w:ascii="宋体" w:hAnsi="宋体"/>
                <w:i/>
                <w:color w:val="FF0000"/>
                <w:szCs w:val="21"/>
              </w:rPr>
              <w:t>未构成重大危险源，缺项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pPr>
              <w:spacing w:line="30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232"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692" w:type="dxa"/>
            <w:vAlign w:val="center"/>
          </w:tcPr>
          <w:p>
            <w:pPr>
              <w:spacing w:line="300" w:lineRule="exact"/>
              <w:rPr>
                <w:rFonts w:ascii="宋体" w:hAnsi="宋体"/>
                <w:i/>
                <w:szCs w:val="21"/>
              </w:rPr>
            </w:pPr>
            <w:r>
              <w:rPr>
                <w:rFonts w:hint="eastAsia" w:ascii="宋体" w:hAnsi="宋体"/>
                <w:i/>
                <w:szCs w:val="21"/>
              </w:rPr>
              <w:t>危险源</w:t>
            </w:r>
            <w:r>
              <w:rPr>
                <w:rFonts w:ascii="宋体" w:hAnsi="宋体"/>
                <w:i/>
                <w:szCs w:val="21"/>
              </w:rPr>
              <w:t xml:space="preserve">监控技术措施和组织措施不全 </w:t>
            </w:r>
          </w:p>
        </w:tc>
        <w:tc>
          <w:tcPr>
            <w:tcW w:w="1249" w:type="dxa"/>
            <w:vAlign w:val="center"/>
          </w:tcPr>
          <w:p>
            <w:pPr>
              <w:jc w:val="center"/>
              <w:rPr>
                <w:rFonts w:ascii="宋体" w:hAnsi="宋体"/>
                <w:szCs w:val="21"/>
              </w:rPr>
            </w:pPr>
            <w:r>
              <w:rPr>
                <w:rFonts w:hint="eastAsia" w:ascii="宋体" w:hAnsi="宋体"/>
                <w:i/>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szCs w:val="21"/>
              </w:rPr>
            </w:pPr>
            <w:r>
              <w:rPr>
                <w:rFonts w:hint="eastAsia" w:ascii="宋体" w:hAnsi="宋体"/>
                <w:i/>
                <w:szCs w:val="21"/>
              </w:rPr>
              <w:t>部分</w:t>
            </w:r>
            <w:r>
              <w:rPr>
                <w:rFonts w:ascii="宋体" w:hAnsi="宋体"/>
                <w:i/>
                <w:szCs w:val="21"/>
              </w:rPr>
              <w:t>警示标志</w:t>
            </w:r>
            <w:r>
              <w:rPr>
                <w:rFonts w:hint="eastAsia" w:ascii="宋体" w:hAnsi="宋体"/>
                <w:i/>
                <w:szCs w:val="21"/>
              </w:rPr>
              <w:t>污损或缺少</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ascii="宋体" w:hAnsi="宋体"/>
                <w:b/>
                <w:szCs w:val="21"/>
              </w:rPr>
            </w:pPr>
            <w:r>
              <w:rPr>
                <w:rFonts w:ascii="宋体" w:hAnsi="宋体"/>
                <w:b/>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692" w:type="dxa"/>
            <w:vAlign w:val="center"/>
          </w:tcPr>
          <w:p>
            <w:pPr>
              <w:spacing w:line="240" w:lineRule="exact"/>
              <w:rPr>
                <w:rFonts w:ascii="宋体" w:hAnsi="宋体"/>
                <w:i/>
                <w:szCs w:val="21"/>
              </w:rPr>
            </w:pPr>
            <w:r>
              <w:rPr>
                <w:rFonts w:hint="eastAsia" w:ascii="宋体" w:hAnsi="宋体"/>
                <w:i/>
                <w:szCs w:val="21"/>
              </w:rPr>
              <w:t>防护措施不当</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szCs w:val="21"/>
              </w:rPr>
            </w:pPr>
            <w:r>
              <w:rPr>
                <w:rFonts w:ascii="宋体" w:hAnsi="宋体"/>
                <w:i/>
                <w:szCs w:val="21"/>
              </w:rPr>
              <w:t>未进行员工健康检查</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szCs w:val="21"/>
              </w:rPr>
            </w:pPr>
            <w:r>
              <w:rPr>
                <w:rFonts w:ascii="宋体" w:hAnsi="宋体"/>
                <w:szCs w:val="21"/>
              </w:rPr>
              <w:t xml:space="preserve"> 未定期检测</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rPr>
                <w:rFonts w:ascii="宋体" w:hAnsi="宋体"/>
                <w:i/>
                <w:szCs w:val="21"/>
              </w:rPr>
            </w:pPr>
            <w:r>
              <w:rPr>
                <w:rFonts w:hint="eastAsia" w:ascii="宋体" w:hAnsi="宋体"/>
                <w:i/>
                <w:szCs w:val="21"/>
              </w:rPr>
              <w:t>无报警装置</w:t>
            </w:r>
          </w:p>
        </w:tc>
        <w:tc>
          <w:tcPr>
            <w:tcW w:w="1249" w:type="dxa"/>
            <w:vAlign w:val="center"/>
          </w:tcPr>
          <w:p>
            <w:pPr>
              <w:tabs>
                <w:tab w:val="left" w:pos="512"/>
              </w:tabs>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692" w:type="dxa"/>
            <w:vAlign w:val="center"/>
          </w:tcPr>
          <w:p>
            <w:pPr>
              <w:spacing w:line="240" w:lineRule="exact"/>
              <w:jc w:val="center"/>
              <w:rPr>
                <w:rFonts w:ascii="宋体" w:hAnsi="宋体"/>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Cs/>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szCs w:val="21"/>
              </w:rPr>
            </w:pPr>
            <w:r>
              <w:rPr>
                <w:rFonts w:ascii="宋体" w:hAnsi="宋体"/>
                <w:szCs w:val="21"/>
              </w:rPr>
              <w:t xml:space="preserve"> 未书面告知</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员工及相关方不清楚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szCs w:val="21"/>
              </w:rPr>
            </w:pPr>
            <w:r>
              <w:rPr>
                <w:rFonts w:hint="eastAsia" w:ascii="宋体" w:hAnsi="宋体"/>
                <w:i/>
                <w:szCs w:val="21"/>
              </w:rPr>
              <w:t>缺少标志</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692" w:type="dxa"/>
            <w:vAlign w:val="center"/>
          </w:tcPr>
          <w:p>
            <w:pPr>
              <w:spacing w:line="240" w:lineRule="exact"/>
              <w:jc w:val="center"/>
              <w:rPr>
                <w:rFonts w:ascii="宋体" w:hAnsi="宋体"/>
                <w:szCs w:val="21"/>
              </w:rPr>
            </w:pPr>
            <w:r>
              <w:rPr>
                <w:rFonts w:ascii="宋体" w:hAnsi="宋体"/>
                <w:szCs w:val="21"/>
              </w:rPr>
              <w:t>未申报材料</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232"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692" w:type="dxa"/>
            <w:vAlign w:val="center"/>
          </w:tcPr>
          <w:p>
            <w:pPr>
              <w:spacing w:line="240" w:lineRule="exact"/>
              <w:rPr>
                <w:rFonts w:ascii="宋体" w:hAnsi="宋体"/>
                <w:i/>
                <w:szCs w:val="21"/>
              </w:rPr>
            </w:pPr>
            <w:r>
              <w:rPr>
                <w:rFonts w:hint="eastAsia" w:ascii="宋体" w:hAnsi="宋体"/>
                <w:i/>
                <w:szCs w:val="21"/>
              </w:rPr>
              <w:t>缺少变更申请</w:t>
            </w:r>
          </w:p>
        </w:tc>
        <w:tc>
          <w:tcPr>
            <w:tcW w:w="1249" w:type="dxa"/>
            <w:vAlign w:val="center"/>
          </w:tcPr>
          <w:p>
            <w:pPr>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ascii="宋体" w:hAnsi="宋体"/>
                <w:b/>
                <w:szCs w:val="21"/>
              </w:rPr>
            </w:pPr>
            <w:r>
              <w:rPr>
                <w:rFonts w:hint="eastAsia" w:ascii="宋体" w:hAnsi="宋体"/>
                <w:b/>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pPr>
              <w:spacing w:line="280" w:lineRule="exact"/>
              <w:rPr>
                <w:rFonts w:ascii="宋体" w:hAnsi="宋体"/>
                <w:i/>
                <w:color w:val="FF0000"/>
                <w:sz w:val="24"/>
              </w:rPr>
            </w:pPr>
            <w:r>
              <w:rPr>
                <w:rFonts w:ascii="宋体" w:hAnsi="宋体"/>
                <w:szCs w:val="21"/>
              </w:rPr>
              <w:t>未备案</w:t>
            </w: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692" w:type="dxa"/>
            <w:vAlign w:val="center"/>
          </w:tcPr>
          <w:p>
            <w:pPr>
              <w:spacing w:line="280" w:lineRule="exact"/>
              <w:rPr>
                <w:rFonts w:ascii="宋体" w:hAnsi="宋体"/>
                <w:i/>
                <w:szCs w:val="21"/>
              </w:rPr>
            </w:pPr>
            <w:r>
              <w:rPr>
                <w:rFonts w:hint="eastAsia" w:ascii="宋体" w:hAnsi="宋体"/>
                <w:i/>
                <w:szCs w:val="21"/>
              </w:rPr>
              <w:t>应急物资不全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szCs w:val="21"/>
              </w:rPr>
            </w:pPr>
            <w:r>
              <w:rPr>
                <w:rFonts w:hint="eastAsia" w:ascii="宋体" w:hAnsi="宋体"/>
                <w:i/>
                <w:szCs w:val="21"/>
              </w:rPr>
              <w:t>无维护记录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232"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80" w:lineRule="exact"/>
              <w:rPr>
                <w:rFonts w:ascii="宋体" w:hAnsi="宋体"/>
                <w:i/>
                <w:szCs w:val="21"/>
              </w:rPr>
            </w:pPr>
            <w:r>
              <w:rPr>
                <w:rFonts w:ascii="宋体" w:hAnsi="宋体"/>
                <w:szCs w:val="21"/>
              </w:rPr>
              <w:t>高层管理人员未参加演练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szCs w:val="21"/>
              </w:rPr>
            </w:pPr>
            <w:r>
              <w:rPr>
                <w:rFonts w:hint="eastAsia" w:ascii="宋体" w:hAnsi="宋体"/>
                <w:i/>
                <w:szCs w:val="21"/>
              </w:rPr>
              <w:t>无评估</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szCs w:val="21"/>
              </w:rPr>
            </w:pPr>
          </w:p>
        </w:tc>
        <w:tc>
          <w:tcPr>
            <w:tcW w:w="1249" w:type="dxa"/>
            <w:vAlign w:val="center"/>
          </w:tcPr>
          <w:p>
            <w:pPr>
              <w:spacing w:line="28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hint="eastAsia" w:ascii="宋体" w:hAnsi="宋体"/>
                <w:b/>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pPr>
              <w:spacing w:line="240" w:lineRule="exact"/>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szCs w:val="21"/>
              </w:rPr>
            </w:pPr>
            <w:r>
              <w:rPr>
                <w:rFonts w:hint="eastAsia" w:ascii="宋体" w:hAnsi="宋体"/>
                <w:i/>
                <w:szCs w:val="21"/>
              </w:rPr>
              <w:t>未整理归档</w:t>
            </w:r>
          </w:p>
        </w:tc>
        <w:tc>
          <w:tcPr>
            <w:tcW w:w="1249" w:type="dxa"/>
            <w:vAlign w:val="center"/>
          </w:tcPr>
          <w:p>
            <w:pPr>
              <w:tabs>
                <w:tab w:val="left" w:pos="347"/>
              </w:tabs>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szCs w:val="21"/>
              </w:rPr>
            </w:pPr>
            <w:r>
              <w:rPr>
                <w:rFonts w:hint="eastAsia" w:ascii="宋体" w:hAnsi="宋体"/>
                <w:i/>
                <w:szCs w:val="21"/>
              </w:rPr>
              <w:t>未回顾</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部分人员对内容不清楚</w:t>
            </w:r>
          </w:p>
        </w:tc>
        <w:tc>
          <w:tcPr>
            <w:tcW w:w="1249" w:type="dxa"/>
            <w:vAlign w:val="center"/>
          </w:tcPr>
          <w:p>
            <w:pPr>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ind w:firstLine="308" w:firstLineChars="147"/>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szCs w:val="21"/>
              </w:rPr>
            </w:pPr>
            <w:r>
              <w:rPr>
                <w:rFonts w:hint="eastAsia" w:ascii="宋体" w:hAnsi="宋体"/>
                <w:i/>
                <w:szCs w:val="21"/>
              </w:rPr>
              <w:t>考核结果未兑现到人员</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szCs w:val="21"/>
              </w:rPr>
            </w:pPr>
            <w:r>
              <w:rPr>
                <w:rFonts w:hint="eastAsia" w:ascii="宋体" w:hAnsi="宋体"/>
                <w:i/>
                <w:szCs w:val="21"/>
              </w:rPr>
              <w:t>未制定计划措施</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692" w:type="dxa"/>
            <w:vAlign w:val="center"/>
          </w:tcPr>
          <w:p>
            <w:pPr>
              <w:spacing w:line="240" w:lineRule="exact"/>
              <w:rPr>
                <w:rFonts w:ascii="宋体" w:hAnsi="宋体"/>
                <w:i/>
                <w:szCs w:val="21"/>
              </w:rPr>
            </w:pPr>
            <w:r>
              <w:rPr>
                <w:rFonts w:hint="eastAsia" w:ascii="宋体" w:hAnsi="宋体"/>
                <w:i/>
                <w:szCs w:val="21"/>
              </w:rPr>
              <w:t>评定结果</w:t>
            </w:r>
            <w:r>
              <w:rPr>
                <w:rFonts w:ascii="宋体" w:hAnsi="宋体"/>
                <w:i/>
                <w:szCs w:val="21"/>
              </w:rPr>
              <w:t>要明确的事项缺项</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894</w:t>
            </w:r>
            <w:r>
              <w:rPr>
                <w:rFonts w:hint="eastAsia" w:ascii="宋体" w:hAnsi="宋体"/>
                <w:b/>
                <w:szCs w:val="21"/>
              </w:rPr>
              <w:t>分\缺项总计</w:t>
            </w:r>
            <w:r>
              <w:rPr>
                <w:rFonts w:ascii="宋体" w:hAnsi="宋体"/>
                <w:b/>
                <w:szCs w:val="21"/>
              </w:rPr>
              <w:t>106</w:t>
            </w:r>
            <w:r>
              <w:rPr>
                <w:rFonts w:hint="eastAsia" w:ascii="宋体" w:hAnsi="宋体"/>
                <w:b/>
                <w:szCs w:val="21"/>
              </w:rPr>
              <w:t>分</w:t>
            </w:r>
          </w:p>
        </w:tc>
        <w:tc>
          <w:tcPr>
            <w:tcW w:w="1249" w:type="dxa"/>
            <w:vAlign w:val="center"/>
          </w:tcPr>
          <w:p>
            <w:pPr>
              <w:spacing w:line="240" w:lineRule="exact"/>
              <w:jc w:val="center"/>
              <w:rPr>
                <w:rFonts w:ascii="宋体" w:hAnsi="宋体"/>
                <w:b/>
                <w:szCs w:val="21"/>
              </w:rPr>
            </w:pPr>
            <w:r>
              <w:rPr>
                <w:rFonts w:ascii="宋体" w:hAnsi="宋体"/>
                <w:b/>
                <w:szCs w:val="21"/>
              </w:rPr>
              <w:t>590</w:t>
            </w:r>
          </w:p>
        </w:tc>
      </w:tr>
    </w:tbl>
    <w:p>
      <w:pPr>
        <w:widowControl/>
        <w:spacing w:after="156"/>
        <w:jc w:val="center"/>
        <w:rPr>
          <w:rFonts w:ascii="宋体" w:hAnsi="宋体"/>
          <w:b/>
          <w:bCs/>
          <w:kern w:val="0"/>
          <w:sz w:val="32"/>
          <w:szCs w:val="32"/>
        </w:rPr>
      </w:pPr>
    </w:p>
    <w:p>
      <w:pPr>
        <w:widowControl/>
        <w:jc w:val="left"/>
        <w:rPr>
          <w:rFonts w:ascii="宋体" w:hAnsi="宋体"/>
          <w:b/>
          <w:bCs/>
          <w:kern w:val="0"/>
          <w:sz w:val="32"/>
          <w:szCs w:val="32"/>
        </w:rPr>
      </w:pPr>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3"/>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38</w:t>
            </w:r>
            <w:r>
              <w:rPr>
                <w:b/>
                <w:sz w:val="24"/>
                <w:szCs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52DB0"/>
    <w:rsid w:val="00062240"/>
    <w:rsid w:val="00071968"/>
    <w:rsid w:val="000727D9"/>
    <w:rsid w:val="00077448"/>
    <w:rsid w:val="000855BE"/>
    <w:rsid w:val="0009337E"/>
    <w:rsid w:val="000A3BC8"/>
    <w:rsid w:val="000B5E00"/>
    <w:rsid w:val="000B7EE0"/>
    <w:rsid w:val="000C769E"/>
    <w:rsid w:val="000E28D7"/>
    <w:rsid w:val="000F2AED"/>
    <w:rsid w:val="000F3531"/>
    <w:rsid w:val="000F36C5"/>
    <w:rsid w:val="000F72F3"/>
    <w:rsid w:val="00124E98"/>
    <w:rsid w:val="001360F6"/>
    <w:rsid w:val="00154E36"/>
    <w:rsid w:val="00155D8F"/>
    <w:rsid w:val="00162AD0"/>
    <w:rsid w:val="00162D0B"/>
    <w:rsid w:val="001811B3"/>
    <w:rsid w:val="00187FF2"/>
    <w:rsid w:val="0019481D"/>
    <w:rsid w:val="001A4304"/>
    <w:rsid w:val="001A4E33"/>
    <w:rsid w:val="001A750F"/>
    <w:rsid w:val="001B2D31"/>
    <w:rsid w:val="001C5A86"/>
    <w:rsid w:val="001D6E70"/>
    <w:rsid w:val="001E11FC"/>
    <w:rsid w:val="001F186C"/>
    <w:rsid w:val="001F2CE9"/>
    <w:rsid w:val="00272B89"/>
    <w:rsid w:val="002921CE"/>
    <w:rsid w:val="002939FB"/>
    <w:rsid w:val="002C691A"/>
    <w:rsid w:val="002D13BE"/>
    <w:rsid w:val="002E544D"/>
    <w:rsid w:val="003238E3"/>
    <w:rsid w:val="00331882"/>
    <w:rsid w:val="00335E75"/>
    <w:rsid w:val="0035178C"/>
    <w:rsid w:val="00357261"/>
    <w:rsid w:val="00364238"/>
    <w:rsid w:val="00382B7C"/>
    <w:rsid w:val="00391E62"/>
    <w:rsid w:val="003B5244"/>
    <w:rsid w:val="003C5874"/>
    <w:rsid w:val="003D41F0"/>
    <w:rsid w:val="003D5A32"/>
    <w:rsid w:val="003E0CF6"/>
    <w:rsid w:val="003E575E"/>
    <w:rsid w:val="003E6163"/>
    <w:rsid w:val="003E6670"/>
    <w:rsid w:val="003F5335"/>
    <w:rsid w:val="003F7CD7"/>
    <w:rsid w:val="00406151"/>
    <w:rsid w:val="00426616"/>
    <w:rsid w:val="004527F1"/>
    <w:rsid w:val="004749D1"/>
    <w:rsid w:val="00474D5E"/>
    <w:rsid w:val="0048410A"/>
    <w:rsid w:val="004854D0"/>
    <w:rsid w:val="00497501"/>
    <w:rsid w:val="00497605"/>
    <w:rsid w:val="004A1652"/>
    <w:rsid w:val="004A40E6"/>
    <w:rsid w:val="004B21FE"/>
    <w:rsid w:val="004B6247"/>
    <w:rsid w:val="004B7255"/>
    <w:rsid w:val="004C599F"/>
    <w:rsid w:val="004F468B"/>
    <w:rsid w:val="004F6015"/>
    <w:rsid w:val="0051084C"/>
    <w:rsid w:val="005119AD"/>
    <w:rsid w:val="00517B6D"/>
    <w:rsid w:val="005217E0"/>
    <w:rsid w:val="00521C49"/>
    <w:rsid w:val="005233F0"/>
    <w:rsid w:val="00532C1E"/>
    <w:rsid w:val="005348E7"/>
    <w:rsid w:val="00537EC7"/>
    <w:rsid w:val="00542466"/>
    <w:rsid w:val="00567913"/>
    <w:rsid w:val="00567EB1"/>
    <w:rsid w:val="00571B5E"/>
    <w:rsid w:val="00580CD9"/>
    <w:rsid w:val="005B28A3"/>
    <w:rsid w:val="005D7CBF"/>
    <w:rsid w:val="005F57D4"/>
    <w:rsid w:val="006224E8"/>
    <w:rsid w:val="00626482"/>
    <w:rsid w:val="00633F42"/>
    <w:rsid w:val="00646B9D"/>
    <w:rsid w:val="006520CC"/>
    <w:rsid w:val="0066034F"/>
    <w:rsid w:val="006718D4"/>
    <w:rsid w:val="00672509"/>
    <w:rsid w:val="00686934"/>
    <w:rsid w:val="006A3BFE"/>
    <w:rsid w:val="006B0ADA"/>
    <w:rsid w:val="006C5590"/>
    <w:rsid w:val="006E49C6"/>
    <w:rsid w:val="00716E94"/>
    <w:rsid w:val="007367F7"/>
    <w:rsid w:val="00755D12"/>
    <w:rsid w:val="00771E64"/>
    <w:rsid w:val="00776E5D"/>
    <w:rsid w:val="00787420"/>
    <w:rsid w:val="007912A7"/>
    <w:rsid w:val="007A7C14"/>
    <w:rsid w:val="007B61D8"/>
    <w:rsid w:val="007C1CE9"/>
    <w:rsid w:val="007C5E8A"/>
    <w:rsid w:val="007D6A71"/>
    <w:rsid w:val="008149D2"/>
    <w:rsid w:val="00837EEE"/>
    <w:rsid w:val="00842AA6"/>
    <w:rsid w:val="008749C3"/>
    <w:rsid w:val="008942A1"/>
    <w:rsid w:val="008A781E"/>
    <w:rsid w:val="008B6DEE"/>
    <w:rsid w:val="008C02F3"/>
    <w:rsid w:val="008C1C05"/>
    <w:rsid w:val="008D175D"/>
    <w:rsid w:val="008D1A8F"/>
    <w:rsid w:val="008D275A"/>
    <w:rsid w:val="008E54B8"/>
    <w:rsid w:val="008E5730"/>
    <w:rsid w:val="008F08F5"/>
    <w:rsid w:val="00940F28"/>
    <w:rsid w:val="00946124"/>
    <w:rsid w:val="009479A1"/>
    <w:rsid w:val="00953B25"/>
    <w:rsid w:val="00967EFA"/>
    <w:rsid w:val="009757FC"/>
    <w:rsid w:val="00984C76"/>
    <w:rsid w:val="009A4A34"/>
    <w:rsid w:val="009B0ACC"/>
    <w:rsid w:val="009B23B8"/>
    <w:rsid w:val="009C6411"/>
    <w:rsid w:val="009F7AE5"/>
    <w:rsid w:val="00A00695"/>
    <w:rsid w:val="00A0464E"/>
    <w:rsid w:val="00A20C7B"/>
    <w:rsid w:val="00A22FDC"/>
    <w:rsid w:val="00A26512"/>
    <w:rsid w:val="00A43EE0"/>
    <w:rsid w:val="00A43FD9"/>
    <w:rsid w:val="00A44B83"/>
    <w:rsid w:val="00A47116"/>
    <w:rsid w:val="00A54226"/>
    <w:rsid w:val="00A543FC"/>
    <w:rsid w:val="00A6455F"/>
    <w:rsid w:val="00A84EBC"/>
    <w:rsid w:val="00A909B0"/>
    <w:rsid w:val="00AA1B0D"/>
    <w:rsid w:val="00AB5C19"/>
    <w:rsid w:val="00AC3204"/>
    <w:rsid w:val="00AC47A4"/>
    <w:rsid w:val="00AD7EB5"/>
    <w:rsid w:val="00AE0401"/>
    <w:rsid w:val="00B01EB1"/>
    <w:rsid w:val="00B01EC0"/>
    <w:rsid w:val="00B02F4E"/>
    <w:rsid w:val="00B33CAC"/>
    <w:rsid w:val="00B4175A"/>
    <w:rsid w:val="00B45AE0"/>
    <w:rsid w:val="00B4701E"/>
    <w:rsid w:val="00B4705B"/>
    <w:rsid w:val="00B55B40"/>
    <w:rsid w:val="00B61E27"/>
    <w:rsid w:val="00B73B72"/>
    <w:rsid w:val="00B74954"/>
    <w:rsid w:val="00B775BC"/>
    <w:rsid w:val="00B84080"/>
    <w:rsid w:val="00BA6F4C"/>
    <w:rsid w:val="00BB44CC"/>
    <w:rsid w:val="00BB5268"/>
    <w:rsid w:val="00BB67FC"/>
    <w:rsid w:val="00BB6853"/>
    <w:rsid w:val="00BB6E6E"/>
    <w:rsid w:val="00C04B04"/>
    <w:rsid w:val="00C32712"/>
    <w:rsid w:val="00C4376D"/>
    <w:rsid w:val="00C438EF"/>
    <w:rsid w:val="00C50EE7"/>
    <w:rsid w:val="00C9126F"/>
    <w:rsid w:val="00CB2DF7"/>
    <w:rsid w:val="00CC266B"/>
    <w:rsid w:val="00CD3531"/>
    <w:rsid w:val="00CE17A9"/>
    <w:rsid w:val="00CE72E0"/>
    <w:rsid w:val="00CF4491"/>
    <w:rsid w:val="00CF7B72"/>
    <w:rsid w:val="00D00F6E"/>
    <w:rsid w:val="00D037A1"/>
    <w:rsid w:val="00D04E0D"/>
    <w:rsid w:val="00D11D72"/>
    <w:rsid w:val="00D11EDE"/>
    <w:rsid w:val="00D3091B"/>
    <w:rsid w:val="00D3118E"/>
    <w:rsid w:val="00D46ED6"/>
    <w:rsid w:val="00D70AC9"/>
    <w:rsid w:val="00D72C17"/>
    <w:rsid w:val="00D87DB6"/>
    <w:rsid w:val="00D9226A"/>
    <w:rsid w:val="00D95A6B"/>
    <w:rsid w:val="00D97304"/>
    <w:rsid w:val="00DB378C"/>
    <w:rsid w:val="00DC68F5"/>
    <w:rsid w:val="00DE1376"/>
    <w:rsid w:val="00DF56C0"/>
    <w:rsid w:val="00DF6B01"/>
    <w:rsid w:val="00E0346B"/>
    <w:rsid w:val="00E111F0"/>
    <w:rsid w:val="00E15096"/>
    <w:rsid w:val="00E15E78"/>
    <w:rsid w:val="00E266D2"/>
    <w:rsid w:val="00E31996"/>
    <w:rsid w:val="00E37C00"/>
    <w:rsid w:val="00E40EE3"/>
    <w:rsid w:val="00E435DD"/>
    <w:rsid w:val="00E448A1"/>
    <w:rsid w:val="00E52845"/>
    <w:rsid w:val="00E534B0"/>
    <w:rsid w:val="00E6108E"/>
    <w:rsid w:val="00E73A70"/>
    <w:rsid w:val="00E910C6"/>
    <w:rsid w:val="00EA4F47"/>
    <w:rsid w:val="00EA69DC"/>
    <w:rsid w:val="00EB3BCB"/>
    <w:rsid w:val="00EC0DB5"/>
    <w:rsid w:val="00EC0E38"/>
    <w:rsid w:val="00EE61E5"/>
    <w:rsid w:val="00EF5E7A"/>
    <w:rsid w:val="00EF7ED9"/>
    <w:rsid w:val="00F01FE4"/>
    <w:rsid w:val="00F135F6"/>
    <w:rsid w:val="00F14CCC"/>
    <w:rsid w:val="00F161C7"/>
    <w:rsid w:val="00F32D35"/>
    <w:rsid w:val="00F41A71"/>
    <w:rsid w:val="00F42E12"/>
    <w:rsid w:val="00F42F2D"/>
    <w:rsid w:val="00F4718B"/>
    <w:rsid w:val="00F55C01"/>
    <w:rsid w:val="00F70408"/>
    <w:rsid w:val="00F73B03"/>
    <w:rsid w:val="00F75591"/>
    <w:rsid w:val="00F8019E"/>
    <w:rsid w:val="00F801CC"/>
    <w:rsid w:val="00F9202F"/>
    <w:rsid w:val="00F94369"/>
    <w:rsid w:val="00FA6CAE"/>
    <w:rsid w:val="00FB30DA"/>
    <w:rsid w:val="00FD0652"/>
    <w:rsid w:val="00FF547E"/>
    <w:rsid w:val="05860665"/>
    <w:rsid w:val="05FD3867"/>
    <w:rsid w:val="08FC05F2"/>
    <w:rsid w:val="0A447F47"/>
    <w:rsid w:val="0D495287"/>
    <w:rsid w:val="1090055B"/>
    <w:rsid w:val="1165576D"/>
    <w:rsid w:val="1A026C2D"/>
    <w:rsid w:val="1A960CE8"/>
    <w:rsid w:val="1ACC305B"/>
    <w:rsid w:val="1DB9794E"/>
    <w:rsid w:val="1F195C96"/>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2656D2"/>
    <w:rsid w:val="3C58228A"/>
    <w:rsid w:val="3C8C5E56"/>
    <w:rsid w:val="3D5D1DB7"/>
    <w:rsid w:val="3F8D54A0"/>
    <w:rsid w:val="40705A68"/>
    <w:rsid w:val="42695E8C"/>
    <w:rsid w:val="42DA4ED4"/>
    <w:rsid w:val="43AF7900"/>
    <w:rsid w:val="441B109E"/>
    <w:rsid w:val="464C12FB"/>
    <w:rsid w:val="46F8557F"/>
    <w:rsid w:val="47F00CBD"/>
    <w:rsid w:val="493E0B9F"/>
    <w:rsid w:val="4A605160"/>
    <w:rsid w:val="4ABF4C4B"/>
    <w:rsid w:val="4C426A8D"/>
    <w:rsid w:val="4D437170"/>
    <w:rsid w:val="4FE2635E"/>
    <w:rsid w:val="50973826"/>
    <w:rsid w:val="50E64039"/>
    <w:rsid w:val="513C5DDA"/>
    <w:rsid w:val="51AA5CFD"/>
    <w:rsid w:val="54AF44E2"/>
    <w:rsid w:val="55B456CA"/>
    <w:rsid w:val="5AC7318C"/>
    <w:rsid w:val="5DC94B72"/>
    <w:rsid w:val="5E286F47"/>
    <w:rsid w:val="5E6F4FF5"/>
    <w:rsid w:val="5F98205D"/>
    <w:rsid w:val="62332B2E"/>
    <w:rsid w:val="64C10433"/>
    <w:rsid w:val="686E1BC7"/>
    <w:rsid w:val="6885295E"/>
    <w:rsid w:val="692B572E"/>
    <w:rsid w:val="693C71B9"/>
    <w:rsid w:val="6FB30578"/>
    <w:rsid w:val="701229FB"/>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99"/>
    <w:pPr>
      <w:tabs>
        <w:tab w:val="center" w:pos="4153"/>
        <w:tab w:val="right" w:pos="8306"/>
      </w:tabs>
      <w:snapToGrid w:val="0"/>
      <w:jc w:val="left"/>
    </w:pPr>
    <w:rPr>
      <w:rFonts w:eastAsia="仿宋_GB2312"/>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jc w:val="left"/>
    </w:pPr>
    <w:rPr>
      <w:kern w:val="0"/>
      <w:sz w:val="24"/>
    </w:rPr>
  </w:style>
  <w:style w:type="character" w:styleId="8">
    <w:name w:val="page number"/>
    <w:basedOn w:val="7"/>
    <w:qFormat/>
    <w:uiPriority w:val="0"/>
  </w:style>
  <w:style w:type="character" w:customStyle="1" w:styleId="9">
    <w:name w:val="页脚 字符"/>
    <w:basedOn w:val="7"/>
    <w:link w:val="3"/>
    <w:qFormat/>
    <w:uiPriority w:val="99"/>
    <w:rPr>
      <w:rFonts w:eastAsia="仿宋_GB2312"/>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38</Pages>
  <Words>5103</Words>
  <Characters>29088</Characters>
  <Lines>242</Lines>
  <Paragraphs>68</Paragraphs>
  <TotalTime>7</TotalTime>
  <ScaleCrop>false</ScaleCrop>
  <LinksUpToDate>false</LinksUpToDate>
  <CharactersWithSpaces>34123</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cp:lastPrinted>2021-09-16T03:00:00Z</cp:lastPrinted>
  <dcterms:modified xsi:type="dcterms:W3CDTF">2021-12-30T06:36:37Z</dcterms:modified>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3FBD3BEA86644BEB9E39AAF149627005</vt:lpwstr>
  </property>
</Properties>
</file>