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040"/>
          <w:tab w:val="left" w:pos="11647"/>
        </w:tabs>
        <w:jc w:val="left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ab/>
      </w:r>
      <w:r>
        <w:rPr>
          <w:rFonts w:hint="eastAsia"/>
          <w:b/>
          <w:bCs/>
          <w:sz w:val="32"/>
          <w:szCs w:val="32"/>
          <w:lang w:eastAsia="zh-CN"/>
        </w:rPr>
        <w:t>德兴市长兴钢化玻璃有限公司</w:t>
      </w:r>
      <w:r>
        <w:rPr>
          <w:rFonts w:hint="eastAsia"/>
          <w:b/>
          <w:bCs/>
          <w:sz w:val="32"/>
          <w:szCs w:val="32"/>
          <w:lang w:eastAsia="zh-CN"/>
        </w:rPr>
        <w:tab/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安全风险分级管控清单</w:t>
      </w:r>
    </w:p>
    <w:tbl>
      <w:tblPr>
        <w:tblStyle w:val="4"/>
        <w:tblpPr w:leftFromText="180" w:rightFromText="180" w:vertAnchor="text" w:horzAnchor="page" w:tblpX="1743" w:tblpY="164"/>
        <w:tblOverlap w:val="never"/>
        <w:tblW w:w="13843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672"/>
        <w:gridCol w:w="1330"/>
        <w:gridCol w:w="1772"/>
        <w:gridCol w:w="1262"/>
        <w:gridCol w:w="3794"/>
        <w:gridCol w:w="1940"/>
        <w:gridCol w:w="14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序号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场所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环节</w:t>
            </w:r>
            <w:r>
              <w:rPr>
                <w:rFonts w:hint="eastAsia" w:ascii="宋体" w:hAnsi="宋体" w:eastAsia="宋体" w:cs="SBCDEE+E-BZ"/>
                <w:b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部位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较大危险因素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易发生的事故类型</w:t>
            </w:r>
          </w:p>
        </w:tc>
        <w:tc>
          <w:tcPr>
            <w:tcW w:w="1262" w:type="dxa"/>
            <w:noWrap w:val="0"/>
            <w:vAlign w:val="top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风险分级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主要防范措施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center"/>
              <w:rPr>
                <w:rFonts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依据</w:t>
            </w:r>
          </w:p>
        </w:tc>
        <w:tc>
          <w:tcPr>
            <w:tcW w:w="1428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责任部门/</w:t>
            </w:r>
          </w:p>
          <w:p>
            <w:pPr>
              <w:pStyle w:val="6"/>
              <w:jc w:val="center"/>
              <w:rPr>
                <w:rFonts w:hint="eastAsia" w:ascii="宋体" w:hAnsi="宋体" w:eastAsia="宋体" w:cs="FZHTK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FZHTK"/>
                <w:b/>
                <w:sz w:val="21"/>
                <w:szCs w:val="21"/>
              </w:rPr>
              <w:t>责任人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切割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玻璃掉落、飞出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机械伤害、其它伤害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放置玻璃渣的车子，不可放的过满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掰边条时，要对边条轻拿轻放，以免玻璃渣片溅入眼睛伤及自己或他人。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在捆绑玻璃时应在与绳子接触的刃口部位垫好纸，防止绳子中途断裂造成损失。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自动切割机作业运行时,操作人员应离开设备50cm以外,防止运行的设备伤人。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自动上片设备吸盘吸附玻璃时,周围严禁站人，以免玻璃吸坏时或吸片架倾倒伤人。</w:t>
            </w:r>
          </w:p>
          <w:p>
            <w:pPr>
              <w:pStyle w:val="6"/>
              <w:numPr>
                <w:ilvl w:val="0"/>
                <w:numId w:val="1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王雪峰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磨边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砂轮片飞出、玻璃掉落、飞出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机械伤害、触电、其它伤害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把砂轮片后的螺丝固定紧并保持防护罩完好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平磨区地面积水较多，比较容易出现滑倒伤人事件；必须垫木垫板。磨边机前，要防止手、衣物等被玻璃压住；磨边区玻璃渣较多，应及时清除。</w:t>
            </w:r>
          </w:p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避免水喷洒在控制柜上，要保持控制柜干燥，杜绝湿手触摸控制柜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2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尹义文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钢化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接触高温部位、玻璃掉落、飞出、设备故障运行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灼烫、触电、火灾、其它伤害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操作工应对加热系统多加观察，发现异常，应及时找维修工处理；炉子在保温时，应关掉加热总电源，以免电源失控。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观察窗不能随意打开；链条及齿轮不可用手触摸，以免挤伤手；操作工在风机室不可逗留，以免受到伤害；电控系统出现故障时，应及时将炉中玻璃摇出，以免出现粘炉。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检修风栅时，要插安全销，以免风栅突然下落；擦陶瓷辊时，升炉体后要插安全销并要戴口罩，以免造成设备和人身伤害。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观察钢化玻璃平整度时，一定要戴平光镜，以免玻璃自爆伤及眼睛。</w:t>
            </w:r>
          </w:p>
          <w:p>
            <w:pPr>
              <w:pStyle w:val="6"/>
              <w:numPr>
                <w:ilvl w:val="0"/>
                <w:numId w:val="3"/>
              </w:numPr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宁绍军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中空、夹胶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玻璃掉落、飞出、高压釜内超温超压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灼烫、触电、容器爆炸、其它伤害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在合片时应注意边角，确保各角边不与任何东西相碰撞。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在做玻璃时要做到手不靠近链条并用链条盒将链条罩牢；调试压辊时，不要将手放入压辊下面，必要时用木板代替；玻璃通过辊压机时应检查玻璃的厚度、长度使进辊压机的宽度不大于2.5m防止玻璃受阻伤害机器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3）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在高压釜运行过程中，操作人员应坚守岗位，遇到温度、压力急剧上升情况时，应立即降温、紧急排气防止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instrText xml:space="preserve">HYPERLINK "http://www.anquanjiaoliu.cn"</w:instrTex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事故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fldChar w:fldCharType="end"/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发生。若风机出现异常，应及时找维修人员进行维修。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（4）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压力容器应定期校验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(5)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切胶片时身子应避开，其他人员应与切胶片工保持安全距离。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428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尹义文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Merge w:val="restart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72" w:type="dxa"/>
            <w:vMerge w:val="restart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KTK"/>
                <w:sz w:val="21"/>
                <w:szCs w:val="21"/>
              </w:rPr>
              <w:t>装箱</w:t>
            </w:r>
            <w:r>
              <w:rPr>
                <w:rFonts w:hint="eastAsia" w:ascii="宋体" w:hAnsi="宋体" w:eastAsia="宋体" w:cs="TBCDEE+E-B6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FZKTK"/>
                <w:sz w:val="21"/>
                <w:szCs w:val="21"/>
              </w:rPr>
              <w:t>储运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玻璃堆垛旋转的机械手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机械伤害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用防护围栏遮护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防护围栏的关开与机械手开关互为保护连锁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悬挂警示标志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</w:p>
        </w:tc>
        <w:tc>
          <w:tcPr>
            <w:tcW w:w="1428" w:type="dxa"/>
            <w:vMerge w:val="restart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尹义文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vMerge w:val="continue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</w:pPr>
          </w:p>
        </w:tc>
        <w:tc>
          <w:tcPr>
            <w:tcW w:w="1672" w:type="dxa"/>
            <w:vMerge w:val="continue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KTK"/>
                <w:sz w:val="21"/>
                <w:szCs w:val="21"/>
              </w:rPr>
            </w:pP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玻璃木箱吊装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钢带断裂木箱破损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起重伤害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（1）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吊装前应检查木箱是否有卡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碰的情况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（2）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吊装前应检查木箱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钢带的安全性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（3）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吊装路径应无人员通过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，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作业场所空间满足吊装要求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（4）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吊装作业应有专人负责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。</w:t>
            </w:r>
          </w:p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（5）</w:t>
            </w: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穿戴好个人防护用品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</w:rPr>
              <w:t>《</w:t>
            </w:r>
            <w:r>
              <w:rPr>
                <w:rFonts w:hint="eastAsia" w:ascii="宋体" w:hAnsi="宋体" w:eastAsia="宋体" w:cs="FZSSK"/>
                <w:sz w:val="21"/>
                <w:szCs w:val="21"/>
              </w:rPr>
              <w:t>起重机械使用管理规则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》（TSGQ5001）</w:t>
            </w:r>
            <w:r>
              <w:rPr>
                <w:rFonts w:ascii="宋体" w:hAnsi="宋体" w:eastAsia="宋体" w:cs="SBCDEE+E-BZ"/>
                <w:sz w:val="21"/>
                <w:szCs w:val="21"/>
              </w:rPr>
              <w:t xml:space="preserve"> </w:t>
            </w:r>
          </w:p>
        </w:tc>
        <w:tc>
          <w:tcPr>
            <w:tcW w:w="1428" w:type="dxa"/>
            <w:vMerge w:val="continue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  <w:tblHeader/>
        </w:trPr>
        <w:tc>
          <w:tcPr>
            <w:tcW w:w="645" w:type="dxa"/>
            <w:noWrap w:val="0"/>
            <w:vAlign w:val="center"/>
          </w:tcPr>
          <w:p>
            <w:pPr>
              <w:pStyle w:val="6"/>
              <w:jc w:val="both"/>
              <w:rPr>
                <w:rFonts w:hint="default" w:ascii="宋体" w:hAnsi="宋体" w:eastAsia="宋体" w:cs="FZSS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KTK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FZKTK"/>
                <w:sz w:val="21"/>
                <w:szCs w:val="21"/>
                <w:lang w:val="en-US" w:eastAsia="zh-CN"/>
              </w:rPr>
              <w:t>配电室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</w:rPr>
              <w:t>电源线路、电气设备</w:t>
            </w:r>
          </w:p>
        </w:tc>
        <w:tc>
          <w:tcPr>
            <w:tcW w:w="1772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触电、火灾</w:t>
            </w:r>
          </w:p>
        </w:tc>
        <w:tc>
          <w:tcPr>
            <w:tcW w:w="1262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  <w:t>3级</w:t>
            </w:r>
            <w:r>
              <w:rPr>
                <w:rFonts w:hint="eastAsia" w:ascii="宋体" w:hAnsi="宋体" w:eastAsia="宋体" w:cs="SBCDEE+E-BZ"/>
                <w:sz w:val="21"/>
                <w:szCs w:val="21"/>
              </w:rPr>
              <w:t>/黄色</w:t>
            </w:r>
          </w:p>
        </w:tc>
        <w:tc>
          <w:tcPr>
            <w:tcW w:w="3794" w:type="dxa"/>
            <w:noWrap w:val="0"/>
            <w:vAlign w:val="center"/>
          </w:tcPr>
          <w:p>
            <w:pPr>
              <w:pStyle w:val="6"/>
              <w:numPr>
                <w:ilvl w:val="0"/>
                <w:numId w:val="4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线路穿墙、楼板或埋地敷设时均应穿管或采取其他保护措施；穿金属管时，管口应装绝缘护套。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2）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安装满足线路通（断）能力的开关、短路保护、过负荷保护和接地故障保护等装置。</w:t>
            </w:r>
          </w:p>
          <w:p>
            <w:pPr>
              <w:pStyle w:val="6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（3）接地可靠</w:t>
            </w:r>
          </w:p>
        </w:tc>
        <w:tc>
          <w:tcPr>
            <w:tcW w:w="1940" w:type="dxa"/>
            <w:noWrap w:val="0"/>
            <w:vAlign w:val="center"/>
          </w:tcPr>
          <w:p>
            <w:pPr>
              <w:pStyle w:val="6"/>
              <w:jc w:val="both"/>
              <w:rPr>
                <w:rFonts w:hint="eastAsia" w:ascii="宋体" w:hAnsi="宋体" w:eastAsia="宋体" w:cs="SBCDEE+E-BZ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《低压配电设计规范》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en-US"/>
              </w:rPr>
              <w:t>(GB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50054)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《建筑物防雷设计规范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en-US"/>
              </w:rPr>
              <w:t>》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en-US"/>
              </w:rPr>
              <w:t>（GB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50057 )</w:t>
            </w:r>
          </w:p>
        </w:tc>
        <w:tc>
          <w:tcPr>
            <w:tcW w:w="1428" w:type="dxa"/>
            <w:noWrap w:val="0"/>
            <w:vAlign w:val="center"/>
          </w:tcPr>
          <w:p>
            <w:pPr>
              <w:pStyle w:val="6"/>
              <w:jc w:val="center"/>
              <w:rPr>
                <w:rFonts w:hint="eastAsia" w:ascii="宋体" w:hAnsi="宋体" w:eastAsia="宋体" w:cs="SBCDEE+E-BZ"/>
                <w:sz w:val="21"/>
                <w:szCs w:val="21"/>
              </w:rPr>
            </w:pPr>
            <w:r>
              <w:rPr>
                <w:rFonts w:hint="eastAsia" w:ascii="宋体" w:hAnsi="宋体" w:eastAsia="宋体" w:cs="FZSSK"/>
                <w:sz w:val="21"/>
                <w:szCs w:val="21"/>
                <w:lang w:eastAsia="zh-CN"/>
              </w:rPr>
              <w:t>尹义文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1294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headerReference r:id="rId3" w:type="default"/>
      <w:footerReference r:id="rId4" w:type="default"/>
      <w:pgSz w:w="16838" w:h="11906" w:orient="landscape"/>
      <w:pgMar w:top="1134" w:right="1134" w:bottom="567" w:left="1134" w:header="567" w:footer="567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Z Extra B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FZH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BCDEE+E-BZ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SS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FZKTK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TBCDEE+E-B6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DXCXGH/AQB4-0515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05D583"/>
    <w:multiLevelType w:val="singleLevel"/>
    <w:tmpl w:val="9905D58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C536823"/>
    <w:multiLevelType w:val="singleLevel"/>
    <w:tmpl w:val="FC53682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D3EFB2B"/>
    <w:multiLevelType w:val="singleLevel"/>
    <w:tmpl w:val="4D3EFB2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2FA3CD7"/>
    <w:multiLevelType w:val="singleLevel"/>
    <w:tmpl w:val="72FA3C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D5FB8"/>
    <w:rsid w:val="052D5F93"/>
    <w:rsid w:val="074C51AC"/>
    <w:rsid w:val="0AAC41EE"/>
    <w:rsid w:val="0C6E14CA"/>
    <w:rsid w:val="1B4E1E6C"/>
    <w:rsid w:val="1C004A45"/>
    <w:rsid w:val="1CE907B6"/>
    <w:rsid w:val="21813B63"/>
    <w:rsid w:val="219F5B61"/>
    <w:rsid w:val="26250ADD"/>
    <w:rsid w:val="2B205661"/>
    <w:rsid w:val="38D36BBA"/>
    <w:rsid w:val="3BFD3FBF"/>
    <w:rsid w:val="4B594E07"/>
    <w:rsid w:val="55C81BDE"/>
    <w:rsid w:val="56392A9D"/>
    <w:rsid w:val="59694336"/>
    <w:rsid w:val="65B471A2"/>
    <w:rsid w:val="68EC2BB7"/>
    <w:rsid w:val="708E39FF"/>
    <w:rsid w:val="76ED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FZ Extra BSK" w:hAnsi="Calibri" w:eastAsia="FZ Extra BSK" w:cs="FZ Extra BSK"/>
      <w:color w:val="000000"/>
      <w:sz w:val="24"/>
      <w:szCs w:val="24"/>
      <w:lang w:val="en-US" w:eastAsia="zh-CN" w:bidi="ar-SA"/>
    </w:rPr>
  </w:style>
  <w:style w:type="paragraph" w:customStyle="1" w:styleId="7">
    <w:name w:val="MSG_EN_FONT_STYLE_NAME_TEMPLATE_ROLE_NUMBER MSG_EN_FONT_STYLE_NAME_BY_ROLE_TEXT 2"/>
    <w:basedOn w:val="1"/>
    <w:qFormat/>
    <w:uiPriority w:val="0"/>
    <w:pPr>
      <w:shd w:val="clear" w:color="auto" w:fill="FFFFFF"/>
      <w:spacing w:before="260" w:line="432" w:lineRule="exact"/>
      <w:ind w:firstLine="520"/>
      <w:jc w:val="distribute"/>
    </w:pPr>
    <w:rPr>
      <w:rFonts w:ascii="PMingLiU" w:hAnsi="PMingLiU" w:eastAsia="PMingLiU"/>
      <w:sz w:val="20"/>
      <w:szCs w:val="20"/>
    </w:rPr>
  </w:style>
  <w:style w:type="character" w:customStyle="1" w:styleId="8">
    <w:name w:val="MSG_EN_FONT_STYLE_NAME_TEMPLATE_ROLE_NUMBER MSG_EN_FONT_STYLE_NAME_BY_ROLE_TEXT 2 + MSG_EN_FONT_STYLE_MODIFER_SIZE 8"/>
    <w:qFormat/>
    <w:uiPriority w:val="0"/>
    <w:rPr>
      <w:rFonts w:ascii="PMingLiU" w:hAnsi="PMingLiU" w:eastAsia="PMingLiU" w:cs="PMingLiU"/>
      <w:b/>
      <w:bCs/>
      <w:color w:val="000000"/>
      <w:spacing w:val="10"/>
      <w:w w:val="100"/>
      <w:position w:val="0"/>
      <w:sz w:val="16"/>
      <w:szCs w:val="16"/>
      <w:u w:val="non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2019-08-12T08:18:00Z</dcterms:created>
  <dc:creator>过客志明</dc:creator>
  <cp:lastModifiedBy>过客志明</cp:lastModifiedBy>
  <dcterms:modified xsi:type="dcterms:W3CDTF">2021-02-23T08:42:03Z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