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  <w:sz w:val="44"/>
          <w:szCs w:val="44"/>
        </w:rPr>
      </w:pP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100"/>
          <w:kern w:val="0"/>
          <w:sz w:val="36"/>
          <w:szCs w:val="36"/>
        </w:rPr>
        <w:t>企业安全生产标准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化</w:t>
      </w: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rFonts w:ascii="宋体" w:hAnsi="宋体" w:eastAsia="宋体"/>
          <w:b/>
          <w:snapToGrid w:val="0"/>
          <w:kern w:val="0"/>
          <w:sz w:val="36"/>
          <w:szCs w:val="36"/>
        </w:rPr>
      </w:pPr>
      <w:r>
        <w:rPr>
          <w:rFonts w:hint="eastAsia" w:ascii="宋体" w:hAnsi="宋体" w:eastAsia="宋体"/>
          <w:b/>
          <w:snapToGrid w:val="0"/>
          <w:spacing w:val="340"/>
          <w:kern w:val="0"/>
          <w:sz w:val="36"/>
          <w:szCs w:val="36"/>
        </w:rPr>
        <w:t>评审报</w:t>
      </w:r>
      <w:r>
        <w:rPr>
          <w:rFonts w:hint="eastAsia" w:ascii="宋体" w:hAnsi="宋体" w:eastAsia="宋体"/>
          <w:b/>
          <w:snapToGrid w:val="0"/>
          <w:kern w:val="0"/>
          <w:sz w:val="36"/>
          <w:szCs w:val="36"/>
        </w:rPr>
        <w:t>告</w:t>
      </w: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center"/>
        <w:rPr>
          <w:snapToGrid w:val="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ind w:firstLine="1200" w:firstLineChars="400"/>
        <w:rPr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申请企业：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上饶市融源再生资源有限公司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snapToGrid w:val="0"/>
          <w:kern w:val="0"/>
          <w:sz w:val="30"/>
          <w:szCs w:val="30"/>
          <w:u w:val="single"/>
        </w:rPr>
        <w:t xml:space="preserve">  </w:t>
      </w:r>
    </w:p>
    <w:p>
      <w:pPr>
        <w:adjustRightInd w:val="0"/>
        <w:snapToGrid w:val="0"/>
        <w:spacing w:line="560" w:lineRule="exact"/>
        <w:ind w:firstLine="1200" w:firstLineChars="400"/>
        <w:rPr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评审单位：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江西饶安工程咨询有限公司 </w:t>
      </w:r>
      <w:r>
        <w:rPr>
          <w:snapToGrid w:val="0"/>
          <w:kern w:val="0"/>
          <w:sz w:val="30"/>
          <w:szCs w:val="30"/>
          <w:u w:val="single"/>
        </w:rPr>
        <w:t xml:space="preserve">        </w:t>
      </w:r>
    </w:p>
    <w:p>
      <w:pPr>
        <w:adjustRightInd w:val="0"/>
        <w:snapToGrid w:val="0"/>
        <w:spacing w:line="560" w:lineRule="exact"/>
        <w:ind w:firstLine="1200" w:firstLineChars="400"/>
        <w:rPr>
          <w:rFonts w:hint="eastAsia" w:eastAsiaTheme="minorEastAsia"/>
          <w:snapToGrid w:val="0"/>
          <w:kern w:val="0"/>
          <w:sz w:val="30"/>
          <w:szCs w:val="30"/>
          <w:u w:val="single"/>
          <w:lang w:eastAsia="zh-CN"/>
        </w:rPr>
      </w:pPr>
      <w:r>
        <w:rPr>
          <w:rFonts w:hint="eastAsia"/>
          <w:snapToGrid w:val="0"/>
          <w:kern w:val="0"/>
          <w:sz w:val="30"/>
          <w:szCs w:val="30"/>
        </w:rPr>
        <w:t>评审行业：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有色金属行业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snapToGrid w:val="0"/>
          <w:kern w:val="0"/>
          <w:sz w:val="30"/>
          <w:szCs w:val="30"/>
        </w:rPr>
        <w:t>专业：</w:t>
      </w:r>
      <w:r>
        <w:rPr>
          <w:rFonts w:hint="eastAsia"/>
          <w:snapToGrid w:val="0"/>
          <w:kern w:val="0"/>
          <w:sz w:val="30"/>
          <w:szCs w:val="30"/>
          <w:u w:val="single"/>
          <w:lang w:eastAsia="zh-CN"/>
        </w:rPr>
        <w:t>有色金属压延加工</w:t>
      </w:r>
    </w:p>
    <w:p>
      <w:pPr>
        <w:adjustRightInd w:val="0"/>
        <w:snapToGrid w:val="0"/>
        <w:spacing w:line="560" w:lineRule="exact"/>
        <w:ind w:firstLine="1200" w:firstLineChars="400"/>
        <w:rPr>
          <w:snapToGrid w:val="0"/>
          <w:kern w:val="0"/>
          <w:sz w:val="30"/>
          <w:szCs w:val="30"/>
          <w:u w:val="single"/>
        </w:rPr>
      </w:pPr>
      <w:r>
        <w:rPr>
          <w:rFonts w:hint="eastAsia"/>
          <w:snapToGrid w:val="0"/>
          <w:kern w:val="0"/>
          <w:sz w:val="30"/>
          <w:szCs w:val="30"/>
        </w:rPr>
        <w:t>评审性质：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安全生产标准化初评  </w:t>
      </w:r>
      <w:r>
        <w:rPr>
          <w:rFonts w:hint="eastAsia"/>
          <w:snapToGrid w:val="0"/>
          <w:kern w:val="0"/>
          <w:sz w:val="30"/>
          <w:szCs w:val="30"/>
        </w:rPr>
        <w:t>级别：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三级  </w:t>
      </w:r>
    </w:p>
    <w:p>
      <w:pPr>
        <w:adjustRightInd w:val="0"/>
        <w:snapToGrid w:val="0"/>
        <w:spacing w:line="560" w:lineRule="exact"/>
        <w:ind w:firstLine="1200" w:firstLineChars="400"/>
        <w:rPr>
          <w:snapToGrid w:val="0"/>
          <w:kern w:val="0"/>
          <w:sz w:val="36"/>
          <w:szCs w:val="36"/>
        </w:rPr>
      </w:pPr>
      <w:r>
        <w:rPr>
          <w:rFonts w:hint="eastAsia"/>
          <w:snapToGrid w:val="0"/>
          <w:kern w:val="0"/>
          <w:sz w:val="30"/>
          <w:szCs w:val="30"/>
        </w:rPr>
        <w:t>评审日期：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 202</w:t>
      </w:r>
      <w:r>
        <w:rPr>
          <w:snapToGrid w:val="0"/>
          <w:kern w:val="0"/>
          <w:sz w:val="30"/>
          <w:szCs w:val="30"/>
          <w:u w:val="single"/>
        </w:rPr>
        <w:t>1</w:t>
      </w:r>
      <w:r>
        <w:rPr>
          <w:rFonts w:hint="eastAsia"/>
          <w:snapToGrid w:val="0"/>
          <w:kern w:val="0"/>
          <w:sz w:val="30"/>
          <w:szCs w:val="30"/>
          <w:u w:val="single"/>
        </w:rPr>
        <w:t>年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>12</w:t>
      </w:r>
      <w:r>
        <w:rPr>
          <w:rFonts w:hint="eastAsia"/>
          <w:snapToGrid w:val="0"/>
          <w:kern w:val="0"/>
          <w:sz w:val="30"/>
          <w:szCs w:val="30"/>
          <w:u w:val="single"/>
        </w:rPr>
        <w:t>月</w:t>
      </w:r>
      <w:r>
        <w:rPr>
          <w:snapToGrid w:val="0"/>
          <w:kern w:val="0"/>
          <w:sz w:val="30"/>
          <w:szCs w:val="30"/>
          <w:u w:val="single"/>
        </w:rPr>
        <w:t>2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>3</w:t>
      </w:r>
      <w:r>
        <w:rPr>
          <w:rFonts w:hint="eastAsia"/>
          <w:snapToGrid w:val="0"/>
          <w:kern w:val="0"/>
          <w:sz w:val="30"/>
          <w:szCs w:val="30"/>
          <w:u w:val="single"/>
        </w:rPr>
        <w:t>日</w:t>
      </w:r>
      <w:r>
        <w:rPr>
          <w:rFonts w:hint="eastAsia"/>
          <w:snapToGrid w:val="0"/>
          <w:kern w:val="0"/>
          <w:sz w:val="30"/>
          <w:szCs w:val="30"/>
        </w:rPr>
        <w:t>至</w:t>
      </w:r>
      <w:r>
        <w:rPr>
          <w:rFonts w:hint="eastAsia"/>
          <w:snapToGrid w:val="0"/>
          <w:kern w:val="0"/>
          <w:sz w:val="30"/>
          <w:szCs w:val="30"/>
          <w:u w:val="single"/>
        </w:rPr>
        <w:t>202</w:t>
      </w:r>
      <w:r>
        <w:rPr>
          <w:snapToGrid w:val="0"/>
          <w:kern w:val="0"/>
          <w:sz w:val="30"/>
          <w:szCs w:val="30"/>
          <w:u w:val="single"/>
        </w:rPr>
        <w:t>1</w:t>
      </w:r>
      <w:r>
        <w:rPr>
          <w:rFonts w:hint="eastAsia"/>
          <w:snapToGrid w:val="0"/>
          <w:kern w:val="0"/>
          <w:sz w:val="30"/>
          <w:szCs w:val="30"/>
          <w:u w:val="single"/>
        </w:rPr>
        <w:t>年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>12</w:t>
      </w:r>
      <w:r>
        <w:rPr>
          <w:rFonts w:hint="eastAsia"/>
          <w:snapToGrid w:val="0"/>
          <w:kern w:val="0"/>
          <w:sz w:val="30"/>
          <w:szCs w:val="30"/>
          <w:u w:val="single"/>
        </w:rPr>
        <w:t>月</w:t>
      </w:r>
      <w:r>
        <w:rPr>
          <w:rFonts w:hint="default"/>
          <w:snapToGrid w:val="0"/>
          <w:kern w:val="0"/>
          <w:sz w:val="30"/>
          <w:szCs w:val="30"/>
          <w:u w:val="single"/>
          <w:lang w:val="en-US"/>
        </w:rPr>
        <w:t>24</w:t>
      </w:r>
      <w:r>
        <w:rPr>
          <w:rFonts w:hint="eastAsia"/>
          <w:snapToGrid w:val="0"/>
          <w:kern w:val="0"/>
          <w:sz w:val="30"/>
          <w:szCs w:val="30"/>
          <w:u w:val="single"/>
        </w:rPr>
        <w:t xml:space="preserve">日 </w:t>
      </w:r>
    </w:p>
    <w:p>
      <w:pPr>
        <w:pStyle w:val="2"/>
        <w:rPr>
          <w:snapToGrid w:val="0"/>
          <w:sz w:val="36"/>
          <w:szCs w:val="36"/>
        </w:rPr>
      </w:pPr>
    </w:p>
    <w:p>
      <w:pPr>
        <w:pStyle w:val="2"/>
        <w:rPr>
          <w:snapToGrid w:val="0"/>
          <w:sz w:val="36"/>
          <w:szCs w:val="36"/>
        </w:rPr>
      </w:pPr>
    </w:p>
    <w:p>
      <w:pPr>
        <w:jc w:val="center"/>
        <w:rPr>
          <w:snapToGrid w:val="0"/>
          <w:kern w:val="0"/>
          <w:sz w:val="30"/>
          <w:szCs w:val="30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start="1"/>
          <w:cols w:space="720" w:num="1"/>
          <w:vAlign w:val="center"/>
          <w:docGrid w:type="lines" w:linePitch="312" w:charSpace="0"/>
        </w:sectPr>
      </w:pPr>
      <w:r>
        <w:rPr>
          <w:rFonts w:hint="eastAsia"/>
          <w:snapToGrid w:val="0"/>
          <w:kern w:val="0"/>
          <w:sz w:val="30"/>
          <w:szCs w:val="30"/>
        </w:rPr>
        <w:t>江西省安全生产委员会办公室制</w:t>
      </w:r>
    </w:p>
    <w:p>
      <w:pPr>
        <w:jc w:val="center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评审报告表</w:t>
      </w:r>
    </w:p>
    <w:tbl>
      <w:tblPr>
        <w:tblStyle w:val="6"/>
        <w:tblW w:w="861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716"/>
        <w:gridCol w:w="1069"/>
        <w:gridCol w:w="918"/>
        <w:gridCol w:w="1771"/>
        <w:gridCol w:w="117"/>
        <w:gridCol w:w="1203"/>
        <w:gridCol w:w="250"/>
        <w:gridCol w:w="18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评审报告表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评审单位</w:t>
            </w:r>
          </w:p>
        </w:tc>
        <w:tc>
          <w:tcPr>
            <w:tcW w:w="718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江西饶安工程咨询有限公司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单位地址</w:t>
            </w:r>
          </w:p>
        </w:tc>
        <w:tc>
          <w:tcPr>
            <w:tcW w:w="718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上饶市信州区三清山大道509号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主要负责人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周盼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电话</w:t>
            </w:r>
          </w:p>
        </w:tc>
        <w:tc>
          <w:tcPr>
            <w:tcW w:w="1771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0793-8224948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手    机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18370979281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0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周婷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电话</w:t>
            </w:r>
          </w:p>
        </w:tc>
        <w:tc>
          <w:tcPr>
            <w:tcW w:w="1771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0793-8224948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传    真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手机</w:t>
            </w:r>
          </w:p>
        </w:tc>
        <w:tc>
          <w:tcPr>
            <w:tcW w:w="1771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18879300895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评审小组成员</w:t>
            </w:r>
          </w:p>
        </w:tc>
        <w:tc>
          <w:tcPr>
            <w:tcW w:w="716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姓名</w:t>
            </w: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单位/职务/职称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电    话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组长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林群</w:t>
            </w: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饶安/评价部/工程师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13677067022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成员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李学峰</w:t>
            </w: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饶安/评价部/工程师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19179132313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李建波</w:t>
            </w: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饶安/评价部/工程师</w:t>
            </w: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13677067022</w:t>
            </w: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853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申请企业情况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申请企业</w:t>
            </w:r>
          </w:p>
        </w:tc>
        <w:tc>
          <w:tcPr>
            <w:tcW w:w="718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</w:rPr>
              <w:t>上饶市融源再生资源有限公司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法定代表人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napToGrid w:val="0"/>
                <w:kern w:val="0"/>
                <w:sz w:val="24"/>
                <w:szCs w:val="24"/>
                <w:lang w:eastAsia="zh-CN"/>
              </w:rPr>
              <w:t>曹其峰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 话</w:t>
            </w:r>
          </w:p>
        </w:tc>
        <w:tc>
          <w:tcPr>
            <w:tcW w:w="188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手    机</w:t>
            </w:r>
          </w:p>
        </w:tc>
        <w:tc>
          <w:tcPr>
            <w:tcW w:w="210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15297931375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0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napToGrid w:val="0"/>
                <w:kern w:val="0"/>
                <w:sz w:val="24"/>
                <w:szCs w:val="24"/>
                <w:lang w:eastAsia="zh-CN"/>
              </w:rPr>
              <w:t>陈涛</w:t>
            </w: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 话</w:t>
            </w:r>
          </w:p>
        </w:tc>
        <w:tc>
          <w:tcPr>
            <w:tcW w:w="188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传    真</w:t>
            </w:r>
          </w:p>
        </w:tc>
        <w:tc>
          <w:tcPr>
            <w:tcW w:w="2103" w:type="dxa"/>
            <w:gridSpan w:val="2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32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918" w:type="dxa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 机</w:t>
            </w:r>
          </w:p>
        </w:tc>
        <w:tc>
          <w:tcPr>
            <w:tcW w:w="188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napToGrid w:val="0"/>
                <w:kern w:val="0"/>
                <w:sz w:val="24"/>
                <w:szCs w:val="24"/>
              </w:rPr>
              <w:t>15297931375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46" w:beforeLines="15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103" w:type="dxa"/>
            <w:gridSpan w:val="2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5307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评审等级：   □一级     □二级     </w:t>
            </w:r>
            <w:r>
              <w:rPr>
                <w:rFonts w:ascii="Segoe UI Symbol" w:hAnsi="Segoe UI Symbol" w:eastAsia="宋体" w:cs="Segoe UI Symbol"/>
                <w:kern w:val="0"/>
                <w:sz w:val="24"/>
                <w:szCs w:val="24"/>
              </w:rPr>
              <w:t>☑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三级</w:t>
            </w:r>
          </w:p>
        </w:tc>
        <w:tc>
          <w:tcPr>
            <w:tcW w:w="3306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400" w:lineRule="exact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评审得分：6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>2.9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制度文件评审综述：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上饶市融源再生资源有限公司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编制的《安全生产标准化文件汇编(制度类、作业指导书类)》包含了安全生产方针目标、责任制、设备设施安全管理制度、风险评估和控制管理制度、危险源管理制度、危险作业安全管理制度、隐患排查及治理制度、职业健康管理制度等主要文件,内容基本齐全。所编制的岗位责任制、管理制度、操作规程等基本满足企业安全管理要求，具备适宜性、充分性和有效性。</w:t>
            </w:r>
          </w:p>
          <w:p>
            <w:pPr>
              <w:spacing w:line="460" w:lineRule="exact"/>
              <w:ind w:firstLine="480" w:firstLineChars="20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管理体系执行情况：</w:t>
            </w:r>
            <w:r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管理制度的适用性、针对性尚有欠缺，管理制度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执</w:t>
            </w:r>
            <w:r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行情况有待强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化，部分隐患排查流于形式，隐患治理末形成闭环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。用人单位应根据企业特点和实际不断回顾、更新、修订和改进，加强落实，持续改进，不断提升企业安全生产水平，确保企业生产安全运行。</w:t>
            </w:r>
          </w:p>
          <w:p>
            <w:pPr>
              <w:tabs>
                <w:tab w:val="left" w:pos="5657"/>
                <w:tab w:val="left" w:pos="6581"/>
              </w:tabs>
              <w:spacing w:line="460" w:lineRule="exact"/>
              <w:ind w:right="1113" w:rightChars="53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现场评审综述：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1、主要成效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1.1、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上饶市融源再生资源有限公司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安全生产标准化领导机构和工作机构组织健全，分工明确，责任到人，资源落实到位，工作基本有序。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1.2、安全生产标准化方针、目标与指标在企业告知，所有部门均签订了安全生产责任状，安全生产标准化体系运行基本正常，安全生产事故控制较好。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1.3、企业每年按法律法规要求制定安全生产费用提取和使用计划。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1.4、执行落实风险评估、职业病危害因素检测、应急演练等工作。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2、安全生产标准化体系运行主要问题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2.1、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已辨识的法律法规不够全面，部分法律法规清单及文本未及时更新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2.2、</w:t>
            </w:r>
            <w:r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0"/>
              </w:rPr>
              <w:t>管理制度的适用性、针对性尚有欠缺，管理制度运行情况有待加强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2.3、安全生产费用、教育培训、作业人员管理、职业病危害因素检测告知等需进步落实。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2.4、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安全文化建设欠缺，班组安全管理有待加强，无定期开展班级安全活动记录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2.5、安全管理档案不规范，需进一步完善。</w:t>
            </w:r>
          </w:p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3、现场检查发现的主要问题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气瓶使用不规范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拆解变压器处增加操作规程、粘贴警示标识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皮带轮无防护罩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应急照明灯损坏</w:t>
            </w:r>
          </w:p>
          <w:p>
            <w:pPr>
              <w:numPr>
                <w:ilvl w:val="0"/>
                <w:numId w:val="1"/>
              </w:numPr>
              <w:spacing w:line="440" w:lineRule="exact"/>
              <w:ind w:left="780" w:leftChars="0" w:hanging="420" w:firstLineChars="0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接线不规范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增加限高标识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消防栓破损、通道堵塞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线管破损、使用胶质线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水泵房电控柜因使用带漏电保护的断路器</w:t>
            </w:r>
          </w:p>
          <w:p>
            <w:pPr>
              <w:numPr>
                <w:ilvl w:val="0"/>
                <w:numId w:val="1"/>
              </w:numPr>
              <w:spacing w:line="440" w:lineRule="exac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上引熔临时接线板不规范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结论：</w:t>
            </w:r>
          </w:p>
          <w:p>
            <w:pPr>
              <w:spacing w:line="420" w:lineRule="exact"/>
              <w:ind w:left="158" w:leftChars="75" w:firstLine="240" w:firstLineChars="100"/>
              <w:jc w:val="left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  <w:t>通过本次评审，安全生产标准化评审标准分值  1000 分,除去缺项138分，标准分值为862分，实得分值 542分，得分率62.9%，按要求整改合格后推荐为三级安全生产标准化达标企业。</w:t>
            </w:r>
          </w:p>
          <w:p>
            <w:pPr>
              <w:spacing w:line="420" w:lineRule="exact"/>
              <w:ind w:left="158" w:leftChars="75" w:firstLine="240" w:firstLineChars="100"/>
              <w:jc w:val="left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评审专家组推荐意见：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  <w:t>上饶市融源再生资源有限公司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按要求整改合格后推荐为三级安全生产标准化达标企业。</w:t>
            </w:r>
          </w:p>
          <w:tbl>
            <w:tblPr>
              <w:tblStyle w:val="5"/>
              <w:tblpPr w:leftFromText="180" w:rightFromText="180" w:vertAnchor="text" w:horzAnchor="page" w:tblpX="28" w:tblpY="494"/>
              <w:tblOverlap w:val="never"/>
              <w:tblW w:w="0" w:type="auto"/>
              <w:jc w:val="cente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10"/>
              <w:gridCol w:w="750"/>
              <w:gridCol w:w="1470"/>
              <w:gridCol w:w="990"/>
              <w:gridCol w:w="750"/>
              <w:gridCol w:w="750"/>
              <w:gridCol w:w="51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86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考评项目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标准分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无项不评审分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评审总分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实得分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得分率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备注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45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 目标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cs="宋体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color w:val="auto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Calibri" w:hAnsi="Calibri" w:eastAsia="宋体" w:cs="Calibri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75.0%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77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2 组织机构和职责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Calibri" w:hAnsi="Calibri" w:eastAsia="宋体" w:cs="Calibri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67.5%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3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3 安全生产投入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Calibri" w:hAnsi="Calibri" w:eastAsia="宋体" w:cs="Calibri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63.6%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55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4 法律法规与安全管理制度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Calibri" w:hAnsi="Calibri" w:eastAsia="宋体" w:cs="Calibri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61.4%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27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5 教育培训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Calibri" w:hAnsi="Calibri" w:eastAsia="宋体" w:cs="Calibri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60.0%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44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6 生产设备设施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280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180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Calibri" w:hAnsi="Calibri" w:eastAsia="宋体" w:cs="Calibri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61.7%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7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7 作业安全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205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176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Calibri" w:hAnsi="Calibri" w:eastAsia="宋体" w:cs="Calibri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109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61.9%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77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8 隐患排查和治理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61.4%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10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9 重大危险源监控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61.2%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rPr>
                <w:trHeight w:val="594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10 职业健康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67.2%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61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11 应急救援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宋体" w:hAnsi="宋体" w:cs="宋体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65.0%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88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12 事故报告、调查和处理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cs="宋体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65.0%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23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13 绩效评定和持续改进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cs="宋体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  <w:sz w:val="24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60.0%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lang w:bidi="ar"/>
                    </w:rPr>
                    <w:t>合    计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cs="宋体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138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b/>
                      <w:i w:val="0"/>
                      <w:color w:val="auto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862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auto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542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/>
                      <w:color w:val="auto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auto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62.9%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  <w:lang w:bidi="ar"/>
                    </w:rPr>
                  </w:pPr>
                </w:p>
              </w:tc>
            </w:tr>
          </w:tbl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</w:p>
          <w:p>
            <w:pPr>
              <w:spacing w:line="460" w:lineRule="exact"/>
              <w:ind w:firstLine="1080" w:firstLineChars="450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评审组长签字：</w:t>
            </w:r>
          </w:p>
          <w:p>
            <w:pPr>
              <w:spacing w:line="460" w:lineRule="exact"/>
              <w:ind w:firstLine="360" w:firstLineChars="150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 xml:space="preserve">评审单位负责人签字：                           </w:t>
            </w:r>
            <w:r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(评审单位盖章)</w:t>
            </w:r>
          </w:p>
          <w:p>
            <w:pPr>
              <w:pStyle w:val="2"/>
            </w:pPr>
            <w:r>
              <w:rPr>
                <w:rFonts w:hint="eastAsia"/>
                <w:snapToGrid w:val="0"/>
              </w:rPr>
              <w:t xml:space="preserve">                                                   2021年</w:t>
            </w:r>
            <w:r>
              <w:rPr>
                <w:rFonts w:hint="default"/>
                <w:snapToGrid w:val="0"/>
                <w:lang w:val="en-US"/>
              </w:rPr>
              <w:t>12</w:t>
            </w:r>
            <w:r>
              <w:rPr>
                <w:rFonts w:hint="eastAsia"/>
                <w:snapToGrid w:val="0"/>
              </w:rPr>
              <w:t>月</w:t>
            </w:r>
            <w:r>
              <w:rPr>
                <w:rFonts w:hint="default"/>
                <w:snapToGrid w:val="0"/>
                <w:lang w:val="en-US"/>
              </w:rPr>
              <w:t>30</w:t>
            </w:r>
            <w:r>
              <w:rPr>
                <w:rFonts w:hint="eastAsia"/>
                <w:snapToGrid w:val="0"/>
              </w:rPr>
              <w:t>日</w:t>
            </w:r>
          </w:p>
          <w:p>
            <w:pPr>
              <w:spacing w:line="400" w:lineRule="exact"/>
              <w:jc w:val="righ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评审组织单位材料符合性审查意见：</w:t>
            </w:r>
          </w:p>
          <w:p>
            <w:pPr>
              <w:spacing w:line="460" w:lineRule="exact"/>
              <w:ind w:firstLine="5520" w:firstLineChars="2300"/>
              <w:rPr>
                <w:rFonts w:ascii="Times New Roman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（评审组织单位盖章）</w:t>
            </w:r>
          </w:p>
          <w:p>
            <w:pPr>
              <w:spacing w:line="400" w:lineRule="exac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 xml:space="preserve">                                                     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5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评审扣分项及整改要求（另附表提供）：</w:t>
            </w:r>
          </w:p>
          <w:p>
            <w:pPr>
              <w:pStyle w:val="2"/>
              <w:ind w:left="360"/>
            </w:pPr>
            <w:r>
              <w:rPr>
                <w:rFonts w:hint="eastAsia"/>
              </w:rPr>
              <w:t xml:space="preserve"> 详见审查材料汇编相关附件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建议：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1、安全生产标准化体系运行建议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1.1、结合企业实际及时检查更新管理制度，企业主要负责人加强管理制度执行落实管理。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1.2、及时更新法规法规标准，增加行业标准，结合企业实际及时融入企业管理。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1.3、后续安全生产运行中加强安全生产费用、教育培训、从业人员管理、设备设施管理管理、危险作业安全管理、隐患排查及治理、职业病危害因素检测、应急演练等工作落实。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1.4、加强安全管理责任落实，完善安全管理档案。</w:t>
            </w: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2、现场问题建议</w:t>
            </w:r>
          </w:p>
          <w:p>
            <w:pPr>
              <w:spacing w:line="400" w:lineRule="exac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详见附件:现场不符合项报告书和不符合项整改情况汇报。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8613" w:type="dxa"/>
            <w:gridSpan w:val="9"/>
            <w:tcBorders>
              <w:tl2br w:val="nil"/>
              <w:tr2bl w:val="nil"/>
            </w:tcBorders>
          </w:tcPr>
          <w:p>
            <w:pPr>
              <w:spacing w:line="460" w:lineRule="exact"/>
              <w:rPr>
                <w:rFonts w:ascii="Times New Roman" w:hAnsi="宋体" w:eastAsia="宋体" w:cs="Times New Roman"/>
                <w:kern w:val="0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评审组长：                        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审批人： </w:t>
            </w:r>
          </w:p>
          <w:p>
            <w:pPr>
              <w:spacing w:line="460" w:lineRule="exact"/>
              <w:rPr>
                <w:rFonts w:ascii="Times New Roman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日期：2021年 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>12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>30</w:t>
            </w:r>
            <w:bookmarkStart w:id="0" w:name="_GoBack"/>
            <w:bookmarkEnd w:id="0"/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日                 评审单位盖章</w:t>
            </w:r>
          </w:p>
        </w:tc>
      </w:tr>
    </w:tbl>
    <w:p>
      <w:pPr>
        <w:jc w:val="center"/>
      </w:pPr>
      <w:r>
        <w:rPr>
          <w:rFonts w:hint="eastAsia"/>
          <w:sz w:val="24"/>
          <w:szCs w:val="24"/>
        </w:rPr>
        <w:t>评审报告首页：评审单位填写名称并盖章。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D4D3F"/>
    <w:multiLevelType w:val="multilevel"/>
    <w:tmpl w:val="6A4D4D3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69"/>
    <w:rsid w:val="00047E6B"/>
    <w:rsid w:val="000566A2"/>
    <w:rsid w:val="000641AA"/>
    <w:rsid w:val="000A2E6A"/>
    <w:rsid w:val="000B188A"/>
    <w:rsid w:val="000F5252"/>
    <w:rsid w:val="001238C5"/>
    <w:rsid w:val="00123C69"/>
    <w:rsid w:val="001370AD"/>
    <w:rsid w:val="00183385"/>
    <w:rsid w:val="00184F1D"/>
    <w:rsid w:val="00196F8A"/>
    <w:rsid w:val="001A5DCC"/>
    <w:rsid w:val="001D6156"/>
    <w:rsid w:val="001D7F9F"/>
    <w:rsid w:val="001E0591"/>
    <w:rsid w:val="001F6F72"/>
    <w:rsid w:val="00202A7D"/>
    <w:rsid w:val="00230C51"/>
    <w:rsid w:val="00242B25"/>
    <w:rsid w:val="002666AE"/>
    <w:rsid w:val="002737F7"/>
    <w:rsid w:val="002A477F"/>
    <w:rsid w:val="002C49A5"/>
    <w:rsid w:val="002D0753"/>
    <w:rsid w:val="003402A9"/>
    <w:rsid w:val="003724BD"/>
    <w:rsid w:val="0037363D"/>
    <w:rsid w:val="003B42A1"/>
    <w:rsid w:val="003B52FE"/>
    <w:rsid w:val="003D6BB4"/>
    <w:rsid w:val="00411D9E"/>
    <w:rsid w:val="004135AC"/>
    <w:rsid w:val="00434E15"/>
    <w:rsid w:val="00462C0B"/>
    <w:rsid w:val="0047097A"/>
    <w:rsid w:val="004B4B4A"/>
    <w:rsid w:val="004C3C38"/>
    <w:rsid w:val="004F455B"/>
    <w:rsid w:val="004F6EAF"/>
    <w:rsid w:val="00503969"/>
    <w:rsid w:val="00504AA6"/>
    <w:rsid w:val="005058C9"/>
    <w:rsid w:val="00537FCA"/>
    <w:rsid w:val="0055239F"/>
    <w:rsid w:val="00585911"/>
    <w:rsid w:val="005864B1"/>
    <w:rsid w:val="0058735C"/>
    <w:rsid w:val="005A10DE"/>
    <w:rsid w:val="005D2DAE"/>
    <w:rsid w:val="005D4792"/>
    <w:rsid w:val="005E408B"/>
    <w:rsid w:val="0062127B"/>
    <w:rsid w:val="006274B9"/>
    <w:rsid w:val="0063034B"/>
    <w:rsid w:val="00631AC9"/>
    <w:rsid w:val="00695100"/>
    <w:rsid w:val="006C29B4"/>
    <w:rsid w:val="006F5E85"/>
    <w:rsid w:val="006F6FA0"/>
    <w:rsid w:val="00744776"/>
    <w:rsid w:val="00772F74"/>
    <w:rsid w:val="00790E28"/>
    <w:rsid w:val="00792884"/>
    <w:rsid w:val="007A5EAF"/>
    <w:rsid w:val="007D1DFA"/>
    <w:rsid w:val="007D30B6"/>
    <w:rsid w:val="007D35DD"/>
    <w:rsid w:val="00802E53"/>
    <w:rsid w:val="0082441E"/>
    <w:rsid w:val="00844FA2"/>
    <w:rsid w:val="008833F9"/>
    <w:rsid w:val="00894BF0"/>
    <w:rsid w:val="00896261"/>
    <w:rsid w:val="008C1E20"/>
    <w:rsid w:val="008D72A0"/>
    <w:rsid w:val="008E0B02"/>
    <w:rsid w:val="00904C16"/>
    <w:rsid w:val="009211CF"/>
    <w:rsid w:val="00924B48"/>
    <w:rsid w:val="00964D2F"/>
    <w:rsid w:val="009A0CE4"/>
    <w:rsid w:val="009B38CE"/>
    <w:rsid w:val="009B3FE7"/>
    <w:rsid w:val="00A11332"/>
    <w:rsid w:val="00A2336B"/>
    <w:rsid w:val="00A23498"/>
    <w:rsid w:val="00A31EA3"/>
    <w:rsid w:val="00A86182"/>
    <w:rsid w:val="00A960C5"/>
    <w:rsid w:val="00AB175E"/>
    <w:rsid w:val="00AC43FB"/>
    <w:rsid w:val="00AC6FB6"/>
    <w:rsid w:val="00AE7BBF"/>
    <w:rsid w:val="00B03C7A"/>
    <w:rsid w:val="00B07546"/>
    <w:rsid w:val="00B32CB0"/>
    <w:rsid w:val="00B3761C"/>
    <w:rsid w:val="00B5748B"/>
    <w:rsid w:val="00B90973"/>
    <w:rsid w:val="00BA5692"/>
    <w:rsid w:val="00BE2787"/>
    <w:rsid w:val="00BE50D9"/>
    <w:rsid w:val="00BF0F32"/>
    <w:rsid w:val="00C1578E"/>
    <w:rsid w:val="00C273C4"/>
    <w:rsid w:val="00C3082C"/>
    <w:rsid w:val="00C40B48"/>
    <w:rsid w:val="00C71F1E"/>
    <w:rsid w:val="00CB5D86"/>
    <w:rsid w:val="00CD37A9"/>
    <w:rsid w:val="00CE7006"/>
    <w:rsid w:val="00CF3775"/>
    <w:rsid w:val="00D25CD6"/>
    <w:rsid w:val="00D56D1A"/>
    <w:rsid w:val="00DB3388"/>
    <w:rsid w:val="00DC2476"/>
    <w:rsid w:val="00DE4E3E"/>
    <w:rsid w:val="00DF31C1"/>
    <w:rsid w:val="00DF5228"/>
    <w:rsid w:val="00E31362"/>
    <w:rsid w:val="00E33F1F"/>
    <w:rsid w:val="00E70371"/>
    <w:rsid w:val="00E729F1"/>
    <w:rsid w:val="00E8582B"/>
    <w:rsid w:val="00E946A5"/>
    <w:rsid w:val="00E94C63"/>
    <w:rsid w:val="00ED6022"/>
    <w:rsid w:val="00F05967"/>
    <w:rsid w:val="00F06DF9"/>
    <w:rsid w:val="00F117E0"/>
    <w:rsid w:val="00F54F2D"/>
    <w:rsid w:val="00F65A4A"/>
    <w:rsid w:val="00F66113"/>
    <w:rsid w:val="00F9307A"/>
    <w:rsid w:val="00FE277B"/>
    <w:rsid w:val="084A0056"/>
    <w:rsid w:val="08E91791"/>
    <w:rsid w:val="09A27972"/>
    <w:rsid w:val="0FD84951"/>
    <w:rsid w:val="185F568D"/>
    <w:rsid w:val="202E0D07"/>
    <w:rsid w:val="2AC21CFA"/>
    <w:rsid w:val="2CBA7562"/>
    <w:rsid w:val="31E85C44"/>
    <w:rsid w:val="326B0832"/>
    <w:rsid w:val="442F43AD"/>
    <w:rsid w:val="4F55735C"/>
    <w:rsid w:val="5C7211C5"/>
    <w:rsid w:val="73184807"/>
    <w:rsid w:val="76C7350B"/>
    <w:rsid w:val="7931583A"/>
    <w:rsid w:val="7FA8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5</Pages>
  <Words>401</Words>
  <Characters>2292</Characters>
  <Lines>19</Lines>
  <Paragraphs>5</Paragraphs>
  <TotalTime>2</TotalTime>
  <ScaleCrop>false</ScaleCrop>
  <LinksUpToDate>false</LinksUpToDate>
  <CharactersWithSpaces>2688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2021-04-19T07:16:00Z</dcterms:created>
  <dc:creator>Micorosoft</dc:creator>
  <cp:lastModifiedBy>Brandon Ingram</cp:lastModifiedBy>
  <dcterms:modified xsi:type="dcterms:W3CDTF">2022-01-06T05:45:56Z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0904358A29E24BCB901DD1837FAC7DF3</vt:lpwstr>
  </property>
</Properties>
</file>