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s>
        <w:snapToGrid w:val="0"/>
        <w:spacing w:line="600" w:lineRule="exact"/>
        <w:jc w:val="center"/>
        <w:rPr>
          <w:rFonts w:hint="eastAsia" w:hAnsi="宋体" w:eastAsia="宋体"/>
          <w:color w:val="auto"/>
          <w:sz w:val="28"/>
          <w:szCs w:val="28"/>
          <w:lang w:val="en-US" w:eastAsia="zh-CN"/>
        </w:rPr>
      </w:pPr>
      <w:r>
        <w:rPr>
          <w:rFonts w:hint="eastAsia" w:hAnsi="宋体"/>
          <w:b/>
          <w:bCs/>
          <w:color w:val="auto"/>
          <w:sz w:val="28"/>
          <w:szCs w:val="28"/>
          <w:lang w:val="en-US" w:eastAsia="zh-CN"/>
        </w:rPr>
        <w:t>企业简介</w:t>
      </w:r>
    </w:p>
    <w:p>
      <w:pPr>
        <w:ind w:firstLine="560" w:firstLineChars="200"/>
        <w:rPr>
          <w:rFonts w:hint="eastAsia" w:ascii="宋体" w:hAnsi="宋体" w:cs="宋体"/>
          <w:color w:val="000000"/>
          <w:kern w:val="0"/>
          <w:sz w:val="28"/>
          <w:szCs w:val="28"/>
          <w:lang w:eastAsia="zh-CN"/>
        </w:rPr>
      </w:pPr>
      <w:bookmarkStart w:id="0" w:name="_GoBack"/>
      <w:bookmarkEnd w:id="0"/>
      <w:r>
        <w:rPr>
          <w:rFonts w:hint="eastAsia" w:ascii="宋体" w:hAnsi="宋体" w:cs="宋体"/>
          <w:color w:val="000000"/>
          <w:kern w:val="0"/>
          <w:sz w:val="28"/>
          <w:szCs w:val="28"/>
          <w:lang w:eastAsia="zh-CN"/>
        </w:rPr>
        <w:t>弋阳县筑城混凝土有限公司年产60万立方商品混凝土建设项目商品混凝土搅拌站由弋阳县筑城混凝土有限公司投资建设，该搅拌站位于江西省上饶市弋阳县高新技术园区，地理坐标为：E：117°38′60″，N：28°36′12″。弋阳县筑城混凝土有限公司年产60万立方商品混凝土建设项目于</w:t>
      </w:r>
      <w:r>
        <w:rPr>
          <w:rFonts w:hint="eastAsia" w:ascii="宋体" w:hAnsi="宋体" w:cs="宋体"/>
          <w:color w:val="000000"/>
          <w:kern w:val="0"/>
          <w:sz w:val="28"/>
          <w:szCs w:val="28"/>
          <w:lang w:val="en-US" w:eastAsia="zh-CN"/>
        </w:rPr>
        <w:t>2013年12月16日成立于2018年5月8日变更</w:t>
      </w:r>
      <w:r>
        <w:rPr>
          <w:rFonts w:hint="eastAsia" w:ascii="宋体" w:hAnsi="宋体" w:cs="宋体"/>
          <w:color w:val="000000"/>
          <w:kern w:val="0"/>
          <w:sz w:val="28"/>
          <w:szCs w:val="28"/>
          <w:lang w:eastAsia="zh-CN"/>
        </w:rPr>
        <w:t>，营业执照证号：</w:t>
      </w:r>
      <w:r>
        <w:rPr>
          <w:rFonts w:hint="eastAsia" w:ascii="宋体" w:hAnsi="宋体" w:cs="宋体"/>
          <w:color w:val="000000"/>
          <w:kern w:val="0"/>
          <w:sz w:val="28"/>
          <w:szCs w:val="28"/>
          <w:lang w:val="en-US" w:eastAsia="zh-CN"/>
        </w:rPr>
        <w:t>931611260839491220，法人杨彬成，类型为：有限责任公司（自然人投资或控股），经营范围为包括混凝土搅拌；散装水泥销售；建筑材料销售；机械设备租赁、销售；普通货物道路运输；货物专用运输（罐式容器）。</w:t>
      </w:r>
      <w:r>
        <w:rPr>
          <w:rFonts w:hint="eastAsia" w:ascii="宋体" w:hAnsi="宋体" w:cs="宋体"/>
          <w:color w:val="000000"/>
          <w:kern w:val="0"/>
          <w:sz w:val="28"/>
          <w:szCs w:val="28"/>
          <w:lang w:eastAsia="zh-CN"/>
        </w:rPr>
        <w:t>该搅拌站主要建设内容有给料系统、搅拌站房、料场及综合楼。该搅拌站生产规模为年产60万立方商品混凝土，劳动定员为</w:t>
      </w:r>
      <w:r>
        <w:rPr>
          <w:rFonts w:hint="eastAsia" w:ascii="宋体" w:hAnsi="宋体" w:cs="宋体"/>
          <w:color w:val="000000"/>
          <w:kern w:val="0"/>
          <w:sz w:val="28"/>
          <w:szCs w:val="28"/>
          <w:lang w:val="en-US" w:eastAsia="zh-CN"/>
        </w:rPr>
        <w:t>45</w:t>
      </w:r>
      <w:r>
        <w:rPr>
          <w:rFonts w:hint="eastAsia" w:ascii="宋体" w:hAnsi="宋体" w:cs="宋体"/>
          <w:color w:val="000000"/>
          <w:kern w:val="0"/>
          <w:sz w:val="28"/>
          <w:szCs w:val="28"/>
          <w:lang w:eastAsia="zh-CN"/>
        </w:rPr>
        <w:t>人</w:t>
      </w:r>
      <w:r>
        <w:rPr>
          <w:rFonts w:hint="eastAsia" w:ascii="宋体" w:hAnsi="宋体" w:cs="宋体"/>
          <w:color w:val="000000"/>
          <w:kern w:val="0"/>
          <w:sz w:val="28"/>
          <w:szCs w:val="28"/>
          <w:lang w:val="en-US" w:eastAsia="zh-CN"/>
        </w:rPr>
        <w:t>，</w:t>
      </w:r>
      <w:r>
        <w:rPr>
          <w:rFonts w:hint="eastAsia" w:ascii="宋体" w:hAnsi="宋体" w:cs="宋体"/>
          <w:color w:val="000000"/>
          <w:kern w:val="0"/>
          <w:sz w:val="28"/>
          <w:szCs w:val="28"/>
          <w:lang w:eastAsia="zh-CN"/>
        </w:rPr>
        <w:t>主要负责人与安全管理人员已参加安全管理培训并取证，全年运转天数约为</w:t>
      </w:r>
      <w:r>
        <w:rPr>
          <w:rFonts w:hint="eastAsia" w:ascii="宋体" w:hAnsi="宋体" w:cs="宋体"/>
          <w:color w:val="000000"/>
          <w:kern w:val="0"/>
          <w:sz w:val="28"/>
          <w:szCs w:val="28"/>
          <w:lang w:val="en-US" w:eastAsia="zh-CN"/>
        </w:rPr>
        <w:t>280</w:t>
      </w:r>
      <w:r>
        <w:rPr>
          <w:rFonts w:hint="eastAsia" w:ascii="宋体" w:hAnsi="宋体" w:cs="宋体"/>
          <w:color w:val="000000"/>
          <w:kern w:val="0"/>
          <w:sz w:val="28"/>
          <w:szCs w:val="28"/>
          <w:lang w:eastAsia="zh-CN"/>
        </w:rPr>
        <w:t>天，施行一</w:t>
      </w:r>
      <w:r>
        <w:rPr>
          <w:rFonts w:hint="eastAsia" w:ascii="宋体" w:hAnsi="宋体" w:cs="宋体"/>
          <w:color w:val="000000"/>
          <w:kern w:val="0"/>
          <w:sz w:val="28"/>
          <w:szCs w:val="28"/>
          <w:lang w:val="en-US" w:eastAsia="zh-CN"/>
        </w:rPr>
        <w:t>天1班制</w:t>
      </w:r>
      <w:r>
        <w:rPr>
          <w:rFonts w:hint="eastAsia" w:ascii="宋体" w:hAnsi="宋体" w:cs="宋体"/>
          <w:color w:val="000000"/>
          <w:kern w:val="0"/>
          <w:sz w:val="28"/>
          <w:szCs w:val="28"/>
          <w:lang w:eastAsia="zh-CN"/>
        </w:rPr>
        <w:t>。</w:t>
      </w:r>
    </w:p>
    <w:p>
      <w:pPr>
        <w:rPr>
          <w:rFonts w:hint="eastAsia"/>
          <w:lang w:eastAsia="zh-CN"/>
        </w:rPr>
      </w:pPr>
      <w:r>
        <w:rPr>
          <w:rFonts w:hint="eastAsia" w:ascii="宋体" w:hAnsi="宋体" w:cs="宋体"/>
          <w:color w:val="000000"/>
          <w:kern w:val="0"/>
          <w:sz w:val="28"/>
          <w:szCs w:val="28"/>
          <w:lang w:eastAsia="zh-CN"/>
        </w:rPr>
        <w:t>企业采用的技术、工艺均为国内通用的技术和工艺，技术上比较成熟，与国内同类建设项目水平相当。企业制定了相应的安全管理制度、安全操作规程和应急救援预案，配备了专职安全生产管理人员，安全生产管理人员、特种作业人员，安全投入纳入公司概算，安全管理适应安全生产要求。该公司安全设施不断完善，运行正常。同时公司高度重视安全工作，加强现场安全生产管理，截至目前生产运行状况良好，未发生重大安全事故。</w:t>
      </w:r>
    </w:p>
    <w:p>
      <w:pPr>
        <w:jc w:val="center"/>
        <w:rPr>
          <w:rFonts w:hint="eastAsia" w:ascii="宋体" w:hAnsi="宋体" w:cs="宋体"/>
          <w:color w:val="000000"/>
          <w:kern w:val="0"/>
          <w:sz w:val="28"/>
          <w:szCs w:val="28"/>
          <w:lang w:eastAsia="zh-CN"/>
        </w:rPr>
      </w:pPr>
    </w:p>
    <w:p>
      <w:pPr>
        <w:jc w:val="center"/>
        <w:rPr>
          <w:rFonts w:hint="eastAsia" w:ascii="宋体" w:hAnsi="宋体" w:cs="宋体"/>
          <w:color w:val="000000"/>
          <w:kern w:val="0"/>
          <w:sz w:val="28"/>
          <w:szCs w:val="28"/>
          <w:lang w:eastAsia="zh-CN"/>
        </w:rPr>
      </w:pPr>
    </w:p>
    <w:p>
      <w:pPr>
        <w:jc w:val="center"/>
        <w:rPr>
          <w:rFonts w:hint="eastAsia" w:ascii="宋体" w:hAnsi="宋体" w:cs="宋体"/>
          <w:color w:val="000000"/>
          <w:kern w:val="0"/>
          <w:sz w:val="28"/>
          <w:szCs w:val="28"/>
          <w:lang w:eastAsia="zh-CN"/>
        </w:rPr>
      </w:pPr>
      <w:r>
        <w:rPr>
          <w:rFonts w:hint="eastAsia" w:ascii="宋体" w:hAnsi="宋体" w:cs="宋体"/>
          <w:color w:val="000000"/>
          <w:kern w:val="0"/>
          <w:sz w:val="28"/>
          <w:szCs w:val="28"/>
          <w:lang w:eastAsia="zh-CN"/>
        </w:rPr>
        <w:t>主要设备清单</w:t>
      </w:r>
    </w:p>
    <w:tbl>
      <w:tblPr>
        <w:tblStyle w:val="5"/>
        <w:tblW w:w="781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658"/>
        <w:gridCol w:w="1952"/>
        <w:gridCol w:w="1752"/>
        <w:gridCol w:w="1068"/>
        <w:gridCol w:w="1284"/>
        <w:gridCol w:w="109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序号</w:t>
            </w:r>
          </w:p>
        </w:tc>
        <w:tc>
          <w:tcPr>
            <w:tcW w:w="1952"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设备名称</w:t>
            </w:r>
          </w:p>
        </w:tc>
        <w:tc>
          <w:tcPr>
            <w:tcW w:w="1752"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型号</w:t>
            </w:r>
          </w:p>
        </w:tc>
        <w:tc>
          <w:tcPr>
            <w:tcW w:w="1068"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数量</w:t>
            </w:r>
          </w:p>
        </w:tc>
        <w:tc>
          <w:tcPr>
            <w:tcW w:w="1284"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所在部位</w:t>
            </w:r>
          </w:p>
        </w:tc>
        <w:tc>
          <w:tcPr>
            <w:tcW w:w="1097" w:type="dxa"/>
            <w:shd w:val="clear" w:color="000000" w:fill="FFFFFF"/>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b/>
                <w:bCs/>
                <w:color w:val="000000"/>
                <w:kern w:val="0"/>
                <w:sz w:val="21"/>
                <w:szCs w:val="21"/>
                <w:lang w:eastAsia="zh-CN"/>
              </w:rPr>
            </w:pPr>
            <w:r>
              <w:rPr>
                <w:rFonts w:hint="eastAsia" w:ascii="宋体" w:hAnsi="宋体" w:eastAsia="宋体" w:cs="宋体"/>
                <w:b/>
                <w:bCs/>
                <w:color w:val="000000"/>
                <w:kern w:val="0"/>
                <w:sz w:val="21"/>
                <w:szCs w:val="21"/>
                <w:lang w:eastAsia="zh-CN"/>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搅拌主机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sz w:val="21"/>
                <w:szCs w:val="21"/>
                <w:lang w:val="en-US" w:eastAsia="zh-CN"/>
              </w:rPr>
              <w:t>HLS90G/HLS180G</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搅拌楼</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筒料仓</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4个</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搅拌楼</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3</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配料水平皮带机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堆料场</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骨料水平皮带机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700t/h</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堆料场</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水泥螺旋输送机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110t/h</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搅拌楼</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6</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粉煤灰螺旋输送机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40t/h</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搅拌楼</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val="en-US" w:eastAsia="zh-CN"/>
              </w:rPr>
              <w:t>7</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装载机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堆料场</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val="en-US" w:eastAsia="zh-CN"/>
              </w:rPr>
              <w:t>8</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混凝土罐车</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18台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场内停车区</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val="en-US" w:eastAsia="zh-CN"/>
              </w:rPr>
              <w:t>9</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混凝土输送泵</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搅拌楼</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10</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混凝土泵车</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eastAsia="zh-CN"/>
              </w:rPr>
              <w:t>场内停车区</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11</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eastAsia="zh-CN"/>
              </w:rPr>
              <w:t>实验设备</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1套</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实验楼</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12</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空压机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val="en-US" w:eastAsia="zh-CN"/>
              </w:rPr>
              <w:t>1台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搅拌楼</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13</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变压器</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48</w:t>
            </w:r>
            <w:r>
              <w:rPr>
                <w:rFonts w:hint="eastAsia" w:ascii="宋体" w:hAnsi="宋体" w:eastAsia="宋体" w:cs="宋体"/>
                <w:color w:val="000000"/>
                <w:kern w:val="0"/>
                <w:sz w:val="21"/>
                <w:szCs w:val="21"/>
                <w:lang w:val="en-US" w:eastAsia="zh-CN"/>
              </w:rPr>
              <w:t>0KVA</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rPr>
              <w:t>1</w:t>
            </w:r>
            <w:r>
              <w:rPr>
                <w:rFonts w:hint="eastAsia" w:ascii="宋体" w:hAnsi="宋体" w:eastAsia="宋体" w:cs="宋体"/>
                <w:color w:val="000000"/>
                <w:kern w:val="0"/>
                <w:sz w:val="21"/>
                <w:szCs w:val="21"/>
                <w:lang w:eastAsia="zh-CN"/>
              </w:rPr>
              <w:t>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厂区东北角</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14</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柴油发电机</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r>
              <w:rPr>
                <w:rFonts w:hint="eastAsia" w:ascii="宋体" w:hAnsi="宋体" w:cs="宋体"/>
                <w:sz w:val="21"/>
                <w:szCs w:val="21"/>
                <w:lang w:val="en-US" w:eastAsia="zh-CN"/>
              </w:rPr>
              <w:t>25</w:t>
            </w:r>
            <w:r>
              <w:rPr>
                <w:rFonts w:hint="eastAsia" w:ascii="宋体" w:hAnsi="宋体" w:eastAsia="宋体" w:cs="宋体"/>
                <w:sz w:val="21"/>
                <w:szCs w:val="21"/>
              </w:rPr>
              <w:t>0KW</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发电机房</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15</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地磅</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50t</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1台</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厂区西南角</w:t>
            </w: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16</w:t>
            </w:r>
          </w:p>
        </w:tc>
        <w:tc>
          <w:tcPr>
            <w:tcW w:w="19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t>空气储罐</w:t>
            </w:r>
          </w:p>
        </w:tc>
        <w:tc>
          <w:tcPr>
            <w:tcW w:w="1752"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1m³</w:t>
            </w:r>
          </w:p>
        </w:tc>
        <w:tc>
          <w:tcPr>
            <w:tcW w:w="1068"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2个</w:t>
            </w:r>
          </w:p>
        </w:tc>
        <w:tc>
          <w:tcPr>
            <w:tcW w:w="1284"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lang w:eastAsia="zh-CN"/>
              </w:rPr>
            </w:pPr>
          </w:p>
        </w:tc>
        <w:tc>
          <w:tcPr>
            <w:tcW w:w="1097" w:type="dxa"/>
            <w:vAlign w:val="center"/>
          </w:tcPr>
          <w:p>
            <w:pPr>
              <w:keepNext w:val="0"/>
              <w:keepLines w:val="0"/>
              <w:pageBreakBefore w:val="0"/>
              <w:widowControl/>
              <w:kinsoku/>
              <w:wordWrap/>
              <w:overflowPunct/>
              <w:topLinePunct w:val="0"/>
              <w:autoSpaceDE/>
              <w:autoSpaceDN/>
              <w:bidi w:val="0"/>
              <w:adjustRightInd/>
              <w:snapToGrid/>
              <w:spacing w:line="400" w:lineRule="exact"/>
              <w:ind w:firstLine="0" w:firstLineChars="0"/>
              <w:jc w:val="center"/>
              <w:textAlignment w:val="auto"/>
              <w:rPr>
                <w:rFonts w:hint="eastAsia" w:ascii="宋体" w:hAnsi="宋体" w:eastAsia="宋体" w:cs="宋体"/>
                <w:color w:val="000000"/>
                <w:kern w:val="0"/>
                <w:sz w:val="21"/>
                <w:szCs w:val="21"/>
              </w:rPr>
            </w:pPr>
          </w:p>
        </w:tc>
      </w:tr>
    </w:tbl>
    <w:p>
      <w:pPr>
        <w:rPr>
          <w:rFonts w:hint="eastAsia" w:ascii="宋体" w:hAnsi="宋体" w:cs="宋体"/>
          <w:color w:val="000000"/>
          <w:kern w:val="0"/>
          <w:sz w:val="28"/>
          <w:szCs w:val="28"/>
          <w:lang w:eastAsia="zh-CN"/>
        </w:rPr>
      </w:pPr>
    </w:p>
    <w:p>
      <w:pPr>
        <w:rPr>
          <w:rFonts w:hint="eastAsia"/>
          <w:lang w:eastAsia="zh-CN"/>
        </w:rPr>
      </w:pPr>
      <w:r>
        <w:rPr>
          <w:rFonts w:hint="eastAsia" w:eastAsia="宋体"/>
          <w:lang w:eastAsia="zh-CN"/>
        </w:rPr>
        <w:drawing>
          <wp:inline distT="0" distB="0" distL="114300" distR="114300">
            <wp:extent cx="5867400" cy="3867785"/>
            <wp:effectExtent l="0" t="0" r="0" b="18415"/>
            <wp:docPr id="8" name="图片 8" descr="微信图片_2019110709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1107090435"/>
                    <pic:cNvPicPr>
                      <a:picLocks noChangeAspect="1"/>
                    </pic:cNvPicPr>
                  </pic:nvPicPr>
                  <pic:blipFill>
                    <a:blip r:embed="rId4"/>
                    <a:stretch>
                      <a:fillRect/>
                    </a:stretch>
                  </pic:blipFill>
                  <pic:spPr>
                    <a:xfrm>
                      <a:off x="0" y="0"/>
                      <a:ext cx="5867400" cy="38677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F67BD"/>
    <w:rsid w:val="2F9F67BD"/>
    <w:rsid w:val="404D1D40"/>
    <w:rsid w:val="605E0220"/>
    <w:rsid w:val="63693625"/>
    <w:rsid w:val="69201E08"/>
    <w:rsid w:val="765158FC"/>
    <w:rsid w:val="7CEF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pageBreakBefore/>
      <w:spacing w:before="50" w:beforeLines="50" w:after="50" w:afterLines="50"/>
      <w:ind w:firstLine="0" w:firstLineChars="0"/>
      <w:jc w:val="center"/>
      <w:outlineLvl w:val="0"/>
    </w:pPr>
    <w:rPr>
      <w:rFonts w:ascii="Times New Roman" w:hAnsi="Times New Roman" w:eastAsia="黑体"/>
      <w:b/>
      <w:bCs/>
      <w:kern w:val="44"/>
      <w:sz w:val="32"/>
      <w:szCs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szCs w:val="20"/>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560" w:firstLineChars="200"/>
    </w:pPr>
    <w:rPr>
      <w:rFonts w:ascii="宋体" w:hAnsi="宋体"/>
      <w:sz w:val="28"/>
    </w:rPr>
  </w:style>
  <w:style w:type="paragraph" w:customStyle="1" w:styleId="7">
    <w:name w:val="Default1"/>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2020-09-01T00:57:00Z</dcterms:created>
  <dc:creator>kong</dc:creator>
  <cp:lastModifiedBy>kong</cp:lastModifiedBy>
  <dcterms:modified xsi:type="dcterms:W3CDTF">2021-03-11T06:19:12Z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