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F94" w:rsidRDefault="005D1F94"/>
    <w:p w:rsidR="0017467D" w:rsidRDefault="00CD5FFA">
      <w:pPr>
        <w:rPr>
          <w:rFonts w:ascii="Arial" w:hAnsi="Arial" w:cs="Arial"/>
          <w:sz w:val="52"/>
          <w:szCs w:val="52"/>
        </w:rPr>
      </w:pPr>
      <w:r>
        <w:rPr>
          <w:rFonts w:ascii="Arial" w:hAnsi="Arial" w:cs="Arial"/>
          <w:sz w:val="52"/>
          <w:szCs w:val="52"/>
        </w:rPr>
        <w:t>Debug / Width</w:t>
      </w:r>
    </w:p>
    <w:p w:rsidR="00CD5FFA" w:rsidRPr="00150CF0" w:rsidRDefault="00CD5FFA">
      <w:pPr>
        <w:rPr>
          <w:rFonts w:ascii="Arial" w:hAnsi="Arial" w:cs="Arial"/>
          <w:sz w:val="52"/>
          <w:szCs w:val="52"/>
        </w:rPr>
      </w:pPr>
      <w:r>
        <w:rPr>
          <w:rFonts w:ascii="Arial" w:hAnsi="Arial" w:cs="Arial"/>
          <w:sz w:val="52"/>
          <w:szCs w:val="52"/>
        </w:rPr>
        <w:t>Parameterization</w:t>
      </w:r>
    </w:p>
    <w:p w:rsidR="005D1F94" w:rsidRDefault="005D1F94">
      <w:pPr>
        <w:rPr>
          <w:rFonts w:ascii="Arial" w:hAnsi="Arial" w:cs="Arial"/>
          <w:sz w:val="40"/>
          <w:szCs w:val="40"/>
        </w:rPr>
      </w:pPr>
    </w:p>
    <w:p w:rsidR="008C43CF" w:rsidRDefault="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CC1CD7" w:rsidRDefault="00CC1CD7" w:rsidP="008C43CF">
      <w:pPr>
        <w:rPr>
          <w:rFonts w:ascii="Arial" w:hAnsi="Arial" w:cs="Arial"/>
          <w:sz w:val="40"/>
          <w:szCs w:val="40"/>
        </w:rPr>
      </w:pPr>
    </w:p>
    <w:p w:rsidR="005E067F" w:rsidRDefault="005E067F" w:rsidP="008C43CF">
      <w:pPr>
        <w:rPr>
          <w:rFonts w:ascii="Arial" w:hAnsi="Arial" w:cs="Arial"/>
          <w:sz w:val="40"/>
          <w:szCs w:val="40"/>
        </w:rPr>
      </w:pPr>
    </w:p>
    <w:p w:rsidR="005E067F" w:rsidRDefault="005E067F" w:rsidP="008C43CF">
      <w:pPr>
        <w:rPr>
          <w:rFonts w:ascii="Arial" w:hAnsi="Arial" w:cs="Arial"/>
          <w:sz w:val="40"/>
          <w:szCs w:val="40"/>
        </w:rPr>
      </w:pPr>
    </w:p>
    <w:p w:rsidR="00A60F21" w:rsidRDefault="00A60F21">
      <w:pPr>
        <w:rPr>
          <w:rFonts w:ascii="Arial" w:hAnsi="Arial" w:cs="Arial"/>
          <w:sz w:val="36"/>
          <w:szCs w:val="36"/>
        </w:rPr>
      </w:pPr>
    </w:p>
    <w:p w:rsidR="0083371E" w:rsidRPr="00887F4B" w:rsidRDefault="0083371E">
      <w:pPr>
        <w:rPr>
          <w:rFonts w:ascii="Arial" w:hAnsi="Arial" w:cs="Arial"/>
          <w:sz w:val="36"/>
          <w:szCs w:val="36"/>
        </w:rPr>
      </w:pPr>
    </w:p>
    <w:p w:rsidR="008C43CF" w:rsidRPr="00887F4B" w:rsidRDefault="008C43CF" w:rsidP="008C43CF">
      <w:pPr>
        <w:rPr>
          <w:rFonts w:ascii="Arial" w:hAnsi="Arial" w:cs="Arial"/>
          <w:sz w:val="36"/>
          <w:szCs w:val="36"/>
        </w:rPr>
      </w:pPr>
      <w:r w:rsidRPr="00887F4B">
        <w:rPr>
          <w:rFonts w:ascii="Arial" w:hAnsi="Arial" w:cs="Arial"/>
          <w:sz w:val="36"/>
          <w:szCs w:val="36"/>
        </w:rPr>
        <w:t>Shepard Siegel</w:t>
      </w:r>
    </w:p>
    <w:p w:rsidR="009975DC" w:rsidRPr="00887F4B" w:rsidRDefault="008C43CF">
      <w:pPr>
        <w:rPr>
          <w:rFonts w:ascii="Arial" w:hAnsi="Arial" w:cs="Arial"/>
          <w:sz w:val="36"/>
          <w:szCs w:val="36"/>
        </w:rPr>
      </w:pPr>
      <w:r w:rsidRPr="00887F4B">
        <w:rPr>
          <w:rFonts w:ascii="Arial" w:hAnsi="Arial" w:cs="Arial"/>
          <w:sz w:val="36"/>
          <w:szCs w:val="36"/>
        </w:rPr>
        <w:t>Atomic Rules</w:t>
      </w:r>
      <w:r w:rsidR="00A60F21" w:rsidRPr="00887F4B">
        <w:rPr>
          <w:rFonts w:ascii="Arial" w:hAnsi="Arial" w:cs="Arial"/>
          <w:sz w:val="36"/>
          <w:szCs w:val="36"/>
        </w:rPr>
        <w:t xml:space="preserve"> </w:t>
      </w:r>
      <w:r w:rsidR="0083371E">
        <w:rPr>
          <w:rFonts w:ascii="Arial" w:hAnsi="Arial" w:cs="Arial"/>
          <w:sz w:val="36"/>
          <w:szCs w:val="36"/>
        </w:rPr>
        <w:t>LLC</w:t>
      </w: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9975DC" w:rsidRDefault="009975DC">
      <w:pPr>
        <w:rPr>
          <w:rFonts w:ascii="Arial" w:hAnsi="Arial" w:cs="Arial"/>
          <w:sz w:val="20"/>
          <w:szCs w:val="20"/>
        </w:rPr>
      </w:pPr>
    </w:p>
    <w:p w:rsidR="00A60F21" w:rsidRPr="00A60F21" w:rsidRDefault="00CC1CD7">
      <w:pPr>
        <w:rPr>
          <w:rFonts w:ascii="Arial" w:hAnsi="Arial" w:cs="Arial"/>
          <w:sz w:val="20"/>
          <w:szCs w:val="20"/>
        </w:rPr>
      </w:pPr>
      <w:r>
        <w:rPr>
          <w:rFonts w:ascii="Arial" w:hAnsi="Arial" w:cs="Arial"/>
          <w:sz w:val="20"/>
          <w:szCs w:val="20"/>
        </w:rPr>
        <w:t>© 2011</w:t>
      </w:r>
      <w:r w:rsidR="00A60F21" w:rsidRPr="00A60F21">
        <w:rPr>
          <w:rFonts w:ascii="Arial" w:hAnsi="Arial" w:cs="Arial"/>
          <w:sz w:val="20"/>
          <w:szCs w:val="20"/>
        </w:rPr>
        <w:t xml:space="preserve"> Atomic Rules LLC</w:t>
      </w:r>
    </w:p>
    <w:p w:rsidR="00191B3B" w:rsidRDefault="0083371E" w:rsidP="002D63D5">
      <w:pPr>
        <w:pStyle w:val="Heading1"/>
      </w:pPr>
      <w:r>
        <w:lastRenderedPageBreak/>
        <w:t>Overview</w:t>
      </w:r>
    </w:p>
    <w:p w:rsidR="00ED2EFC" w:rsidRDefault="00AF47A0" w:rsidP="007672E3">
      <w:pPr>
        <w:pStyle w:val="Body"/>
      </w:pPr>
      <w:proofErr w:type="spellStart"/>
      <w:r>
        <w:t>OpenCPI</w:t>
      </w:r>
      <w:proofErr w:type="spellEnd"/>
      <w:r>
        <w:t xml:space="preserve"> HDL components may be written to parameterize aspects of their implementation in a standardized fashion. This </w:t>
      </w:r>
      <w:r w:rsidR="00B40E23">
        <w:t xml:space="preserve">document </w:t>
      </w:r>
      <w:r>
        <w:t>describes how this has been accomplished for debug and width.</w:t>
      </w:r>
    </w:p>
    <w:p w:rsidR="00B40E23" w:rsidRDefault="00B40E23">
      <w:pPr>
        <w:rPr>
          <w:rFonts w:ascii="Arial" w:hAnsi="Arial" w:cs="Arial"/>
          <w:b/>
          <w:bCs/>
          <w:kern w:val="32"/>
          <w:sz w:val="32"/>
          <w:szCs w:val="32"/>
        </w:rPr>
      </w:pPr>
      <w:r>
        <w:br w:type="page"/>
      </w:r>
    </w:p>
    <w:p w:rsidR="00AF47A0" w:rsidRDefault="00B40E23" w:rsidP="00B40E23">
      <w:pPr>
        <w:pStyle w:val="Heading1"/>
      </w:pPr>
      <w:r>
        <w:lastRenderedPageBreak/>
        <w:t>Consistent Parameter Names</w:t>
      </w:r>
    </w:p>
    <w:p w:rsidR="00B40E23" w:rsidRDefault="00B40E23" w:rsidP="00B40E23">
      <w:pPr>
        <w:pStyle w:val="Body"/>
      </w:pPr>
      <w:r>
        <w:t xml:space="preserve">The use of consistent parameter names reduces the chance of error and allows for reuse and automation. By way of example, the module parameters for the </w:t>
      </w:r>
      <w:proofErr w:type="spellStart"/>
      <w:proofErr w:type="gramStart"/>
      <w:r w:rsidRPr="00CA351D">
        <w:rPr>
          <w:rFonts w:ascii="Courier New" w:hAnsi="Courier New" w:cs="Courier New"/>
        </w:rPr>
        <w:t>SMAdapter.v</w:t>
      </w:r>
      <w:proofErr w:type="spellEnd"/>
      <w:r>
        <w:t xml:space="preserve"> </w:t>
      </w:r>
      <w:r w:rsidR="00CA351D">
        <w:t xml:space="preserve"> </w:t>
      </w:r>
      <w:r>
        <w:t>code</w:t>
      </w:r>
      <w:proofErr w:type="gramEnd"/>
      <w:r>
        <w:t xml:space="preserve"> is shown and each parameter explained:</w:t>
      </w:r>
    </w:p>
    <w:p w:rsidR="00424F23" w:rsidRDefault="00424F23" w:rsidP="00B40E23">
      <w:pPr>
        <w:pStyle w:val="Body"/>
      </w:pPr>
    </w:p>
    <w:p w:rsidR="005C4237" w:rsidRDefault="005C4237" w:rsidP="00B40E23">
      <w:pPr>
        <w:pStyle w:val="Body"/>
        <w:spacing w:before="0" w:line="240" w:lineRule="auto"/>
        <w:ind w:left="720"/>
        <w:contextualSpacing/>
        <w:rPr>
          <w:rFonts w:ascii="Courier New" w:hAnsi="Courier New" w:cs="Courier New"/>
          <w:szCs w:val="20"/>
        </w:rPr>
      </w:pPr>
      <w:proofErr w:type="gramStart"/>
      <w:r w:rsidRPr="00B40E23">
        <w:rPr>
          <w:rFonts w:ascii="Courier New" w:hAnsi="Courier New" w:cs="Courier New"/>
          <w:szCs w:val="20"/>
        </w:rPr>
        <w:t>parameter</w:t>
      </w:r>
      <w:proofErr w:type="gramEnd"/>
      <w:r w:rsidRPr="00B40E23">
        <w:rPr>
          <w:rFonts w:ascii="Courier New" w:hAnsi="Courier New" w:cs="Courier New"/>
          <w:szCs w:val="20"/>
        </w:rPr>
        <w:t xml:space="preserve"> integer HAS_DEBUG_LOGIC        = 1</w:t>
      </w:r>
    </w:p>
    <w:p w:rsidR="005C4237" w:rsidRDefault="005C4237" w:rsidP="00B40E23">
      <w:pPr>
        <w:pStyle w:val="Body"/>
        <w:spacing w:before="0" w:line="240" w:lineRule="auto"/>
        <w:ind w:left="720"/>
        <w:contextualSpacing/>
        <w:rPr>
          <w:rFonts w:ascii="Courier New" w:hAnsi="Courier New" w:cs="Courier New"/>
          <w:szCs w:val="20"/>
        </w:rPr>
      </w:pPr>
    </w:p>
    <w:p w:rsidR="00B40E23" w:rsidRPr="00B40E23" w:rsidRDefault="00B40E23" w:rsidP="00B40E23">
      <w:pPr>
        <w:pStyle w:val="Body"/>
        <w:spacing w:before="0" w:line="240" w:lineRule="auto"/>
        <w:ind w:left="720"/>
        <w:contextualSpacing/>
        <w:rPr>
          <w:rFonts w:ascii="Courier New" w:hAnsi="Courier New" w:cs="Courier New"/>
          <w:szCs w:val="20"/>
        </w:rPr>
      </w:pPr>
      <w:proofErr w:type="gramStart"/>
      <w:r w:rsidRPr="00B40E23">
        <w:rPr>
          <w:rFonts w:ascii="Courier New" w:hAnsi="Courier New" w:cs="Courier New"/>
          <w:szCs w:val="20"/>
        </w:rPr>
        <w:t>paramet</w:t>
      </w:r>
      <w:r w:rsidRPr="00B40E23">
        <w:rPr>
          <w:rFonts w:ascii="Courier New" w:hAnsi="Courier New" w:cs="Courier New"/>
          <w:szCs w:val="20"/>
        </w:rPr>
        <w:t>er</w:t>
      </w:r>
      <w:proofErr w:type="gramEnd"/>
      <w:r w:rsidRPr="00B40E23">
        <w:rPr>
          <w:rFonts w:ascii="Courier New" w:hAnsi="Courier New" w:cs="Courier New"/>
          <w:szCs w:val="20"/>
        </w:rPr>
        <w:t xml:space="preserve"> integer WMI_M0_DATAPATH_WIDTH  = 32</w:t>
      </w:r>
    </w:p>
    <w:p w:rsidR="00B40E23" w:rsidRPr="00B40E23" w:rsidRDefault="00B40E23" w:rsidP="00B40E23">
      <w:pPr>
        <w:pStyle w:val="Body"/>
        <w:spacing w:before="0" w:line="240" w:lineRule="auto"/>
        <w:ind w:left="720"/>
        <w:contextualSpacing/>
        <w:rPr>
          <w:rFonts w:ascii="Courier New" w:hAnsi="Courier New" w:cs="Courier New"/>
          <w:szCs w:val="20"/>
        </w:rPr>
      </w:pPr>
      <w:proofErr w:type="gramStart"/>
      <w:r w:rsidRPr="00B40E23">
        <w:rPr>
          <w:rFonts w:ascii="Courier New" w:hAnsi="Courier New" w:cs="Courier New"/>
          <w:szCs w:val="20"/>
        </w:rPr>
        <w:t>parameter</w:t>
      </w:r>
      <w:proofErr w:type="gramEnd"/>
      <w:r w:rsidRPr="00B40E23">
        <w:rPr>
          <w:rFonts w:ascii="Courier New" w:hAnsi="Courier New" w:cs="Courier New"/>
          <w:szCs w:val="20"/>
        </w:rPr>
        <w:t xml:space="preserve"> integer </w:t>
      </w:r>
      <w:r w:rsidRPr="00B40E23">
        <w:rPr>
          <w:rFonts w:ascii="Courier New" w:hAnsi="Courier New" w:cs="Courier New"/>
          <w:szCs w:val="20"/>
        </w:rPr>
        <w:t>WSI_S0_DATAPATH_WIDTH  = 32</w:t>
      </w:r>
    </w:p>
    <w:p w:rsidR="00B40E23" w:rsidRDefault="00B40E23" w:rsidP="005C4237">
      <w:pPr>
        <w:pStyle w:val="Body"/>
        <w:spacing w:before="0" w:line="240" w:lineRule="auto"/>
        <w:ind w:left="720"/>
        <w:contextualSpacing/>
        <w:rPr>
          <w:rFonts w:ascii="Courier New" w:hAnsi="Courier New" w:cs="Courier New"/>
          <w:szCs w:val="20"/>
        </w:rPr>
      </w:pPr>
      <w:proofErr w:type="gramStart"/>
      <w:r w:rsidRPr="00B40E23">
        <w:rPr>
          <w:rFonts w:ascii="Courier New" w:hAnsi="Courier New" w:cs="Courier New"/>
          <w:szCs w:val="20"/>
        </w:rPr>
        <w:t>parameter</w:t>
      </w:r>
      <w:proofErr w:type="gramEnd"/>
      <w:r w:rsidRPr="00B40E23">
        <w:rPr>
          <w:rFonts w:ascii="Courier New" w:hAnsi="Courier New" w:cs="Courier New"/>
          <w:szCs w:val="20"/>
        </w:rPr>
        <w:t xml:space="preserve"> integer </w:t>
      </w:r>
      <w:r w:rsidRPr="00B40E23">
        <w:rPr>
          <w:rFonts w:ascii="Courier New" w:hAnsi="Courier New" w:cs="Courier New"/>
          <w:szCs w:val="20"/>
        </w:rPr>
        <w:t>WSI_M0_DATAPATH_WIDTH  = 32</w:t>
      </w:r>
      <w:r w:rsidR="005C4237">
        <w:rPr>
          <w:rFonts w:ascii="Courier New" w:hAnsi="Courier New" w:cs="Courier New"/>
          <w:szCs w:val="20"/>
        </w:rPr>
        <w:tab/>
      </w:r>
    </w:p>
    <w:p w:rsidR="005C4237" w:rsidRDefault="005C4237" w:rsidP="005C4237">
      <w:pPr>
        <w:pStyle w:val="Body"/>
        <w:tabs>
          <w:tab w:val="left" w:pos="7551"/>
        </w:tabs>
        <w:spacing w:before="0" w:line="240" w:lineRule="auto"/>
        <w:ind w:left="720"/>
        <w:contextualSpacing/>
        <w:rPr>
          <w:rFonts w:ascii="Courier New" w:hAnsi="Courier New" w:cs="Courier New"/>
          <w:szCs w:val="20"/>
        </w:rPr>
      </w:pPr>
    </w:p>
    <w:p w:rsidR="00424F23" w:rsidRPr="00B40E23" w:rsidRDefault="00424F23" w:rsidP="00424F23">
      <w:pPr>
        <w:pStyle w:val="Body"/>
        <w:spacing w:before="0" w:line="240" w:lineRule="auto"/>
        <w:ind w:left="720"/>
        <w:contextualSpacing/>
        <w:rPr>
          <w:rFonts w:ascii="Courier New" w:hAnsi="Courier New" w:cs="Courier New"/>
          <w:szCs w:val="20"/>
        </w:rPr>
      </w:pPr>
      <w:proofErr w:type="gramStart"/>
      <w:r w:rsidRPr="00B40E23">
        <w:rPr>
          <w:rFonts w:ascii="Courier New" w:hAnsi="Courier New" w:cs="Courier New"/>
          <w:szCs w:val="20"/>
        </w:rPr>
        <w:t>parameter</w:t>
      </w:r>
      <w:proofErr w:type="gramEnd"/>
      <w:r w:rsidRPr="00B40E23">
        <w:rPr>
          <w:rFonts w:ascii="Courier New" w:hAnsi="Courier New" w:cs="Courier New"/>
          <w:szCs w:val="20"/>
        </w:rPr>
        <w:t xml:space="preserve"> integer WORKER_CTRL_INIT       = 1</w:t>
      </w:r>
    </w:p>
    <w:p w:rsidR="00424F23" w:rsidRDefault="00424F23" w:rsidP="00B40E23">
      <w:pPr>
        <w:pStyle w:val="Body"/>
        <w:spacing w:before="0" w:line="240" w:lineRule="auto"/>
        <w:ind w:left="720"/>
        <w:contextualSpacing/>
        <w:rPr>
          <w:rFonts w:ascii="Courier New" w:hAnsi="Courier New" w:cs="Courier New"/>
          <w:szCs w:val="20"/>
        </w:rPr>
      </w:pPr>
    </w:p>
    <w:p w:rsidR="00424F23" w:rsidRPr="00B40E23" w:rsidRDefault="00424F23" w:rsidP="00B40E23">
      <w:pPr>
        <w:pStyle w:val="Body"/>
        <w:spacing w:before="0" w:line="240" w:lineRule="auto"/>
        <w:ind w:left="720"/>
        <w:contextualSpacing/>
        <w:rPr>
          <w:rFonts w:ascii="Courier New" w:hAnsi="Courier New" w:cs="Courier New"/>
          <w:szCs w:val="20"/>
        </w:rPr>
      </w:pPr>
    </w:p>
    <w:p w:rsidR="005C4237" w:rsidRDefault="005C4237" w:rsidP="005C4237">
      <w:pPr>
        <w:pStyle w:val="Body"/>
      </w:pPr>
      <w:r>
        <w:t>The first entry</w:t>
      </w:r>
      <w:r>
        <w:t>,</w:t>
      </w:r>
      <w:r>
        <w:t xml:space="preserve"> HAS_DEBUG_LOGIC</w:t>
      </w:r>
      <w:r>
        <w:t xml:space="preserve">, is an integer that used to indicate of the module does (1) or does not (0) have debug logic instantiated. This parameter would more correctly be </w:t>
      </w:r>
      <w:r w:rsidR="0006545B">
        <w:t>a</w:t>
      </w:r>
      <w:r>
        <w:t xml:space="preserve"> </w:t>
      </w:r>
      <w:r w:rsidR="0006545B">
        <w:t xml:space="preserve">Boolean; </w:t>
      </w:r>
      <w:r>
        <w:t xml:space="preserve">however many Verilog simulators and synthesis tools do not support this </w:t>
      </w:r>
      <w:proofErr w:type="spellStart"/>
      <w:r>
        <w:t>SystemVerilog</w:t>
      </w:r>
      <w:proofErr w:type="spellEnd"/>
      <w:r w:rsidR="0006545B">
        <w:t xml:space="preserve"> t</w:t>
      </w:r>
      <w:r>
        <w:t>ype.</w:t>
      </w:r>
      <w:r w:rsidR="0006545B">
        <w:t xml:space="preserve"> Instead, </w:t>
      </w:r>
      <w:r w:rsidR="00CA351D">
        <w:t xml:space="preserve">integer </w:t>
      </w:r>
      <w:r w:rsidR="0006545B">
        <w:t>1 indicates True; and 0 indicates False.</w:t>
      </w:r>
    </w:p>
    <w:p w:rsidR="00B40E23" w:rsidRDefault="00B40E23" w:rsidP="00B40E23">
      <w:pPr>
        <w:pStyle w:val="Body"/>
      </w:pPr>
      <w:r>
        <w:t xml:space="preserve">The </w:t>
      </w:r>
      <w:r w:rsidR="005C4237">
        <w:t>next</w:t>
      </w:r>
      <w:r>
        <w:t xml:space="preserve"> three entries are of the form XXX_YY_DATAPATH_WIDTH and describe the width of this module’s data flow interfaces in bits. XXX calls out either WMI or WSI, one of the two </w:t>
      </w:r>
      <w:proofErr w:type="spellStart"/>
      <w:r>
        <w:t>OpenCPI</w:t>
      </w:r>
      <w:proofErr w:type="spellEnd"/>
      <w:r>
        <w:t xml:space="preserve"> WIP data flow interfaces. YY calls out</w:t>
      </w:r>
      <w:r w:rsidR="00424F23">
        <w:t xml:space="preserve"> if a particular interface is either a Master (M) or Slave (S) and its ordinal ID starting from 0. In this case all ordinal IDs are 0. If there was an additional WMI Master interface, for example, it would be WMI_M1_DATAPATH_WIDTH.</w:t>
      </w:r>
      <w:r w:rsidR="005C4237">
        <w:t xml:space="preserve"> </w:t>
      </w:r>
    </w:p>
    <w:p w:rsidR="0006545B" w:rsidRDefault="0006545B" w:rsidP="003A7E6F">
      <w:pPr>
        <w:pStyle w:val="Body1"/>
      </w:pPr>
      <w:r>
        <w:t xml:space="preserve">Lastly, an ad hoc parameter chosen by the module author is shown. So long as it does not collide with the </w:t>
      </w:r>
      <w:proofErr w:type="spellStart"/>
      <w:r>
        <w:t>OpenCPI</w:t>
      </w:r>
      <w:proofErr w:type="spellEnd"/>
      <w:r>
        <w:t xml:space="preserve"> patterns previously described any string may be used the module author to parameterize their IP.</w:t>
      </w:r>
    </w:p>
    <w:p w:rsidR="00A329B4" w:rsidRPr="00A329B4" w:rsidRDefault="007672E3" w:rsidP="00A329B4">
      <w:pPr>
        <w:rPr>
          <w:rFonts w:ascii="Arial" w:hAnsi="Arial" w:cs="Arial"/>
          <w:b/>
          <w:bCs/>
          <w:kern w:val="32"/>
          <w:sz w:val="32"/>
          <w:szCs w:val="32"/>
        </w:rPr>
      </w:pPr>
      <w:r>
        <w:br w:type="page"/>
      </w:r>
    </w:p>
    <w:p w:rsidR="007672E3" w:rsidRDefault="007672E3" w:rsidP="007672E3">
      <w:pPr>
        <w:pStyle w:val="Heading1"/>
      </w:pPr>
      <w:r>
        <w:lastRenderedPageBreak/>
        <w:t>Individual Module Results</w:t>
      </w:r>
    </w:p>
    <w:p w:rsidR="007672E3" w:rsidRPr="007672E3" w:rsidRDefault="007A1881" w:rsidP="007A1881">
      <w:pPr>
        <w:pStyle w:val="Body1"/>
      </w:pPr>
      <w:r>
        <w:t>Individual r</w:t>
      </w:r>
      <w:r w:rsidR="007672E3">
        <w:t>esults are shown for debug/width sweep for the following modules</w:t>
      </w:r>
      <w:r>
        <w:t xml:space="preserve"> </w:t>
      </w:r>
      <w:proofErr w:type="spellStart"/>
      <w:r w:rsidR="007672E3">
        <w:t>BiasWorker</w:t>
      </w:r>
      <w:proofErr w:type="spellEnd"/>
      <w:r w:rsidR="007672E3">
        <w:t xml:space="preserve">, </w:t>
      </w:r>
      <w:proofErr w:type="spellStart"/>
      <w:r w:rsidR="007672E3">
        <w:t>SMAdapter</w:t>
      </w:r>
      <w:proofErr w:type="spellEnd"/>
      <w:r w:rsidR="007672E3">
        <w:t xml:space="preserve">, </w:t>
      </w:r>
      <w:proofErr w:type="spellStart"/>
      <w:r w:rsidR="007672E3">
        <w:t>DelayWorker</w:t>
      </w:r>
      <w:proofErr w:type="spellEnd"/>
      <w:r w:rsidR="007672E3">
        <w:t>, and OCDP</w:t>
      </w:r>
      <w:r>
        <w:t>.</w:t>
      </w:r>
    </w:p>
    <w:p w:rsidR="007672E3" w:rsidRPr="007672E3" w:rsidRDefault="007672E3" w:rsidP="007672E3"/>
    <w:p w:rsidR="007672E3" w:rsidRDefault="007672E3">
      <w:pPr>
        <w:rPr>
          <w:b/>
        </w:rPr>
      </w:pPr>
      <w:r>
        <w:rPr>
          <w:b/>
        </w:rPr>
        <w:br w:type="page"/>
      </w:r>
    </w:p>
    <w:p w:rsidR="007672E3" w:rsidRPr="001D7F64" w:rsidRDefault="007672E3" w:rsidP="00CA351D">
      <w:pPr>
        <w:pStyle w:val="Heading2"/>
      </w:pPr>
      <w:proofErr w:type="spellStart"/>
      <w:r w:rsidRPr="001D7F64">
        <w:lastRenderedPageBreak/>
        <w:t>BiasWorker</w:t>
      </w:r>
      <w:proofErr w:type="spellEnd"/>
    </w:p>
    <w:p w:rsidR="007672E3" w:rsidRDefault="007672E3" w:rsidP="007672E3">
      <w:r>
        <w:t>Parameterized Width and Debug</w:t>
      </w:r>
    </w:p>
    <w:p w:rsidR="007672E3" w:rsidRDefault="007672E3" w:rsidP="007672E3"/>
    <w:tbl>
      <w:tblPr>
        <w:tblStyle w:val="TableGrid"/>
        <w:tblW w:w="0" w:type="auto"/>
        <w:tblLook w:val="04A0" w:firstRow="1" w:lastRow="0" w:firstColumn="1" w:lastColumn="0" w:noHBand="0" w:noVBand="1"/>
      </w:tblPr>
      <w:tblGrid>
        <w:gridCol w:w="1774"/>
        <w:gridCol w:w="1776"/>
        <w:gridCol w:w="1778"/>
        <w:gridCol w:w="1762"/>
        <w:gridCol w:w="1766"/>
      </w:tblGrid>
      <w:tr w:rsidR="007672E3" w:rsidRPr="007B2DB7" w:rsidTr="00EB7D28">
        <w:tc>
          <w:tcPr>
            <w:tcW w:w="1915" w:type="dxa"/>
            <w:shd w:val="pct5" w:color="auto" w:fill="auto"/>
          </w:tcPr>
          <w:p w:rsidR="007672E3" w:rsidRPr="007B2DB7" w:rsidRDefault="007672E3" w:rsidP="00EB7D28">
            <w:pPr>
              <w:jc w:val="center"/>
              <w:rPr>
                <w:b/>
              </w:rPr>
            </w:pPr>
            <w:r w:rsidRPr="007B2DB7">
              <w:rPr>
                <w:b/>
              </w:rPr>
              <w:t>Width</w:t>
            </w:r>
          </w:p>
        </w:tc>
        <w:tc>
          <w:tcPr>
            <w:tcW w:w="1915" w:type="dxa"/>
            <w:shd w:val="pct5" w:color="auto" w:fill="auto"/>
          </w:tcPr>
          <w:p w:rsidR="007672E3" w:rsidRPr="007B2DB7" w:rsidRDefault="007672E3" w:rsidP="00EB7D28">
            <w:pPr>
              <w:jc w:val="center"/>
              <w:rPr>
                <w:b/>
              </w:rPr>
            </w:pPr>
            <w:r w:rsidRPr="007B2DB7">
              <w:rPr>
                <w:b/>
              </w:rPr>
              <w:t>Debug</w:t>
            </w:r>
          </w:p>
        </w:tc>
        <w:tc>
          <w:tcPr>
            <w:tcW w:w="1915" w:type="dxa"/>
            <w:shd w:val="pct5" w:color="auto" w:fill="auto"/>
          </w:tcPr>
          <w:p w:rsidR="007672E3" w:rsidRPr="007B2DB7" w:rsidRDefault="007672E3" w:rsidP="00EB7D28">
            <w:pPr>
              <w:jc w:val="center"/>
              <w:rPr>
                <w:b/>
              </w:rPr>
            </w:pPr>
            <w:proofErr w:type="spellStart"/>
            <w:r w:rsidRPr="007B2DB7">
              <w:rPr>
                <w:b/>
              </w:rPr>
              <w:t>FMax</w:t>
            </w:r>
            <w:proofErr w:type="spellEnd"/>
            <w:r>
              <w:rPr>
                <w:b/>
              </w:rPr>
              <w:t xml:space="preserve"> (MHz)</w:t>
            </w:r>
          </w:p>
        </w:tc>
        <w:tc>
          <w:tcPr>
            <w:tcW w:w="1915" w:type="dxa"/>
            <w:shd w:val="pct5" w:color="auto" w:fill="auto"/>
          </w:tcPr>
          <w:p w:rsidR="007672E3" w:rsidRPr="007B2DB7" w:rsidRDefault="007672E3" w:rsidP="00EB7D28">
            <w:pPr>
              <w:jc w:val="center"/>
              <w:rPr>
                <w:b/>
              </w:rPr>
            </w:pPr>
            <w:r w:rsidRPr="007B2DB7">
              <w:rPr>
                <w:b/>
              </w:rPr>
              <w:t>DFFs</w:t>
            </w:r>
          </w:p>
        </w:tc>
        <w:tc>
          <w:tcPr>
            <w:tcW w:w="1916" w:type="dxa"/>
            <w:shd w:val="pct5" w:color="auto" w:fill="auto"/>
          </w:tcPr>
          <w:p w:rsidR="007672E3" w:rsidRPr="007B2DB7" w:rsidRDefault="007672E3" w:rsidP="00EB7D28">
            <w:pPr>
              <w:jc w:val="center"/>
              <w:rPr>
                <w:b/>
              </w:rPr>
            </w:pPr>
            <w:r>
              <w:rPr>
                <w:b/>
              </w:rPr>
              <w:t>6-</w:t>
            </w:r>
            <w:r w:rsidRPr="007B2DB7">
              <w:rPr>
                <w:b/>
              </w:rPr>
              <w:t>LUTs</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rsidRPr="007B2DB7">
              <w:t>0</w:t>
            </w:r>
          </w:p>
        </w:tc>
        <w:tc>
          <w:tcPr>
            <w:tcW w:w="1915" w:type="dxa"/>
          </w:tcPr>
          <w:p w:rsidR="007672E3" w:rsidRPr="007B2DB7" w:rsidRDefault="007672E3" w:rsidP="00EB7D28">
            <w:r w:rsidRPr="007B2DB7">
              <w:t>360</w:t>
            </w:r>
          </w:p>
        </w:tc>
        <w:tc>
          <w:tcPr>
            <w:tcW w:w="1915" w:type="dxa"/>
          </w:tcPr>
          <w:p w:rsidR="007672E3" w:rsidRPr="007B2DB7" w:rsidRDefault="007672E3" w:rsidP="00EB7D28">
            <w:r w:rsidRPr="007B2DB7">
              <w:t>354</w:t>
            </w:r>
          </w:p>
        </w:tc>
        <w:tc>
          <w:tcPr>
            <w:tcW w:w="1916" w:type="dxa"/>
          </w:tcPr>
          <w:p w:rsidR="007672E3" w:rsidRDefault="007672E3" w:rsidP="00EB7D28">
            <w:r w:rsidRPr="007B2DB7">
              <w:t>493</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rsidRPr="007B2DB7">
              <w:t>1</w:t>
            </w:r>
          </w:p>
        </w:tc>
        <w:tc>
          <w:tcPr>
            <w:tcW w:w="1915" w:type="dxa"/>
          </w:tcPr>
          <w:p w:rsidR="007672E3" w:rsidRPr="007B2DB7" w:rsidRDefault="007672E3" w:rsidP="00EB7D28">
            <w:r>
              <w:t>381</w:t>
            </w:r>
          </w:p>
        </w:tc>
        <w:tc>
          <w:tcPr>
            <w:tcW w:w="1915" w:type="dxa"/>
          </w:tcPr>
          <w:p w:rsidR="007672E3" w:rsidRPr="007B2DB7" w:rsidRDefault="007672E3" w:rsidP="00EB7D28">
            <w:r>
              <w:t>567</w:t>
            </w:r>
          </w:p>
        </w:tc>
        <w:tc>
          <w:tcPr>
            <w:tcW w:w="1916" w:type="dxa"/>
          </w:tcPr>
          <w:p w:rsidR="007672E3" w:rsidRPr="007B2DB7" w:rsidRDefault="007672E3" w:rsidP="00EB7D28">
            <w:r>
              <w:t>842</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337</w:t>
            </w:r>
          </w:p>
        </w:tc>
        <w:tc>
          <w:tcPr>
            <w:tcW w:w="1915" w:type="dxa"/>
          </w:tcPr>
          <w:p w:rsidR="007672E3" w:rsidRDefault="007672E3" w:rsidP="00EB7D28">
            <w:r>
              <w:t>462</w:t>
            </w:r>
          </w:p>
        </w:tc>
        <w:tc>
          <w:tcPr>
            <w:tcW w:w="1916" w:type="dxa"/>
          </w:tcPr>
          <w:p w:rsidR="007672E3" w:rsidRDefault="007672E3" w:rsidP="00EB7D28">
            <w:r>
              <w:t>686</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310</w:t>
            </w:r>
          </w:p>
        </w:tc>
        <w:tc>
          <w:tcPr>
            <w:tcW w:w="1915" w:type="dxa"/>
          </w:tcPr>
          <w:p w:rsidR="007672E3" w:rsidRDefault="007672E3" w:rsidP="00EB7D28">
            <w:r>
              <w:t>673</w:t>
            </w:r>
          </w:p>
        </w:tc>
        <w:tc>
          <w:tcPr>
            <w:tcW w:w="1916" w:type="dxa"/>
          </w:tcPr>
          <w:p w:rsidR="007672E3" w:rsidRDefault="007672E3" w:rsidP="00EB7D28">
            <w:r>
              <w:t>974</w:t>
            </w:r>
          </w:p>
        </w:tc>
      </w:tr>
      <w:tr w:rsidR="007672E3" w:rsidTr="00EB7D28">
        <w:tc>
          <w:tcPr>
            <w:tcW w:w="1915" w:type="dxa"/>
          </w:tcPr>
          <w:p w:rsidR="007672E3" w:rsidRPr="007B2DB7" w:rsidRDefault="007672E3" w:rsidP="00EB7D28">
            <w:pPr>
              <w:jc w:val="center"/>
            </w:pPr>
            <w:r w:rsidRPr="007B2DB7">
              <w:t>128</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261</w:t>
            </w:r>
          </w:p>
        </w:tc>
        <w:tc>
          <w:tcPr>
            <w:tcW w:w="1915" w:type="dxa"/>
          </w:tcPr>
          <w:p w:rsidR="007672E3" w:rsidRDefault="007672E3" w:rsidP="00EB7D28">
            <w:r>
              <w:t>678</w:t>
            </w:r>
          </w:p>
        </w:tc>
        <w:tc>
          <w:tcPr>
            <w:tcW w:w="1916" w:type="dxa"/>
          </w:tcPr>
          <w:p w:rsidR="007672E3" w:rsidRDefault="007672E3" w:rsidP="00EB7D28">
            <w:r>
              <w:t>983</w:t>
            </w:r>
          </w:p>
        </w:tc>
      </w:tr>
      <w:tr w:rsidR="007672E3" w:rsidTr="00EB7D28">
        <w:tc>
          <w:tcPr>
            <w:tcW w:w="1915" w:type="dxa"/>
          </w:tcPr>
          <w:p w:rsidR="007672E3" w:rsidRPr="007B2DB7" w:rsidRDefault="007672E3" w:rsidP="00EB7D28">
            <w:pPr>
              <w:jc w:val="center"/>
            </w:pPr>
            <w:r w:rsidRPr="007B2DB7">
              <w:t>128</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261</w:t>
            </w:r>
          </w:p>
        </w:tc>
        <w:tc>
          <w:tcPr>
            <w:tcW w:w="1915" w:type="dxa"/>
          </w:tcPr>
          <w:p w:rsidR="007672E3" w:rsidRDefault="007672E3" w:rsidP="00EB7D28">
            <w:r>
              <w:t>887</w:t>
            </w:r>
          </w:p>
        </w:tc>
        <w:tc>
          <w:tcPr>
            <w:tcW w:w="1916" w:type="dxa"/>
          </w:tcPr>
          <w:p w:rsidR="007672E3" w:rsidRDefault="007672E3" w:rsidP="00EB7D28">
            <w:r>
              <w:t>1300</w:t>
            </w:r>
          </w:p>
        </w:tc>
      </w:tr>
      <w:tr w:rsidR="007672E3" w:rsidTr="00EB7D28">
        <w:tc>
          <w:tcPr>
            <w:tcW w:w="1915" w:type="dxa"/>
          </w:tcPr>
          <w:p w:rsidR="007672E3" w:rsidRPr="007B2DB7" w:rsidRDefault="007672E3" w:rsidP="00EB7D28">
            <w:pPr>
              <w:jc w:val="center"/>
            </w:pPr>
            <w:r w:rsidRPr="007B2DB7">
              <w:t>256</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166</w:t>
            </w:r>
          </w:p>
        </w:tc>
        <w:tc>
          <w:tcPr>
            <w:tcW w:w="1915" w:type="dxa"/>
          </w:tcPr>
          <w:p w:rsidR="007672E3" w:rsidRDefault="007672E3" w:rsidP="00EB7D28">
            <w:r>
              <w:t>1110</w:t>
            </w:r>
          </w:p>
        </w:tc>
        <w:tc>
          <w:tcPr>
            <w:tcW w:w="1916" w:type="dxa"/>
          </w:tcPr>
          <w:p w:rsidR="007672E3" w:rsidRDefault="007672E3" w:rsidP="00EB7D28">
            <w:r>
              <w:t>1683</w:t>
            </w:r>
          </w:p>
        </w:tc>
      </w:tr>
      <w:tr w:rsidR="007672E3" w:rsidTr="00EB7D28">
        <w:tc>
          <w:tcPr>
            <w:tcW w:w="1915" w:type="dxa"/>
          </w:tcPr>
          <w:p w:rsidR="007672E3" w:rsidRPr="007B2DB7" w:rsidRDefault="007672E3" w:rsidP="00EB7D28">
            <w:pPr>
              <w:jc w:val="center"/>
            </w:pPr>
            <w:r w:rsidRPr="007B2DB7">
              <w:t>256</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166</w:t>
            </w:r>
          </w:p>
        </w:tc>
        <w:tc>
          <w:tcPr>
            <w:tcW w:w="1915" w:type="dxa"/>
          </w:tcPr>
          <w:p w:rsidR="007672E3" w:rsidRDefault="007672E3" w:rsidP="00EB7D28">
            <w:r>
              <w:t>1319</w:t>
            </w:r>
          </w:p>
        </w:tc>
        <w:tc>
          <w:tcPr>
            <w:tcW w:w="1916" w:type="dxa"/>
          </w:tcPr>
          <w:p w:rsidR="007672E3" w:rsidRDefault="007672E3" w:rsidP="00EB7D28">
            <w:r>
              <w:t>1952</w:t>
            </w:r>
          </w:p>
        </w:tc>
      </w:tr>
    </w:tbl>
    <w:p w:rsidR="007672E3" w:rsidRDefault="007672E3" w:rsidP="007672E3"/>
    <w:p w:rsidR="007672E3" w:rsidRDefault="007672E3" w:rsidP="007672E3">
      <w:r>
        <w:t>Test Conditions:</w:t>
      </w:r>
    </w:p>
    <w:p w:rsidR="007672E3" w:rsidRDefault="007672E3" w:rsidP="007672E3">
      <w:r>
        <w:t>ISE 13.3, XST defaults, Virtex6</w:t>
      </w:r>
    </w:p>
    <w:p w:rsidR="007672E3" w:rsidRDefault="007672E3" w:rsidP="007672E3">
      <w:r>
        <w:br w:type="page"/>
      </w:r>
    </w:p>
    <w:p w:rsidR="007672E3" w:rsidRDefault="007672E3" w:rsidP="007672E3"/>
    <w:p w:rsidR="007672E3" w:rsidRPr="001D7F64" w:rsidRDefault="007672E3" w:rsidP="00CA351D">
      <w:pPr>
        <w:pStyle w:val="Heading2"/>
      </w:pPr>
      <w:proofErr w:type="spellStart"/>
      <w:r w:rsidRPr="001D7F64">
        <w:t>SMAdapter</w:t>
      </w:r>
      <w:proofErr w:type="spellEnd"/>
    </w:p>
    <w:p w:rsidR="007672E3" w:rsidRDefault="007672E3" w:rsidP="007672E3">
      <w:r>
        <w:t>Parameterized Width and Debug</w:t>
      </w:r>
    </w:p>
    <w:p w:rsidR="007672E3" w:rsidRDefault="007672E3" w:rsidP="007672E3"/>
    <w:tbl>
      <w:tblPr>
        <w:tblStyle w:val="TableGrid"/>
        <w:tblW w:w="0" w:type="auto"/>
        <w:tblLook w:val="04A0" w:firstRow="1" w:lastRow="0" w:firstColumn="1" w:lastColumn="0" w:noHBand="0" w:noVBand="1"/>
      </w:tblPr>
      <w:tblGrid>
        <w:gridCol w:w="1774"/>
        <w:gridCol w:w="1776"/>
        <w:gridCol w:w="1778"/>
        <w:gridCol w:w="1762"/>
        <w:gridCol w:w="1766"/>
      </w:tblGrid>
      <w:tr w:rsidR="007672E3" w:rsidRPr="007B2DB7" w:rsidTr="00EB7D28">
        <w:tc>
          <w:tcPr>
            <w:tcW w:w="1915" w:type="dxa"/>
            <w:shd w:val="pct5" w:color="auto" w:fill="auto"/>
          </w:tcPr>
          <w:p w:rsidR="007672E3" w:rsidRPr="007B2DB7" w:rsidRDefault="007672E3" w:rsidP="00EB7D28">
            <w:pPr>
              <w:jc w:val="center"/>
              <w:rPr>
                <w:b/>
              </w:rPr>
            </w:pPr>
            <w:r w:rsidRPr="007B2DB7">
              <w:rPr>
                <w:b/>
              </w:rPr>
              <w:t>Width</w:t>
            </w:r>
          </w:p>
        </w:tc>
        <w:tc>
          <w:tcPr>
            <w:tcW w:w="1915" w:type="dxa"/>
            <w:shd w:val="pct5" w:color="auto" w:fill="auto"/>
          </w:tcPr>
          <w:p w:rsidR="007672E3" w:rsidRPr="007B2DB7" w:rsidRDefault="007672E3" w:rsidP="00EB7D28">
            <w:pPr>
              <w:jc w:val="center"/>
              <w:rPr>
                <w:b/>
              </w:rPr>
            </w:pPr>
            <w:r w:rsidRPr="007B2DB7">
              <w:rPr>
                <w:b/>
              </w:rPr>
              <w:t>Debug</w:t>
            </w:r>
          </w:p>
        </w:tc>
        <w:tc>
          <w:tcPr>
            <w:tcW w:w="1915" w:type="dxa"/>
            <w:shd w:val="pct5" w:color="auto" w:fill="auto"/>
          </w:tcPr>
          <w:p w:rsidR="007672E3" w:rsidRPr="007B2DB7" w:rsidRDefault="007672E3" w:rsidP="00EB7D28">
            <w:pPr>
              <w:jc w:val="center"/>
              <w:rPr>
                <w:b/>
              </w:rPr>
            </w:pPr>
            <w:proofErr w:type="spellStart"/>
            <w:r w:rsidRPr="007B2DB7">
              <w:rPr>
                <w:b/>
              </w:rPr>
              <w:t>FMax</w:t>
            </w:r>
            <w:proofErr w:type="spellEnd"/>
            <w:r>
              <w:rPr>
                <w:b/>
              </w:rPr>
              <w:t xml:space="preserve"> (MHz)</w:t>
            </w:r>
          </w:p>
        </w:tc>
        <w:tc>
          <w:tcPr>
            <w:tcW w:w="1915" w:type="dxa"/>
            <w:shd w:val="pct5" w:color="auto" w:fill="auto"/>
          </w:tcPr>
          <w:p w:rsidR="007672E3" w:rsidRPr="007B2DB7" w:rsidRDefault="007672E3" w:rsidP="00EB7D28">
            <w:pPr>
              <w:jc w:val="center"/>
              <w:rPr>
                <w:b/>
              </w:rPr>
            </w:pPr>
            <w:r w:rsidRPr="007B2DB7">
              <w:rPr>
                <w:b/>
              </w:rPr>
              <w:t>DFFs</w:t>
            </w:r>
          </w:p>
        </w:tc>
        <w:tc>
          <w:tcPr>
            <w:tcW w:w="1916" w:type="dxa"/>
            <w:shd w:val="pct5" w:color="auto" w:fill="auto"/>
          </w:tcPr>
          <w:p w:rsidR="007672E3" w:rsidRPr="007B2DB7" w:rsidRDefault="007672E3" w:rsidP="00EB7D28">
            <w:pPr>
              <w:jc w:val="center"/>
              <w:rPr>
                <w:b/>
              </w:rPr>
            </w:pPr>
            <w:r>
              <w:rPr>
                <w:b/>
              </w:rPr>
              <w:t>6-</w:t>
            </w:r>
            <w:r w:rsidRPr="007B2DB7">
              <w:rPr>
                <w:b/>
              </w:rPr>
              <w:t>LUTs</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rsidRPr="007B2DB7">
              <w:t>0</w:t>
            </w:r>
          </w:p>
        </w:tc>
        <w:tc>
          <w:tcPr>
            <w:tcW w:w="1915" w:type="dxa"/>
          </w:tcPr>
          <w:p w:rsidR="007672E3" w:rsidRPr="007B2DB7" w:rsidRDefault="007672E3" w:rsidP="00EB7D28">
            <w:r>
              <w:t>270</w:t>
            </w:r>
          </w:p>
        </w:tc>
        <w:tc>
          <w:tcPr>
            <w:tcW w:w="1915" w:type="dxa"/>
          </w:tcPr>
          <w:p w:rsidR="007672E3" w:rsidRPr="007B2DB7" w:rsidRDefault="007672E3" w:rsidP="00EB7D28">
            <w:r>
              <w:t>819</w:t>
            </w:r>
          </w:p>
        </w:tc>
        <w:tc>
          <w:tcPr>
            <w:tcW w:w="1916" w:type="dxa"/>
          </w:tcPr>
          <w:p w:rsidR="007672E3" w:rsidRDefault="007672E3" w:rsidP="00EB7D28">
            <w:r>
              <w:t>1638</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rsidRPr="007B2DB7">
              <w:t>1</w:t>
            </w:r>
          </w:p>
        </w:tc>
        <w:tc>
          <w:tcPr>
            <w:tcW w:w="1915" w:type="dxa"/>
          </w:tcPr>
          <w:p w:rsidR="007672E3" w:rsidRPr="007B2DB7" w:rsidRDefault="007672E3" w:rsidP="00EB7D28">
            <w:r>
              <w:t>277</w:t>
            </w:r>
          </w:p>
        </w:tc>
        <w:tc>
          <w:tcPr>
            <w:tcW w:w="1915" w:type="dxa"/>
          </w:tcPr>
          <w:p w:rsidR="007672E3" w:rsidRPr="007B2DB7" w:rsidRDefault="007672E3" w:rsidP="00EB7D28">
            <w:r>
              <w:t>1197</w:t>
            </w:r>
          </w:p>
        </w:tc>
        <w:tc>
          <w:tcPr>
            <w:tcW w:w="1916" w:type="dxa"/>
          </w:tcPr>
          <w:p w:rsidR="007672E3" w:rsidRPr="007B2DB7" w:rsidRDefault="007672E3" w:rsidP="00EB7D28">
            <w:r>
              <w:t>2075</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278</w:t>
            </w:r>
          </w:p>
        </w:tc>
        <w:tc>
          <w:tcPr>
            <w:tcW w:w="1915" w:type="dxa"/>
          </w:tcPr>
          <w:p w:rsidR="007672E3" w:rsidRDefault="007672E3" w:rsidP="00EB7D28">
            <w:r>
              <w:t>1099</w:t>
            </w:r>
          </w:p>
        </w:tc>
        <w:tc>
          <w:tcPr>
            <w:tcW w:w="1916" w:type="dxa"/>
          </w:tcPr>
          <w:p w:rsidR="007672E3" w:rsidRDefault="007672E3" w:rsidP="00EB7D28">
            <w:r>
              <w:t>2101</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277</w:t>
            </w:r>
          </w:p>
        </w:tc>
        <w:tc>
          <w:tcPr>
            <w:tcW w:w="1915" w:type="dxa"/>
          </w:tcPr>
          <w:p w:rsidR="007672E3" w:rsidRDefault="007672E3" w:rsidP="00EB7D28">
            <w:r>
              <w:t>1478</w:t>
            </w:r>
          </w:p>
        </w:tc>
        <w:tc>
          <w:tcPr>
            <w:tcW w:w="1916" w:type="dxa"/>
          </w:tcPr>
          <w:p w:rsidR="007672E3" w:rsidRDefault="007672E3" w:rsidP="00EB7D28">
            <w:r>
              <w:t>2280</w:t>
            </w:r>
          </w:p>
        </w:tc>
      </w:tr>
      <w:tr w:rsidR="007672E3" w:rsidTr="00EB7D28">
        <w:tc>
          <w:tcPr>
            <w:tcW w:w="1915" w:type="dxa"/>
          </w:tcPr>
          <w:p w:rsidR="007672E3" w:rsidRPr="007B2DB7" w:rsidRDefault="007672E3" w:rsidP="00EB7D28">
            <w:pPr>
              <w:jc w:val="center"/>
            </w:pPr>
            <w:r w:rsidRPr="007B2DB7">
              <w:t>128</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259</w:t>
            </w:r>
          </w:p>
        </w:tc>
        <w:tc>
          <w:tcPr>
            <w:tcW w:w="1915" w:type="dxa"/>
          </w:tcPr>
          <w:p w:rsidR="007672E3" w:rsidRDefault="007672E3" w:rsidP="00EB7D28">
            <w:r>
              <w:t>1659</w:t>
            </w:r>
          </w:p>
        </w:tc>
        <w:tc>
          <w:tcPr>
            <w:tcW w:w="1916" w:type="dxa"/>
          </w:tcPr>
          <w:p w:rsidR="007672E3" w:rsidRDefault="007672E3" w:rsidP="00EB7D28">
            <w:r>
              <w:t>2365</w:t>
            </w:r>
          </w:p>
        </w:tc>
      </w:tr>
      <w:tr w:rsidR="007672E3" w:rsidTr="00EB7D28">
        <w:tc>
          <w:tcPr>
            <w:tcW w:w="1915" w:type="dxa"/>
          </w:tcPr>
          <w:p w:rsidR="007672E3" w:rsidRPr="007B2DB7" w:rsidRDefault="007672E3" w:rsidP="00EB7D28">
            <w:pPr>
              <w:jc w:val="center"/>
            </w:pPr>
            <w:r w:rsidRPr="007B2DB7">
              <w:t>128</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258</w:t>
            </w:r>
          </w:p>
        </w:tc>
        <w:tc>
          <w:tcPr>
            <w:tcW w:w="1915" w:type="dxa"/>
          </w:tcPr>
          <w:p w:rsidR="007672E3" w:rsidRDefault="007672E3" w:rsidP="00EB7D28">
            <w:r>
              <w:t>2034</w:t>
            </w:r>
          </w:p>
        </w:tc>
        <w:tc>
          <w:tcPr>
            <w:tcW w:w="1916" w:type="dxa"/>
          </w:tcPr>
          <w:p w:rsidR="007672E3" w:rsidRDefault="007672E3" w:rsidP="00EB7D28">
            <w:r>
              <w:t>3080</w:t>
            </w:r>
          </w:p>
        </w:tc>
      </w:tr>
      <w:tr w:rsidR="007672E3" w:rsidTr="00EB7D28">
        <w:tc>
          <w:tcPr>
            <w:tcW w:w="1915" w:type="dxa"/>
          </w:tcPr>
          <w:p w:rsidR="007672E3" w:rsidRPr="007B2DB7" w:rsidRDefault="007672E3" w:rsidP="00EB7D28">
            <w:pPr>
              <w:jc w:val="center"/>
            </w:pPr>
            <w:r w:rsidRPr="007B2DB7">
              <w:t>256</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222</w:t>
            </w:r>
          </w:p>
        </w:tc>
        <w:tc>
          <w:tcPr>
            <w:tcW w:w="1915" w:type="dxa"/>
          </w:tcPr>
          <w:p w:rsidR="007672E3" w:rsidRDefault="007672E3" w:rsidP="00EB7D28">
            <w:r>
              <w:t>2775</w:t>
            </w:r>
          </w:p>
        </w:tc>
        <w:tc>
          <w:tcPr>
            <w:tcW w:w="1916" w:type="dxa"/>
          </w:tcPr>
          <w:p w:rsidR="007672E3" w:rsidRDefault="007672E3" w:rsidP="00EB7D28">
            <w:r>
              <w:t>4035</w:t>
            </w:r>
          </w:p>
        </w:tc>
      </w:tr>
      <w:tr w:rsidR="007672E3" w:rsidTr="00EB7D28">
        <w:tc>
          <w:tcPr>
            <w:tcW w:w="1915" w:type="dxa"/>
          </w:tcPr>
          <w:p w:rsidR="007672E3" w:rsidRPr="007B2DB7" w:rsidRDefault="007672E3" w:rsidP="00EB7D28">
            <w:pPr>
              <w:jc w:val="center"/>
            </w:pPr>
            <w:r w:rsidRPr="007B2DB7">
              <w:t>256</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222</w:t>
            </w:r>
          </w:p>
        </w:tc>
        <w:tc>
          <w:tcPr>
            <w:tcW w:w="1915" w:type="dxa"/>
          </w:tcPr>
          <w:p w:rsidR="007672E3" w:rsidRDefault="007672E3" w:rsidP="00EB7D28">
            <w:r>
              <w:t>3151</w:t>
            </w:r>
          </w:p>
        </w:tc>
        <w:tc>
          <w:tcPr>
            <w:tcW w:w="1916" w:type="dxa"/>
          </w:tcPr>
          <w:p w:rsidR="007672E3" w:rsidRDefault="007672E3" w:rsidP="00EB7D28">
            <w:r>
              <w:t>4365</w:t>
            </w:r>
          </w:p>
        </w:tc>
      </w:tr>
    </w:tbl>
    <w:p w:rsidR="007672E3" w:rsidRDefault="007672E3" w:rsidP="007672E3"/>
    <w:p w:rsidR="007672E3" w:rsidRDefault="007672E3" w:rsidP="007672E3">
      <w:r>
        <w:t>Test Conditions:</w:t>
      </w:r>
    </w:p>
    <w:p w:rsidR="007672E3" w:rsidRDefault="007672E3" w:rsidP="007672E3">
      <w:r>
        <w:t>ISE 13.3, XST defaults, Virtex6</w:t>
      </w:r>
    </w:p>
    <w:p w:rsidR="007672E3" w:rsidRDefault="007672E3" w:rsidP="007672E3">
      <w:r>
        <w:br w:type="page"/>
      </w:r>
    </w:p>
    <w:p w:rsidR="007672E3" w:rsidRPr="001D7F64" w:rsidRDefault="007672E3" w:rsidP="00CA351D">
      <w:pPr>
        <w:pStyle w:val="Heading2"/>
      </w:pPr>
      <w:proofErr w:type="spellStart"/>
      <w:r>
        <w:lastRenderedPageBreak/>
        <w:t>DelayWorker</w:t>
      </w:r>
      <w:proofErr w:type="spellEnd"/>
    </w:p>
    <w:p w:rsidR="007672E3" w:rsidRDefault="007672E3" w:rsidP="007672E3">
      <w:r>
        <w:t>Parameterized Width and Debug</w:t>
      </w:r>
    </w:p>
    <w:p w:rsidR="007672E3" w:rsidRDefault="007672E3" w:rsidP="007672E3"/>
    <w:tbl>
      <w:tblPr>
        <w:tblStyle w:val="TableGrid"/>
        <w:tblW w:w="0" w:type="auto"/>
        <w:tblLook w:val="04A0" w:firstRow="1" w:lastRow="0" w:firstColumn="1" w:lastColumn="0" w:noHBand="0" w:noVBand="1"/>
      </w:tblPr>
      <w:tblGrid>
        <w:gridCol w:w="1774"/>
        <w:gridCol w:w="1776"/>
        <w:gridCol w:w="1778"/>
        <w:gridCol w:w="1762"/>
        <w:gridCol w:w="1766"/>
      </w:tblGrid>
      <w:tr w:rsidR="007672E3" w:rsidRPr="007B2DB7" w:rsidTr="00EB7D28">
        <w:tc>
          <w:tcPr>
            <w:tcW w:w="1915" w:type="dxa"/>
            <w:shd w:val="pct5" w:color="auto" w:fill="auto"/>
          </w:tcPr>
          <w:p w:rsidR="007672E3" w:rsidRPr="007B2DB7" w:rsidRDefault="007672E3" w:rsidP="00EB7D28">
            <w:pPr>
              <w:jc w:val="center"/>
              <w:rPr>
                <w:b/>
              </w:rPr>
            </w:pPr>
            <w:r w:rsidRPr="007B2DB7">
              <w:rPr>
                <w:b/>
              </w:rPr>
              <w:t>Width</w:t>
            </w:r>
          </w:p>
        </w:tc>
        <w:tc>
          <w:tcPr>
            <w:tcW w:w="1915" w:type="dxa"/>
            <w:shd w:val="pct5" w:color="auto" w:fill="auto"/>
          </w:tcPr>
          <w:p w:rsidR="007672E3" w:rsidRPr="007B2DB7" w:rsidRDefault="007672E3" w:rsidP="00EB7D28">
            <w:pPr>
              <w:jc w:val="center"/>
              <w:rPr>
                <w:b/>
              </w:rPr>
            </w:pPr>
            <w:r w:rsidRPr="007B2DB7">
              <w:rPr>
                <w:b/>
              </w:rPr>
              <w:t>Debug</w:t>
            </w:r>
          </w:p>
        </w:tc>
        <w:tc>
          <w:tcPr>
            <w:tcW w:w="1915" w:type="dxa"/>
            <w:shd w:val="pct5" w:color="auto" w:fill="auto"/>
          </w:tcPr>
          <w:p w:rsidR="007672E3" w:rsidRPr="007B2DB7" w:rsidRDefault="007672E3" w:rsidP="00EB7D28">
            <w:pPr>
              <w:jc w:val="center"/>
              <w:rPr>
                <w:b/>
              </w:rPr>
            </w:pPr>
            <w:proofErr w:type="spellStart"/>
            <w:r w:rsidRPr="007B2DB7">
              <w:rPr>
                <w:b/>
              </w:rPr>
              <w:t>FMax</w:t>
            </w:r>
            <w:proofErr w:type="spellEnd"/>
            <w:r>
              <w:rPr>
                <w:b/>
              </w:rPr>
              <w:t xml:space="preserve"> (MHz)</w:t>
            </w:r>
          </w:p>
        </w:tc>
        <w:tc>
          <w:tcPr>
            <w:tcW w:w="1915" w:type="dxa"/>
            <w:shd w:val="pct5" w:color="auto" w:fill="auto"/>
          </w:tcPr>
          <w:p w:rsidR="007672E3" w:rsidRPr="007B2DB7" w:rsidRDefault="007672E3" w:rsidP="00EB7D28">
            <w:pPr>
              <w:jc w:val="center"/>
              <w:rPr>
                <w:b/>
              </w:rPr>
            </w:pPr>
            <w:r w:rsidRPr="007B2DB7">
              <w:rPr>
                <w:b/>
              </w:rPr>
              <w:t>DFFs</w:t>
            </w:r>
          </w:p>
        </w:tc>
        <w:tc>
          <w:tcPr>
            <w:tcW w:w="1916" w:type="dxa"/>
            <w:shd w:val="pct5" w:color="auto" w:fill="auto"/>
          </w:tcPr>
          <w:p w:rsidR="007672E3" w:rsidRPr="007B2DB7" w:rsidRDefault="007672E3" w:rsidP="00EB7D28">
            <w:pPr>
              <w:jc w:val="center"/>
              <w:rPr>
                <w:b/>
              </w:rPr>
            </w:pPr>
            <w:r>
              <w:rPr>
                <w:b/>
              </w:rPr>
              <w:t>6-</w:t>
            </w:r>
            <w:r w:rsidRPr="007B2DB7">
              <w:rPr>
                <w:b/>
              </w:rPr>
              <w:t>LUTs</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rsidRPr="007B2DB7">
              <w:t>0</w:t>
            </w:r>
          </w:p>
        </w:tc>
        <w:tc>
          <w:tcPr>
            <w:tcW w:w="1915" w:type="dxa"/>
          </w:tcPr>
          <w:p w:rsidR="007672E3" w:rsidRPr="007B2DB7" w:rsidRDefault="007672E3" w:rsidP="00EB7D28">
            <w:r>
              <w:t>244</w:t>
            </w:r>
          </w:p>
        </w:tc>
        <w:tc>
          <w:tcPr>
            <w:tcW w:w="1915" w:type="dxa"/>
          </w:tcPr>
          <w:p w:rsidR="007672E3" w:rsidRPr="007B2DB7" w:rsidRDefault="007672E3" w:rsidP="00EB7D28">
            <w:r>
              <w:t>2132</w:t>
            </w:r>
          </w:p>
        </w:tc>
        <w:tc>
          <w:tcPr>
            <w:tcW w:w="1916" w:type="dxa"/>
          </w:tcPr>
          <w:p w:rsidR="007672E3" w:rsidRDefault="007672E3" w:rsidP="00EB7D28">
            <w:r>
              <w:t>3478</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rsidRPr="007B2DB7">
              <w:t>1</w:t>
            </w:r>
          </w:p>
        </w:tc>
        <w:tc>
          <w:tcPr>
            <w:tcW w:w="1915" w:type="dxa"/>
          </w:tcPr>
          <w:p w:rsidR="007672E3" w:rsidRPr="007B2DB7" w:rsidRDefault="007672E3" w:rsidP="00EB7D28">
            <w:r>
              <w:t>255</w:t>
            </w:r>
          </w:p>
        </w:tc>
        <w:tc>
          <w:tcPr>
            <w:tcW w:w="1915" w:type="dxa"/>
          </w:tcPr>
          <w:p w:rsidR="007672E3" w:rsidRPr="007B2DB7" w:rsidRDefault="007672E3" w:rsidP="00EB7D28">
            <w:r>
              <w:t>2531</w:t>
            </w:r>
          </w:p>
        </w:tc>
        <w:tc>
          <w:tcPr>
            <w:tcW w:w="1916" w:type="dxa"/>
          </w:tcPr>
          <w:p w:rsidR="007672E3" w:rsidRPr="007B2DB7" w:rsidRDefault="007672E3" w:rsidP="00EB7D28">
            <w:r>
              <w:t>4032</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253</w:t>
            </w:r>
          </w:p>
        </w:tc>
        <w:tc>
          <w:tcPr>
            <w:tcW w:w="1915" w:type="dxa"/>
          </w:tcPr>
          <w:p w:rsidR="007672E3" w:rsidRDefault="007672E3" w:rsidP="00EB7D28">
            <w:r>
              <w:t>2248</w:t>
            </w:r>
          </w:p>
        </w:tc>
        <w:tc>
          <w:tcPr>
            <w:tcW w:w="1916" w:type="dxa"/>
          </w:tcPr>
          <w:p w:rsidR="007672E3" w:rsidRDefault="007672E3" w:rsidP="00EB7D28">
            <w:r>
              <w:t>3652</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255</w:t>
            </w:r>
          </w:p>
        </w:tc>
        <w:tc>
          <w:tcPr>
            <w:tcW w:w="1915" w:type="dxa"/>
          </w:tcPr>
          <w:p w:rsidR="007672E3" w:rsidRDefault="007672E3" w:rsidP="00EB7D28">
            <w:r>
              <w:t>2649</w:t>
            </w:r>
          </w:p>
        </w:tc>
        <w:tc>
          <w:tcPr>
            <w:tcW w:w="1916" w:type="dxa"/>
          </w:tcPr>
          <w:p w:rsidR="007672E3" w:rsidRDefault="007672E3" w:rsidP="00EB7D28">
            <w:r>
              <w:t>4223</w:t>
            </w:r>
          </w:p>
        </w:tc>
      </w:tr>
      <w:tr w:rsidR="007672E3" w:rsidTr="00EB7D28">
        <w:tc>
          <w:tcPr>
            <w:tcW w:w="1915" w:type="dxa"/>
          </w:tcPr>
          <w:p w:rsidR="007672E3" w:rsidRPr="007B2DB7" w:rsidRDefault="007672E3" w:rsidP="00EB7D28">
            <w:pPr>
              <w:jc w:val="center"/>
            </w:pPr>
            <w:r w:rsidRPr="007B2DB7">
              <w:t>128</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256</w:t>
            </w:r>
          </w:p>
        </w:tc>
        <w:tc>
          <w:tcPr>
            <w:tcW w:w="1915" w:type="dxa"/>
          </w:tcPr>
          <w:p w:rsidR="007672E3" w:rsidRDefault="007672E3" w:rsidP="00EB7D28">
            <w:r>
              <w:t>2463</w:t>
            </w:r>
          </w:p>
        </w:tc>
        <w:tc>
          <w:tcPr>
            <w:tcW w:w="1916" w:type="dxa"/>
          </w:tcPr>
          <w:p w:rsidR="007672E3" w:rsidRDefault="007672E3" w:rsidP="00EB7D28">
            <w:r>
              <w:t>4107</w:t>
            </w:r>
          </w:p>
        </w:tc>
      </w:tr>
      <w:tr w:rsidR="007672E3" w:rsidTr="00EB7D28">
        <w:tc>
          <w:tcPr>
            <w:tcW w:w="1915" w:type="dxa"/>
          </w:tcPr>
          <w:p w:rsidR="007672E3" w:rsidRPr="007B2DB7" w:rsidRDefault="007672E3" w:rsidP="00EB7D28">
            <w:pPr>
              <w:jc w:val="center"/>
            </w:pPr>
            <w:r w:rsidRPr="007B2DB7">
              <w:t>128</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255</w:t>
            </w:r>
          </w:p>
        </w:tc>
        <w:tc>
          <w:tcPr>
            <w:tcW w:w="1915" w:type="dxa"/>
          </w:tcPr>
          <w:p w:rsidR="007672E3" w:rsidRDefault="007672E3" w:rsidP="00EB7D28">
            <w:r>
              <w:t>2864</w:t>
            </w:r>
          </w:p>
        </w:tc>
        <w:tc>
          <w:tcPr>
            <w:tcW w:w="1916" w:type="dxa"/>
          </w:tcPr>
          <w:p w:rsidR="007672E3" w:rsidRDefault="007672E3" w:rsidP="00EB7D28">
            <w:r>
              <w:t>4557</w:t>
            </w:r>
          </w:p>
        </w:tc>
      </w:tr>
      <w:tr w:rsidR="007672E3" w:rsidTr="00EB7D28">
        <w:tc>
          <w:tcPr>
            <w:tcW w:w="1915" w:type="dxa"/>
          </w:tcPr>
          <w:p w:rsidR="007672E3" w:rsidRPr="007B2DB7" w:rsidRDefault="007672E3" w:rsidP="00EB7D28">
            <w:pPr>
              <w:jc w:val="center"/>
            </w:pPr>
            <w:r w:rsidRPr="007B2DB7">
              <w:t>256</w:t>
            </w:r>
          </w:p>
        </w:tc>
        <w:tc>
          <w:tcPr>
            <w:tcW w:w="1915" w:type="dxa"/>
          </w:tcPr>
          <w:p w:rsidR="007672E3" w:rsidRPr="007B2DB7" w:rsidRDefault="007672E3" w:rsidP="00EB7D28">
            <w:pPr>
              <w:jc w:val="center"/>
            </w:pPr>
            <w:r w:rsidRPr="007B2DB7">
              <w:t>0</w:t>
            </w:r>
          </w:p>
        </w:tc>
        <w:tc>
          <w:tcPr>
            <w:tcW w:w="1915" w:type="dxa"/>
          </w:tcPr>
          <w:p w:rsidR="007672E3" w:rsidRDefault="007672E3" w:rsidP="00EB7D28">
            <w:r>
              <w:t>246</w:t>
            </w:r>
          </w:p>
        </w:tc>
        <w:tc>
          <w:tcPr>
            <w:tcW w:w="1915" w:type="dxa"/>
          </w:tcPr>
          <w:p w:rsidR="007672E3" w:rsidRDefault="007672E3" w:rsidP="00EB7D28">
            <w:r>
              <w:t>2894</w:t>
            </w:r>
          </w:p>
        </w:tc>
        <w:tc>
          <w:tcPr>
            <w:tcW w:w="1916" w:type="dxa"/>
          </w:tcPr>
          <w:p w:rsidR="007672E3" w:rsidRDefault="007672E3" w:rsidP="00EB7D28">
            <w:r>
              <w:t>4651</w:t>
            </w:r>
          </w:p>
        </w:tc>
      </w:tr>
      <w:tr w:rsidR="007672E3" w:rsidTr="00EB7D28">
        <w:tc>
          <w:tcPr>
            <w:tcW w:w="1915" w:type="dxa"/>
          </w:tcPr>
          <w:p w:rsidR="007672E3" w:rsidRPr="007B2DB7" w:rsidRDefault="007672E3" w:rsidP="00EB7D28">
            <w:pPr>
              <w:jc w:val="center"/>
            </w:pPr>
            <w:r w:rsidRPr="007B2DB7">
              <w:t>256</w:t>
            </w:r>
          </w:p>
        </w:tc>
        <w:tc>
          <w:tcPr>
            <w:tcW w:w="1915" w:type="dxa"/>
          </w:tcPr>
          <w:p w:rsidR="007672E3" w:rsidRPr="007B2DB7" w:rsidRDefault="007672E3" w:rsidP="00EB7D28">
            <w:pPr>
              <w:jc w:val="center"/>
            </w:pPr>
            <w:r w:rsidRPr="007B2DB7">
              <w:t>1</w:t>
            </w:r>
          </w:p>
        </w:tc>
        <w:tc>
          <w:tcPr>
            <w:tcW w:w="1915" w:type="dxa"/>
          </w:tcPr>
          <w:p w:rsidR="007672E3" w:rsidRDefault="007672E3" w:rsidP="00EB7D28">
            <w:r>
              <w:t>255</w:t>
            </w:r>
          </w:p>
        </w:tc>
        <w:tc>
          <w:tcPr>
            <w:tcW w:w="1915" w:type="dxa"/>
          </w:tcPr>
          <w:p w:rsidR="007672E3" w:rsidRDefault="007672E3" w:rsidP="00EB7D28">
            <w:r>
              <w:t>3295</w:t>
            </w:r>
          </w:p>
        </w:tc>
        <w:tc>
          <w:tcPr>
            <w:tcW w:w="1916" w:type="dxa"/>
          </w:tcPr>
          <w:p w:rsidR="007672E3" w:rsidRDefault="007672E3" w:rsidP="00EB7D28">
            <w:r>
              <w:t>5230</w:t>
            </w:r>
          </w:p>
        </w:tc>
      </w:tr>
    </w:tbl>
    <w:p w:rsidR="007672E3" w:rsidRDefault="007672E3" w:rsidP="007672E3"/>
    <w:p w:rsidR="007672E3" w:rsidRDefault="007672E3" w:rsidP="007672E3">
      <w:r>
        <w:t>Test Conditions:</w:t>
      </w:r>
    </w:p>
    <w:p w:rsidR="007672E3" w:rsidRDefault="007672E3" w:rsidP="007672E3">
      <w:r>
        <w:t>ISE 13.3, XST defaults, Virtex6</w:t>
      </w:r>
    </w:p>
    <w:p w:rsidR="007672E3" w:rsidRDefault="007672E3" w:rsidP="007672E3">
      <w:r>
        <w:br w:type="page"/>
      </w:r>
    </w:p>
    <w:p w:rsidR="007672E3" w:rsidRPr="001D7F64" w:rsidRDefault="007672E3" w:rsidP="00CA351D">
      <w:pPr>
        <w:pStyle w:val="Heading2"/>
      </w:pPr>
      <w:r>
        <w:lastRenderedPageBreak/>
        <w:t>OCDP</w:t>
      </w:r>
    </w:p>
    <w:p w:rsidR="007672E3" w:rsidRDefault="007672E3" w:rsidP="007672E3">
      <w:r>
        <w:t>Parameterized Width and Debug</w:t>
      </w:r>
    </w:p>
    <w:tbl>
      <w:tblPr>
        <w:tblStyle w:val="TableGrid"/>
        <w:tblW w:w="0" w:type="auto"/>
        <w:tblLook w:val="04A0" w:firstRow="1" w:lastRow="0" w:firstColumn="1" w:lastColumn="0" w:noHBand="0" w:noVBand="1"/>
      </w:tblPr>
      <w:tblGrid>
        <w:gridCol w:w="1774"/>
        <w:gridCol w:w="1776"/>
        <w:gridCol w:w="1778"/>
        <w:gridCol w:w="1762"/>
        <w:gridCol w:w="1766"/>
      </w:tblGrid>
      <w:tr w:rsidR="007672E3" w:rsidRPr="007B2DB7" w:rsidTr="00EB7D28">
        <w:tc>
          <w:tcPr>
            <w:tcW w:w="1915" w:type="dxa"/>
            <w:shd w:val="pct5" w:color="auto" w:fill="auto"/>
          </w:tcPr>
          <w:p w:rsidR="007672E3" w:rsidRPr="007B2DB7" w:rsidRDefault="007672E3" w:rsidP="00EB7D28">
            <w:pPr>
              <w:jc w:val="center"/>
              <w:rPr>
                <w:b/>
              </w:rPr>
            </w:pPr>
            <w:r w:rsidRPr="007B2DB7">
              <w:rPr>
                <w:b/>
              </w:rPr>
              <w:t>Width</w:t>
            </w:r>
          </w:p>
        </w:tc>
        <w:tc>
          <w:tcPr>
            <w:tcW w:w="1915" w:type="dxa"/>
            <w:shd w:val="pct5" w:color="auto" w:fill="auto"/>
          </w:tcPr>
          <w:p w:rsidR="007672E3" w:rsidRPr="007B2DB7" w:rsidRDefault="007672E3" w:rsidP="00EB7D28">
            <w:pPr>
              <w:jc w:val="center"/>
              <w:rPr>
                <w:b/>
              </w:rPr>
            </w:pPr>
            <w:r>
              <w:rPr>
                <w:b/>
              </w:rPr>
              <w:t xml:space="preserve">Push, Pull, </w:t>
            </w:r>
            <w:r w:rsidRPr="007B2DB7">
              <w:rPr>
                <w:b/>
              </w:rPr>
              <w:t>Debug</w:t>
            </w:r>
          </w:p>
        </w:tc>
        <w:tc>
          <w:tcPr>
            <w:tcW w:w="1915" w:type="dxa"/>
            <w:shd w:val="pct5" w:color="auto" w:fill="auto"/>
          </w:tcPr>
          <w:p w:rsidR="007672E3" w:rsidRPr="007B2DB7" w:rsidRDefault="007672E3" w:rsidP="00EB7D28">
            <w:pPr>
              <w:jc w:val="center"/>
              <w:rPr>
                <w:b/>
              </w:rPr>
            </w:pPr>
            <w:proofErr w:type="spellStart"/>
            <w:r w:rsidRPr="007B2DB7">
              <w:rPr>
                <w:b/>
              </w:rPr>
              <w:t>FMax</w:t>
            </w:r>
            <w:proofErr w:type="spellEnd"/>
            <w:r>
              <w:rPr>
                <w:b/>
              </w:rPr>
              <w:t xml:space="preserve"> (MHz)</w:t>
            </w:r>
          </w:p>
        </w:tc>
        <w:tc>
          <w:tcPr>
            <w:tcW w:w="1915" w:type="dxa"/>
            <w:shd w:val="pct5" w:color="auto" w:fill="auto"/>
          </w:tcPr>
          <w:p w:rsidR="007672E3" w:rsidRPr="007B2DB7" w:rsidRDefault="007672E3" w:rsidP="00EB7D28">
            <w:pPr>
              <w:jc w:val="center"/>
              <w:rPr>
                <w:b/>
              </w:rPr>
            </w:pPr>
            <w:r w:rsidRPr="007B2DB7">
              <w:rPr>
                <w:b/>
              </w:rPr>
              <w:t>DFFs</w:t>
            </w:r>
          </w:p>
        </w:tc>
        <w:tc>
          <w:tcPr>
            <w:tcW w:w="1916" w:type="dxa"/>
            <w:shd w:val="pct5" w:color="auto" w:fill="auto"/>
          </w:tcPr>
          <w:p w:rsidR="007672E3" w:rsidRPr="007B2DB7" w:rsidRDefault="007672E3" w:rsidP="00EB7D28">
            <w:pPr>
              <w:jc w:val="center"/>
              <w:rPr>
                <w:b/>
              </w:rPr>
            </w:pPr>
            <w:r>
              <w:rPr>
                <w:b/>
              </w:rPr>
              <w:t>6-</w:t>
            </w:r>
            <w:r w:rsidRPr="007B2DB7">
              <w:rPr>
                <w:b/>
              </w:rPr>
              <w:t>LUTs</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t>001</w:t>
            </w:r>
          </w:p>
        </w:tc>
        <w:tc>
          <w:tcPr>
            <w:tcW w:w="1915" w:type="dxa"/>
          </w:tcPr>
          <w:p w:rsidR="007672E3" w:rsidRPr="007B2DB7" w:rsidRDefault="007672E3" w:rsidP="00EB7D28">
            <w:r>
              <w:t>234</w:t>
            </w:r>
          </w:p>
        </w:tc>
        <w:tc>
          <w:tcPr>
            <w:tcW w:w="1915" w:type="dxa"/>
          </w:tcPr>
          <w:p w:rsidR="007672E3" w:rsidRPr="007B2DB7" w:rsidRDefault="007672E3" w:rsidP="00EB7D28">
            <w:r>
              <w:t>2681</w:t>
            </w:r>
          </w:p>
        </w:tc>
        <w:tc>
          <w:tcPr>
            <w:tcW w:w="1916" w:type="dxa"/>
          </w:tcPr>
          <w:p w:rsidR="007672E3" w:rsidRDefault="007672E3" w:rsidP="00EB7D28">
            <w:r>
              <w:t>4359</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t>011</w:t>
            </w:r>
          </w:p>
        </w:tc>
        <w:tc>
          <w:tcPr>
            <w:tcW w:w="1915" w:type="dxa"/>
          </w:tcPr>
          <w:p w:rsidR="007672E3" w:rsidRPr="007B2DB7" w:rsidRDefault="007672E3" w:rsidP="00EB7D28">
            <w:r>
              <w:t>205</w:t>
            </w:r>
          </w:p>
        </w:tc>
        <w:tc>
          <w:tcPr>
            <w:tcW w:w="1915" w:type="dxa"/>
          </w:tcPr>
          <w:p w:rsidR="007672E3" w:rsidRPr="007B2DB7" w:rsidRDefault="007672E3" w:rsidP="00EB7D28">
            <w:r>
              <w:t>3209</w:t>
            </w:r>
          </w:p>
        </w:tc>
        <w:tc>
          <w:tcPr>
            <w:tcW w:w="1916" w:type="dxa"/>
          </w:tcPr>
          <w:p w:rsidR="007672E3" w:rsidRDefault="007672E3" w:rsidP="00EB7D28">
            <w:r>
              <w:t>5104</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t>101</w:t>
            </w:r>
          </w:p>
        </w:tc>
        <w:tc>
          <w:tcPr>
            <w:tcW w:w="1915" w:type="dxa"/>
          </w:tcPr>
          <w:p w:rsidR="007672E3" w:rsidRPr="007B2DB7" w:rsidRDefault="007672E3" w:rsidP="00EB7D28">
            <w:r>
              <w:t>205</w:t>
            </w:r>
          </w:p>
        </w:tc>
        <w:tc>
          <w:tcPr>
            <w:tcW w:w="1915" w:type="dxa"/>
          </w:tcPr>
          <w:p w:rsidR="007672E3" w:rsidRPr="007B2DB7" w:rsidRDefault="007672E3" w:rsidP="00EB7D28">
            <w:r>
              <w:t>3227</w:t>
            </w:r>
          </w:p>
        </w:tc>
        <w:tc>
          <w:tcPr>
            <w:tcW w:w="1916" w:type="dxa"/>
          </w:tcPr>
          <w:p w:rsidR="007672E3" w:rsidRDefault="007672E3" w:rsidP="00EB7D28">
            <w:r>
              <w:t>5313</w:t>
            </w:r>
          </w:p>
        </w:tc>
      </w:tr>
      <w:tr w:rsidR="007672E3" w:rsidTr="00EB7D28">
        <w:tc>
          <w:tcPr>
            <w:tcW w:w="1915" w:type="dxa"/>
          </w:tcPr>
          <w:p w:rsidR="007672E3" w:rsidRPr="007B2DB7" w:rsidRDefault="007672E3" w:rsidP="00EB7D28">
            <w:pPr>
              <w:jc w:val="center"/>
            </w:pPr>
            <w:r w:rsidRPr="007B2DB7">
              <w:t>32</w:t>
            </w:r>
          </w:p>
        </w:tc>
        <w:tc>
          <w:tcPr>
            <w:tcW w:w="1915" w:type="dxa"/>
          </w:tcPr>
          <w:p w:rsidR="007672E3" w:rsidRPr="007B2DB7" w:rsidRDefault="007672E3" w:rsidP="00EB7D28">
            <w:pPr>
              <w:jc w:val="center"/>
            </w:pPr>
            <w:r>
              <w:t>111</w:t>
            </w:r>
          </w:p>
        </w:tc>
        <w:tc>
          <w:tcPr>
            <w:tcW w:w="1915" w:type="dxa"/>
          </w:tcPr>
          <w:p w:rsidR="007672E3" w:rsidRPr="007B2DB7" w:rsidRDefault="007672E3" w:rsidP="00EB7D28">
            <w:r>
              <w:t>183</w:t>
            </w:r>
          </w:p>
        </w:tc>
        <w:tc>
          <w:tcPr>
            <w:tcW w:w="1915" w:type="dxa"/>
          </w:tcPr>
          <w:p w:rsidR="007672E3" w:rsidRPr="007B2DB7" w:rsidRDefault="007672E3" w:rsidP="00EB7D28">
            <w:r>
              <w:t>3360</w:t>
            </w:r>
          </w:p>
        </w:tc>
        <w:tc>
          <w:tcPr>
            <w:tcW w:w="1916" w:type="dxa"/>
          </w:tcPr>
          <w:p w:rsidR="007672E3" w:rsidRDefault="007672E3" w:rsidP="00EB7D28">
            <w:r>
              <w:t>5995</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0</w:t>
            </w:r>
            <w:r>
              <w:t>01</w:t>
            </w:r>
          </w:p>
        </w:tc>
        <w:tc>
          <w:tcPr>
            <w:tcW w:w="1915" w:type="dxa"/>
          </w:tcPr>
          <w:p w:rsidR="007672E3" w:rsidRDefault="007672E3" w:rsidP="00EB7D28">
            <w:r>
              <w:t>234</w:t>
            </w:r>
          </w:p>
        </w:tc>
        <w:tc>
          <w:tcPr>
            <w:tcW w:w="1915" w:type="dxa"/>
          </w:tcPr>
          <w:p w:rsidR="007672E3" w:rsidRDefault="007672E3" w:rsidP="00EB7D28">
            <w:r>
              <w:t>2718</w:t>
            </w:r>
          </w:p>
        </w:tc>
        <w:tc>
          <w:tcPr>
            <w:tcW w:w="1916" w:type="dxa"/>
          </w:tcPr>
          <w:p w:rsidR="007672E3" w:rsidRDefault="007672E3" w:rsidP="00EB7D28">
            <w:r>
              <w:t>4283</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t>01</w:t>
            </w:r>
            <w:r w:rsidRPr="007B2DB7">
              <w:t>1</w:t>
            </w:r>
          </w:p>
        </w:tc>
        <w:tc>
          <w:tcPr>
            <w:tcW w:w="1915" w:type="dxa"/>
          </w:tcPr>
          <w:p w:rsidR="007672E3" w:rsidRDefault="007672E3" w:rsidP="00EB7D28">
            <w:r>
              <w:t>190</w:t>
            </w:r>
          </w:p>
        </w:tc>
        <w:tc>
          <w:tcPr>
            <w:tcW w:w="1915" w:type="dxa"/>
          </w:tcPr>
          <w:p w:rsidR="007672E3" w:rsidRDefault="007672E3" w:rsidP="00EB7D28">
            <w:r>
              <w:t>3252</w:t>
            </w:r>
          </w:p>
        </w:tc>
        <w:tc>
          <w:tcPr>
            <w:tcW w:w="1916" w:type="dxa"/>
          </w:tcPr>
          <w:p w:rsidR="007672E3" w:rsidRDefault="007672E3" w:rsidP="00EB7D28">
            <w:r>
              <w:t>5168</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1</w:t>
            </w:r>
            <w:r>
              <w:t>01</w:t>
            </w:r>
          </w:p>
        </w:tc>
        <w:tc>
          <w:tcPr>
            <w:tcW w:w="1915" w:type="dxa"/>
          </w:tcPr>
          <w:p w:rsidR="007672E3" w:rsidRDefault="007672E3" w:rsidP="00EB7D28">
            <w:r>
              <w:t>210</w:t>
            </w:r>
          </w:p>
        </w:tc>
        <w:tc>
          <w:tcPr>
            <w:tcW w:w="1915" w:type="dxa"/>
          </w:tcPr>
          <w:p w:rsidR="007672E3" w:rsidRDefault="007672E3" w:rsidP="00EB7D28">
            <w:r>
              <w:t>3315</w:t>
            </w:r>
          </w:p>
        </w:tc>
        <w:tc>
          <w:tcPr>
            <w:tcW w:w="1916" w:type="dxa"/>
          </w:tcPr>
          <w:p w:rsidR="007672E3" w:rsidRDefault="007672E3" w:rsidP="00EB7D28">
            <w:r>
              <w:t>5089</w:t>
            </w:r>
          </w:p>
        </w:tc>
      </w:tr>
      <w:tr w:rsidR="007672E3" w:rsidTr="00EB7D28">
        <w:tc>
          <w:tcPr>
            <w:tcW w:w="1915" w:type="dxa"/>
          </w:tcPr>
          <w:p w:rsidR="007672E3" w:rsidRPr="007B2DB7" w:rsidRDefault="007672E3" w:rsidP="00EB7D28">
            <w:pPr>
              <w:jc w:val="center"/>
            </w:pPr>
            <w:r w:rsidRPr="007B2DB7">
              <w:t>64</w:t>
            </w:r>
          </w:p>
        </w:tc>
        <w:tc>
          <w:tcPr>
            <w:tcW w:w="1915" w:type="dxa"/>
          </w:tcPr>
          <w:p w:rsidR="007672E3" w:rsidRPr="007B2DB7" w:rsidRDefault="007672E3" w:rsidP="00EB7D28">
            <w:pPr>
              <w:jc w:val="center"/>
            </w:pPr>
            <w:r w:rsidRPr="007B2DB7">
              <w:t>1</w:t>
            </w:r>
            <w:r>
              <w:t>11</w:t>
            </w:r>
          </w:p>
        </w:tc>
        <w:tc>
          <w:tcPr>
            <w:tcW w:w="1915" w:type="dxa"/>
          </w:tcPr>
          <w:p w:rsidR="007672E3" w:rsidRDefault="007672E3" w:rsidP="00EB7D28">
            <w:r>
              <w:t>186</w:t>
            </w:r>
          </w:p>
        </w:tc>
        <w:tc>
          <w:tcPr>
            <w:tcW w:w="1915" w:type="dxa"/>
          </w:tcPr>
          <w:p w:rsidR="007672E3" w:rsidRDefault="007672E3" w:rsidP="00EB7D28">
            <w:r>
              <w:t>3399</w:t>
            </w:r>
          </w:p>
        </w:tc>
        <w:tc>
          <w:tcPr>
            <w:tcW w:w="1916" w:type="dxa"/>
          </w:tcPr>
          <w:p w:rsidR="007672E3" w:rsidRDefault="007672E3" w:rsidP="00EB7D28">
            <w:r>
              <w:t>5811</w:t>
            </w:r>
          </w:p>
        </w:tc>
      </w:tr>
      <w:tr w:rsidR="007672E3" w:rsidTr="00EB7D28">
        <w:tc>
          <w:tcPr>
            <w:tcW w:w="1915" w:type="dxa"/>
          </w:tcPr>
          <w:p w:rsidR="007672E3" w:rsidRPr="007B2DB7" w:rsidRDefault="007672E3" w:rsidP="00EB7D28">
            <w:pPr>
              <w:jc w:val="center"/>
            </w:pPr>
            <w:r w:rsidRPr="007B2DB7">
              <w:t>128</w:t>
            </w:r>
          </w:p>
        </w:tc>
        <w:tc>
          <w:tcPr>
            <w:tcW w:w="1915" w:type="dxa"/>
          </w:tcPr>
          <w:p w:rsidR="007672E3" w:rsidRPr="007B2DB7" w:rsidRDefault="007672E3" w:rsidP="00EB7D28">
            <w:pPr>
              <w:jc w:val="center"/>
            </w:pPr>
          </w:p>
        </w:tc>
        <w:tc>
          <w:tcPr>
            <w:tcW w:w="1915" w:type="dxa"/>
          </w:tcPr>
          <w:p w:rsidR="007672E3" w:rsidRDefault="007672E3" w:rsidP="00EB7D28"/>
        </w:tc>
        <w:tc>
          <w:tcPr>
            <w:tcW w:w="1915" w:type="dxa"/>
          </w:tcPr>
          <w:p w:rsidR="007672E3" w:rsidRDefault="007672E3" w:rsidP="00EB7D28"/>
        </w:tc>
        <w:tc>
          <w:tcPr>
            <w:tcW w:w="1916" w:type="dxa"/>
          </w:tcPr>
          <w:p w:rsidR="007672E3" w:rsidRDefault="007672E3" w:rsidP="00EB7D28"/>
        </w:tc>
      </w:tr>
      <w:tr w:rsidR="007672E3" w:rsidTr="00EB7D28">
        <w:tc>
          <w:tcPr>
            <w:tcW w:w="1915" w:type="dxa"/>
          </w:tcPr>
          <w:p w:rsidR="007672E3" w:rsidRPr="007B2DB7" w:rsidRDefault="007672E3" w:rsidP="00EB7D28">
            <w:pPr>
              <w:jc w:val="center"/>
            </w:pPr>
            <w:r w:rsidRPr="007B2DB7">
              <w:t>256</w:t>
            </w:r>
          </w:p>
        </w:tc>
        <w:tc>
          <w:tcPr>
            <w:tcW w:w="1915" w:type="dxa"/>
          </w:tcPr>
          <w:p w:rsidR="007672E3" w:rsidRPr="007B2DB7" w:rsidRDefault="007672E3" w:rsidP="00EB7D28">
            <w:pPr>
              <w:jc w:val="center"/>
            </w:pPr>
          </w:p>
        </w:tc>
        <w:tc>
          <w:tcPr>
            <w:tcW w:w="1915" w:type="dxa"/>
          </w:tcPr>
          <w:p w:rsidR="007672E3" w:rsidRDefault="007672E3" w:rsidP="00EB7D28"/>
        </w:tc>
        <w:tc>
          <w:tcPr>
            <w:tcW w:w="1915" w:type="dxa"/>
          </w:tcPr>
          <w:p w:rsidR="007672E3" w:rsidRDefault="007672E3" w:rsidP="00EB7D28"/>
        </w:tc>
        <w:tc>
          <w:tcPr>
            <w:tcW w:w="1916" w:type="dxa"/>
          </w:tcPr>
          <w:p w:rsidR="007672E3" w:rsidRDefault="007672E3" w:rsidP="00EB7D28"/>
        </w:tc>
      </w:tr>
    </w:tbl>
    <w:p w:rsidR="007672E3" w:rsidRDefault="007672E3" w:rsidP="007672E3"/>
    <w:p w:rsidR="007672E3" w:rsidRDefault="007672E3" w:rsidP="007672E3">
      <w:r>
        <w:t>Test Conditions:</w:t>
      </w:r>
    </w:p>
    <w:p w:rsidR="007672E3" w:rsidRDefault="007672E3" w:rsidP="007672E3">
      <w:r>
        <w:t>ISE 13.3, XST defaults, Virtex6</w:t>
      </w:r>
    </w:p>
    <w:p w:rsidR="007672E3" w:rsidRDefault="007672E3" w:rsidP="007672E3"/>
    <w:p w:rsidR="007672E3" w:rsidRDefault="007672E3" w:rsidP="007672E3">
      <w:pPr>
        <w:pStyle w:val="Body"/>
      </w:pPr>
    </w:p>
    <w:p w:rsidR="00211852" w:rsidRDefault="00E113AC">
      <w:pPr>
        <w:rPr>
          <w:rFonts w:ascii="Arial" w:hAnsi="Arial" w:cs="Arial"/>
          <w:b/>
          <w:bCs/>
          <w:kern w:val="32"/>
          <w:sz w:val="32"/>
          <w:szCs w:val="32"/>
        </w:rPr>
      </w:pPr>
      <w:r>
        <w:br w:type="page"/>
      </w:r>
    </w:p>
    <w:p w:rsidR="002F7565" w:rsidRDefault="002F7565" w:rsidP="002F7565">
      <w:pPr>
        <w:pStyle w:val="Heading1"/>
      </w:pPr>
      <w:r>
        <w:lastRenderedPageBreak/>
        <w:t>Full Chip Build</w:t>
      </w:r>
      <w:r>
        <w:t xml:space="preserve"> Results</w:t>
      </w:r>
    </w:p>
    <w:p w:rsidR="002F7565" w:rsidRDefault="002F7565" w:rsidP="002F7565">
      <w:pPr>
        <w:pStyle w:val="Body1"/>
      </w:pPr>
      <w:r>
        <w:t xml:space="preserve">It is possible to pass parameters such as debug and width to some or all modules in the design hierarchy. There are several ways this can be achieved; two </w:t>
      </w:r>
      <w:r w:rsidR="00CA351D">
        <w:t xml:space="preserve">of them </w:t>
      </w:r>
      <w:r>
        <w:t xml:space="preserve">are </w:t>
      </w:r>
      <w:r w:rsidR="0016379C">
        <w:t>listed</w:t>
      </w:r>
      <w:r>
        <w:t xml:space="preserve"> here:</w:t>
      </w:r>
    </w:p>
    <w:p w:rsidR="002F7565" w:rsidRDefault="002F7565" w:rsidP="002F7565">
      <w:pPr>
        <w:pStyle w:val="Body1"/>
        <w:numPr>
          <w:ilvl w:val="0"/>
          <w:numId w:val="5"/>
        </w:numPr>
      </w:pPr>
      <w:r>
        <w:t xml:space="preserve">The use of `define pre-processor. </w:t>
      </w:r>
    </w:p>
    <w:p w:rsidR="002F7565" w:rsidRDefault="002F7565" w:rsidP="002F7565">
      <w:pPr>
        <w:pStyle w:val="Body1"/>
        <w:numPr>
          <w:ilvl w:val="0"/>
          <w:numId w:val="5"/>
        </w:numPr>
      </w:pPr>
      <w:r>
        <w:t>The use of a static assignment to convey the parameter value</w:t>
      </w:r>
      <w:r w:rsidR="0016379C">
        <w:t>.</w:t>
      </w:r>
    </w:p>
    <w:p w:rsidR="002F7565" w:rsidRDefault="002F7565" w:rsidP="002F7565">
      <w:pPr>
        <w:pStyle w:val="Body1"/>
      </w:pPr>
      <w:r w:rsidRPr="002F7565">
        <w:t xml:space="preserve">Other </w:t>
      </w:r>
      <w:r>
        <w:t xml:space="preserve">techniques are </w:t>
      </w:r>
      <w:r w:rsidR="0016379C">
        <w:t xml:space="preserve">also </w:t>
      </w:r>
      <w:r>
        <w:t xml:space="preserve">permissible so long as they conform </w:t>
      </w:r>
      <w:r w:rsidR="00F7460B">
        <w:t xml:space="preserve">to </w:t>
      </w:r>
      <w:r w:rsidR="005824C7">
        <w:t>the Verilog 13</w:t>
      </w:r>
      <w:r w:rsidR="0016379C">
        <w:t>64-2001 specification.</w:t>
      </w:r>
    </w:p>
    <w:p w:rsidR="002F7565" w:rsidRDefault="002F7565" w:rsidP="002F7565">
      <w:pPr>
        <w:autoSpaceDE w:val="0"/>
        <w:autoSpaceDN w:val="0"/>
        <w:adjustRightInd w:val="0"/>
        <w:ind w:left="720"/>
        <w:rPr>
          <w:rFonts w:eastAsia="TimesNewRomanPSMT"/>
        </w:rPr>
      </w:pPr>
    </w:p>
    <w:p w:rsidR="002F7565" w:rsidRPr="002F7565" w:rsidRDefault="002F7565" w:rsidP="002F7565">
      <w:pPr>
        <w:autoSpaceDE w:val="0"/>
        <w:autoSpaceDN w:val="0"/>
        <w:adjustRightInd w:val="0"/>
        <w:ind w:left="720"/>
        <w:rPr>
          <w:rFonts w:eastAsia="TimesNewRomanPSMT"/>
        </w:rPr>
      </w:pPr>
      <w:r w:rsidRPr="002F7565">
        <w:rPr>
          <w:rFonts w:eastAsia="TimesNewRomanPSMT"/>
        </w:rPr>
        <w:t>Parameters represent constants; hence, it is illegal to modify their value at runtime. However, module</w:t>
      </w:r>
      <w:r w:rsidRPr="002F7565">
        <w:rPr>
          <w:rFonts w:eastAsia="TimesNewRomanPSMT"/>
        </w:rPr>
        <w:t xml:space="preserve"> </w:t>
      </w:r>
      <w:r w:rsidRPr="002F7565">
        <w:rPr>
          <w:rFonts w:eastAsia="TimesNewRomanPSMT"/>
        </w:rPr>
        <w:t>parameters can be modified at compilation time to have values that are different from those specified in the</w:t>
      </w:r>
      <w:r w:rsidRPr="002F7565">
        <w:rPr>
          <w:rFonts w:eastAsia="TimesNewRomanPSMT"/>
        </w:rPr>
        <w:t xml:space="preserve"> </w:t>
      </w:r>
      <w:r w:rsidRPr="002F7565">
        <w:rPr>
          <w:rFonts w:eastAsia="TimesNewRomanPSMT"/>
        </w:rPr>
        <w:t>declaration assignment. This allows customization of module instances.</w:t>
      </w:r>
      <w:r>
        <w:rPr>
          <w:rFonts w:eastAsia="TimesNewRomanPSMT"/>
        </w:rPr>
        <w:t xml:space="preserve"> [1]</w:t>
      </w:r>
    </w:p>
    <w:p w:rsidR="0029024E" w:rsidRDefault="0029024E" w:rsidP="0029024E">
      <w:pPr>
        <w:pStyle w:val="Body1"/>
      </w:pPr>
    </w:p>
    <w:p w:rsidR="0029024E" w:rsidRDefault="0029024E" w:rsidP="0029024E">
      <w:pPr>
        <w:pStyle w:val="Body1"/>
      </w:pPr>
      <w:r>
        <w:t xml:space="preserve">By globally switching the HAS_DEBUG_LOGIC parameters it is possible to easily produce a design that globally has (or doesn’t have) debug logic inserted. The next page shows the comparison for a ML605 build with a 32bit wide </w:t>
      </w:r>
      <w:proofErr w:type="spellStart"/>
      <w:r>
        <w:t>datapath</w:t>
      </w:r>
      <w:proofErr w:type="spellEnd"/>
      <w:r>
        <w:t xml:space="preserve">. It was tested to be equally operational with all available regression software including </w:t>
      </w:r>
      <w:r w:rsidR="00CA351D">
        <w:t xml:space="preserve">both </w:t>
      </w:r>
      <w:bookmarkStart w:id="0" w:name="_GoBack"/>
      <w:bookmarkEnd w:id="0"/>
      <w:proofErr w:type="spellStart"/>
      <w:r>
        <w:t>testRpl</w:t>
      </w:r>
      <w:proofErr w:type="spellEnd"/>
      <w:r>
        <w:t xml:space="preserve"> and NFT.</w:t>
      </w:r>
    </w:p>
    <w:p w:rsidR="00A900B1" w:rsidRDefault="00A900B1" w:rsidP="0029024E">
      <w:pPr>
        <w:pStyle w:val="Body1"/>
      </w:pPr>
      <w:r>
        <w:t>Unsurprisingly, the chip implementation without debug logic is smaller. In this case it us</w:t>
      </w:r>
      <w:r w:rsidR="0083671B">
        <w:t>ed about 1 </w:t>
      </w:r>
      <w:r>
        <w:t xml:space="preserve">000 fewer </w:t>
      </w:r>
      <w:r w:rsidR="0083671B">
        <w:t xml:space="preserve">DFFs and 6-LUTs. </w:t>
      </w:r>
      <w:r w:rsidR="00AF3158">
        <w:t>The synthesis report does not show what gain (or loss) this had with regard to timing closure as both design closed timing.</w:t>
      </w:r>
    </w:p>
    <w:p w:rsidR="00A900B1" w:rsidRDefault="00A900B1">
      <w:r>
        <w:br w:type="page"/>
      </w:r>
    </w:p>
    <w:p w:rsidR="0029024E" w:rsidRDefault="00A900B1" w:rsidP="00A900B1">
      <w:pPr>
        <w:pStyle w:val="Heading2"/>
      </w:pPr>
      <w:r>
        <w:lastRenderedPageBreak/>
        <w:t>With HAS_DEBUG_LOGIC = 0</w:t>
      </w:r>
    </w:p>
    <w:p w:rsidR="00A900B1" w:rsidRDefault="00A900B1" w:rsidP="0029024E">
      <w:pPr>
        <w:pStyle w:val="Body1"/>
      </w:pPr>
      <w:r>
        <w:rPr>
          <w:noProof/>
        </w:rPr>
        <w:drawing>
          <wp:inline distT="0" distB="0" distL="0" distR="0">
            <wp:extent cx="40957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5-2011 3-24-33 PM.jpg"/>
                    <pic:cNvPicPr/>
                  </pic:nvPicPr>
                  <pic:blipFill>
                    <a:blip r:embed="rId8">
                      <a:extLst>
                        <a:ext uri="{28A0092B-C50C-407E-A947-70E740481C1C}">
                          <a14:useLocalDpi xmlns:a14="http://schemas.microsoft.com/office/drawing/2010/main" val="0"/>
                        </a:ext>
                      </a:extLst>
                    </a:blip>
                    <a:stretch>
                      <a:fillRect/>
                    </a:stretch>
                  </pic:blipFill>
                  <pic:spPr>
                    <a:xfrm>
                      <a:off x="0" y="0"/>
                      <a:ext cx="4095750" cy="3267075"/>
                    </a:xfrm>
                    <a:prstGeom prst="rect">
                      <a:avLst/>
                    </a:prstGeom>
                  </pic:spPr>
                </pic:pic>
              </a:graphicData>
            </a:graphic>
          </wp:inline>
        </w:drawing>
      </w:r>
    </w:p>
    <w:p w:rsidR="00A900B1" w:rsidRDefault="00A900B1" w:rsidP="00A900B1">
      <w:pPr>
        <w:pStyle w:val="Heading2"/>
      </w:pPr>
      <w:r>
        <w:t>With HAS_DEBUG_LOGIC =</w:t>
      </w:r>
      <w:r>
        <w:t xml:space="preserve"> 1</w:t>
      </w:r>
    </w:p>
    <w:p w:rsidR="00A900B1" w:rsidRDefault="00A900B1" w:rsidP="0029024E">
      <w:pPr>
        <w:pStyle w:val="Body1"/>
      </w:pPr>
      <w:r>
        <w:rPr>
          <w:noProof/>
        </w:rPr>
        <w:drawing>
          <wp:inline distT="0" distB="0" distL="0" distR="0">
            <wp:extent cx="3914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5-2011 3-23-52 PM.jpg"/>
                    <pic:cNvPicPr/>
                  </pic:nvPicPr>
                  <pic:blipFill>
                    <a:blip r:embed="rId9">
                      <a:extLst>
                        <a:ext uri="{28A0092B-C50C-407E-A947-70E740481C1C}">
                          <a14:useLocalDpi xmlns:a14="http://schemas.microsoft.com/office/drawing/2010/main" val="0"/>
                        </a:ext>
                      </a:extLst>
                    </a:blip>
                    <a:stretch>
                      <a:fillRect/>
                    </a:stretch>
                  </pic:blipFill>
                  <pic:spPr>
                    <a:xfrm>
                      <a:off x="0" y="0"/>
                      <a:ext cx="3914775" cy="3276600"/>
                    </a:xfrm>
                    <a:prstGeom prst="rect">
                      <a:avLst/>
                    </a:prstGeom>
                  </pic:spPr>
                </pic:pic>
              </a:graphicData>
            </a:graphic>
          </wp:inline>
        </w:drawing>
      </w:r>
    </w:p>
    <w:p w:rsidR="00A900B1" w:rsidRDefault="0083371E">
      <w:pPr>
        <w:rPr>
          <w:rStyle w:val="Heading1Char"/>
        </w:rPr>
      </w:pPr>
      <w:r>
        <w:rPr>
          <w:rStyle w:val="Heading1Char"/>
        </w:rPr>
        <w:br w:type="page"/>
      </w:r>
    </w:p>
    <w:p w:rsidR="00270CCB" w:rsidRDefault="00270CCB" w:rsidP="000F4199">
      <w:pPr>
        <w:pStyle w:val="Body"/>
      </w:pPr>
      <w:r w:rsidRPr="0018462D">
        <w:rPr>
          <w:rStyle w:val="Heading1Char"/>
        </w:rPr>
        <w:lastRenderedPageBreak/>
        <w:t>References</w:t>
      </w:r>
    </w:p>
    <w:p w:rsidR="00270CCB" w:rsidRDefault="00270CCB" w:rsidP="00270CCB"/>
    <w:tbl>
      <w:tblPr>
        <w:tblStyle w:val="TableGrid"/>
        <w:tblW w:w="0" w:type="auto"/>
        <w:tblLayout w:type="fixed"/>
        <w:tblLook w:val="01E0" w:firstRow="1" w:lastRow="1" w:firstColumn="1" w:lastColumn="1" w:noHBand="0" w:noVBand="0"/>
      </w:tblPr>
      <w:tblGrid>
        <w:gridCol w:w="590"/>
        <w:gridCol w:w="8158"/>
      </w:tblGrid>
      <w:tr w:rsidR="00902676" w:rsidRPr="00270CCB" w:rsidTr="00902676">
        <w:tc>
          <w:tcPr>
            <w:tcW w:w="590" w:type="dxa"/>
          </w:tcPr>
          <w:p w:rsidR="00902676" w:rsidRPr="00270CCB" w:rsidRDefault="00902676" w:rsidP="00FF4CAC">
            <w:pPr>
              <w:jc w:val="center"/>
              <w:rPr>
                <w:rFonts w:ascii="Arial" w:hAnsi="Arial" w:cs="Arial"/>
                <w:b/>
              </w:rPr>
            </w:pPr>
            <w:r w:rsidRPr="00270CCB">
              <w:rPr>
                <w:rFonts w:ascii="Arial" w:hAnsi="Arial" w:cs="Arial"/>
                <w:b/>
              </w:rPr>
              <w:t>ID</w:t>
            </w:r>
          </w:p>
        </w:tc>
        <w:tc>
          <w:tcPr>
            <w:tcW w:w="8158" w:type="dxa"/>
          </w:tcPr>
          <w:p w:rsidR="00902676" w:rsidRPr="00270CCB" w:rsidRDefault="00902676" w:rsidP="00FF4CAC">
            <w:pPr>
              <w:jc w:val="center"/>
              <w:rPr>
                <w:rFonts w:ascii="Arial" w:hAnsi="Arial" w:cs="Arial"/>
                <w:b/>
              </w:rPr>
            </w:pPr>
            <w:r w:rsidRPr="00270CCB">
              <w:rPr>
                <w:rFonts w:ascii="Arial" w:hAnsi="Arial" w:cs="Arial"/>
                <w:b/>
              </w:rPr>
              <w:t>Document Name</w:t>
            </w:r>
          </w:p>
        </w:tc>
      </w:tr>
      <w:tr w:rsidR="000E0394" w:rsidRPr="00270CCB" w:rsidTr="00FF1C7E">
        <w:tc>
          <w:tcPr>
            <w:tcW w:w="590" w:type="dxa"/>
            <w:vAlign w:val="center"/>
          </w:tcPr>
          <w:p w:rsidR="000E0394" w:rsidRPr="000E0394" w:rsidRDefault="000E0394" w:rsidP="00FF1C7E">
            <w:pPr>
              <w:jc w:val="center"/>
              <w:rPr>
                <w:rFonts w:ascii="Arial" w:hAnsi="Arial" w:cs="Arial"/>
                <w:sz w:val="22"/>
              </w:rPr>
            </w:pPr>
            <w:r w:rsidRPr="000E0394">
              <w:rPr>
                <w:rFonts w:ascii="Arial" w:hAnsi="Arial" w:cs="Arial"/>
                <w:sz w:val="22"/>
              </w:rPr>
              <w:t>1</w:t>
            </w:r>
          </w:p>
        </w:tc>
        <w:tc>
          <w:tcPr>
            <w:tcW w:w="8158" w:type="dxa"/>
          </w:tcPr>
          <w:p w:rsidR="000E0394" w:rsidRPr="000E0394" w:rsidRDefault="000E0394" w:rsidP="00FF1C7E">
            <w:pPr>
              <w:tabs>
                <w:tab w:val="left" w:pos="1023"/>
              </w:tabs>
              <w:rPr>
                <w:sz w:val="20"/>
                <w:szCs w:val="20"/>
              </w:rPr>
            </w:pPr>
            <w:r w:rsidRPr="000E0394">
              <w:rPr>
                <w:sz w:val="20"/>
                <w:szCs w:val="20"/>
              </w:rPr>
              <w:t xml:space="preserve">IEEE Standard Verilog Hardware Description Language, March 2001 IEEE </w:t>
            </w:r>
            <w:proofErr w:type="spellStart"/>
            <w:r w:rsidRPr="000E0394">
              <w:rPr>
                <w:sz w:val="20"/>
                <w:szCs w:val="20"/>
              </w:rPr>
              <w:t>Std</w:t>
            </w:r>
            <w:proofErr w:type="spellEnd"/>
            <w:r w:rsidRPr="000E0394">
              <w:rPr>
                <w:sz w:val="20"/>
                <w:szCs w:val="20"/>
              </w:rPr>
              <w:t xml:space="preserve"> 1364-2001</w:t>
            </w:r>
          </w:p>
        </w:tc>
      </w:tr>
      <w:tr w:rsidR="00902676" w:rsidRPr="00270CCB" w:rsidTr="00902676">
        <w:tc>
          <w:tcPr>
            <w:tcW w:w="590" w:type="dxa"/>
            <w:vAlign w:val="center"/>
          </w:tcPr>
          <w:p w:rsidR="00902676" w:rsidRPr="000E0394" w:rsidRDefault="000E0394" w:rsidP="002C532A">
            <w:pPr>
              <w:jc w:val="center"/>
              <w:rPr>
                <w:rFonts w:ascii="Arial" w:hAnsi="Arial" w:cs="Arial"/>
                <w:sz w:val="22"/>
              </w:rPr>
            </w:pPr>
            <w:r>
              <w:rPr>
                <w:rFonts w:ascii="Arial" w:hAnsi="Arial" w:cs="Arial"/>
                <w:sz w:val="22"/>
              </w:rPr>
              <w:t>2</w:t>
            </w:r>
          </w:p>
        </w:tc>
        <w:tc>
          <w:tcPr>
            <w:tcW w:w="8158" w:type="dxa"/>
          </w:tcPr>
          <w:p w:rsidR="00902676" w:rsidRPr="000E0394" w:rsidRDefault="00356559" w:rsidP="000E0394">
            <w:pPr>
              <w:tabs>
                <w:tab w:val="left" w:pos="1023"/>
              </w:tabs>
              <w:rPr>
                <w:sz w:val="20"/>
                <w:szCs w:val="20"/>
              </w:rPr>
            </w:pPr>
            <w:r w:rsidRPr="000E0394">
              <w:rPr>
                <w:sz w:val="20"/>
                <w:szCs w:val="20"/>
              </w:rPr>
              <w:t xml:space="preserve">IEEE Standard </w:t>
            </w:r>
            <w:r w:rsidR="000E0394" w:rsidRPr="000E0394">
              <w:rPr>
                <w:sz w:val="20"/>
                <w:szCs w:val="20"/>
              </w:rPr>
              <w:t>VHDL</w:t>
            </w:r>
            <w:r w:rsidRPr="000E0394">
              <w:rPr>
                <w:sz w:val="20"/>
                <w:szCs w:val="20"/>
              </w:rPr>
              <w:t xml:space="preserve"> </w:t>
            </w:r>
            <w:r w:rsidR="000E0394" w:rsidRPr="000E0394">
              <w:rPr>
                <w:sz w:val="20"/>
                <w:szCs w:val="20"/>
              </w:rPr>
              <w:t>Language Reference Manual</w:t>
            </w:r>
            <w:r w:rsidR="000E0394">
              <w:rPr>
                <w:sz w:val="20"/>
                <w:szCs w:val="20"/>
              </w:rPr>
              <w:t xml:space="preserve">, IEEE </w:t>
            </w:r>
            <w:proofErr w:type="spellStart"/>
            <w:r w:rsidR="000E0394">
              <w:rPr>
                <w:sz w:val="20"/>
                <w:szCs w:val="20"/>
              </w:rPr>
              <w:t>Std</w:t>
            </w:r>
            <w:proofErr w:type="spellEnd"/>
            <w:r w:rsidR="000E0394">
              <w:rPr>
                <w:sz w:val="20"/>
                <w:szCs w:val="20"/>
              </w:rPr>
              <w:t xml:space="preserve"> 1076-1993, 2002</w:t>
            </w:r>
          </w:p>
        </w:tc>
      </w:tr>
    </w:tbl>
    <w:p w:rsidR="00270CCB" w:rsidRPr="00270CCB" w:rsidRDefault="00270CCB" w:rsidP="00270CCB"/>
    <w:sectPr w:rsidR="00270CCB" w:rsidRPr="00270CCB" w:rsidSect="00893A1D">
      <w:headerReference w:type="default" r:id="rId10"/>
      <w:footerReference w:type="default" r:id="rId11"/>
      <w:pgSz w:w="12240" w:h="15840" w:code="1"/>
      <w:pgMar w:top="1440" w:right="1800" w:bottom="1440" w:left="1800" w:header="720" w:footer="720" w:gutter="0"/>
      <w:lnNumType w:countBy="5"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FE5" w:rsidRDefault="00FA0FE5">
      <w:r>
        <w:separator/>
      </w:r>
    </w:p>
  </w:endnote>
  <w:endnote w:type="continuationSeparator" w:id="0">
    <w:p w:rsidR="00FA0FE5" w:rsidRDefault="00FA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BB3" w:rsidRPr="005D1F94" w:rsidRDefault="0083371E">
    <w:pPr>
      <w:pStyle w:val="Footer"/>
      <w:rPr>
        <w:rFonts w:ascii="Arial" w:hAnsi="Arial" w:cs="Arial"/>
        <w:sz w:val="16"/>
        <w:szCs w:val="16"/>
      </w:rPr>
    </w:pPr>
    <w:r>
      <w:rPr>
        <w:rFonts w:ascii="Arial" w:hAnsi="Arial" w:cs="Arial"/>
        <w:sz w:val="16"/>
        <w:szCs w:val="16"/>
      </w:rPr>
      <w:t>Atomic Rules LLC</w:t>
    </w:r>
    <w:r w:rsidR="00BB7BB3" w:rsidRPr="005D1F94">
      <w:rPr>
        <w:rFonts w:ascii="Arial" w:hAnsi="Arial" w:cs="Arial"/>
        <w:sz w:val="16"/>
        <w:szCs w:val="16"/>
      </w:rPr>
      <w:tab/>
    </w:r>
    <w:r w:rsidR="00CD5FFA">
      <w:rPr>
        <w:rFonts w:ascii="Arial" w:hAnsi="Arial" w:cs="Arial"/>
        <w:sz w:val="16"/>
        <w:szCs w:val="16"/>
      </w:rPr>
      <w:t>Debug / Width Parameterization</w:t>
    </w:r>
    <w:r w:rsidR="00BB7BB3" w:rsidRPr="005D1F94">
      <w:rPr>
        <w:rFonts w:ascii="Arial" w:hAnsi="Arial" w:cs="Arial"/>
        <w:sz w:val="16"/>
        <w:szCs w:val="16"/>
      </w:rPr>
      <w:tab/>
    </w:r>
    <w:r>
      <w:rPr>
        <w:rFonts w:ascii="Arial" w:hAnsi="Arial" w:cs="Arial"/>
        <w:sz w:val="16"/>
        <w:szCs w:val="16"/>
      </w:rPr>
      <w:t xml:space="preserve">Page </w:t>
    </w:r>
    <w:r w:rsidR="00BB7BB3" w:rsidRPr="005D1F94">
      <w:rPr>
        <w:rStyle w:val="PageNumber"/>
        <w:rFonts w:ascii="Arial" w:hAnsi="Arial" w:cs="Arial"/>
        <w:sz w:val="16"/>
        <w:szCs w:val="16"/>
      </w:rPr>
      <w:fldChar w:fldCharType="begin"/>
    </w:r>
    <w:r w:rsidR="00BB7BB3" w:rsidRPr="005D1F94">
      <w:rPr>
        <w:rStyle w:val="PageNumber"/>
        <w:rFonts w:ascii="Arial" w:hAnsi="Arial" w:cs="Arial"/>
        <w:sz w:val="16"/>
        <w:szCs w:val="16"/>
      </w:rPr>
      <w:instrText xml:space="preserve"> PAGE </w:instrText>
    </w:r>
    <w:r w:rsidR="00BB7BB3" w:rsidRPr="005D1F94">
      <w:rPr>
        <w:rStyle w:val="PageNumber"/>
        <w:rFonts w:ascii="Arial" w:hAnsi="Arial" w:cs="Arial"/>
        <w:sz w:val="16"/>
        <w:szCs w:val="16"/>
      </w:rPr>
      <w:fldChar w:fldCharType="separate"/>
    </w:r>
    <w:r w:rsidR="00CA351D">
      <w:rPr>
        <w:rStyle w:val="PageNumber"/>
        <w:rFonts w:ascii="Arial" w:hAnsi="Arial" w:cs="Arial"/>
        <w:noProof/>
        <w:sz w:val="16"/>
        <w:szCs w:val="16"/>
      </w:rPr>
      <w:t>10</w:t>
    </w:r>
    <w:r w:rsidR="00BB7BB3" w:rsidRPr="005D1F94">
      <w:rPr>
        <w:rStyle w:val="PageNumber"/>
        <w:rFonts w:ascii="Arial" w:hAnsi="Arial" w:cs="Arial"/>
        <w:sz w:val="16"/>
        <w:szCs w:val="16"/>
      </w:rPr>
      <w:fldChar w:fldCharType="end"/>
    </w:r>
    <w:r>
      <w:rPr>
        <w:rStyle w:val="PageNumber"/>
        <w:rFonts w:ascii="Arial" w:hAnsi="Arial" w:cs="Arial"/>
        <w:sz w:val="16"/>
        <w:szCs w:val="16"/>
      </w:rPr>
      <w:t xml:space="preserve"> of </w:t>
    </w:r>
    <w:r>
      <w:rPr>
        <w:rStyle w:val="PageNumber"/>
        <w:rFonts w:ascii="Arial" w:hAnsi="Arial" w:cs="Arial"/>
        <w:sz w:val="16"/>
        <w:szCs w:val="16"/>
      </w:rPr>
      <w:fldChar w:fldCharType="begin"/>
    </w:r>
    <w:r>
      <w:rPr>
        <w:rStyle w:val="PageNumber"/>
        <w:rFonts w:ascii="Arial" w:hAnsi="Arial" w:cs="Arial"/>
        <w:sz w:val="16"/>
        <w:szCs w:val="16"/>
      </w:rPr>
      <w:instrText xml:space="preserve"> NUMPAGES   \* MERGEFORMAT </w:instrText>
    </w:r>
    <w:r>
      <w:rPr>
        <w:rStyle w:val="PageNumber"/>
        <w:rFonts w:ascii="Arial" w:hAnsi="Arial" w:cs="Arial"/>
        <w:sz w:val="16"/>
        <w:szCs w:val="16"/>
      </w:rPr>
      <w:fldChar w:fldCharType="separate"/>
    </w:r>
    <w:r w:rsidR="00CA351D">
      <w:rPr>
        <w:rStyle w:val="PageNumber"/>
        <w:rFonts w:ascii="Arial" w:hAnsi="Arial" w:cs="Arial"/>
        <w:noProof/>
        <w:sz w:val="16"/>
        <w:szCs w:val="16"/>
      </w:rPr>
      <w:t>11</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FE5" w:rsidRDefault="00FA0FE5">
      <w:r>
        <w:separator/>
      </w:r>
    </w:p>
  </w:footnote>
  <w:footnote w:type="continuationSeparator" w:id="0">
    <w:p w:rsidR="00FA0FE5" w:rsidRDefault="00FA0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C28" w:rsidRPr="00C05C28" w:rsidRDefault="00C05C28">
    <w:pPr>
      <w:pStyle w:val="Header"/>
      <w:rPr>
        <w:rFonts w:ascii="Arial" w:hAnsi="Arial" w:cs="Arial"/>
        <w:color w:val="808080" w:themeColor="background1" w:themeShade="80"/>
        <w:sz w:val="16"/>
        <w:szCs w:val="16"/>
      </w:rPr>
    </w:pPr>
    <w:r w:rsidRPr="00C05C28">
      <w:rPr>
        <w:rFonts w:ascii="Arial" w:hAnsi="Arial" w:cs="Arial"/>
        <w:color w:val="808080" w:themeColor="background1" w:themeShade="80"/>
        <w:sz w:val="16"/>
        <w:szCs w:val="16"/>
      </w:rPr>
      <w:t xml:space="preserve">Version: </w:t>
    </w:r>
    <w:r w:rsidRPr="00C05C28">
      <w:rPr>
        <w:rFonts w:ascii="Arial" w:hAnsi="Arial" w:cs="Arial"/>
        <w:color w:val="808080" w:themeColor="background1" w:themeShade="80"/>
        <w:sz w:val="16"/>
        <w:szCs w:val="16"/>
      </w:rPr>
      <w:fldChar w:fldCharType="begin"/>
    </w:r>
    <w:r w:rsidRPr="00C05C28">
      <w:rPr>
        <w:rFonts w:ascii="Arial" w:hAnsi="Arial" w:cs="Arial"/>
        <w:color w:val="808080" w:themeColor="background1" w:themeShade="80"/>
        <w:sz w:val="16"/>
        <w:szCs w:val="16"/>
      </w:rPr>
      <w:instrText xml:space="preserve"> SAVEDATE  \@ "M/d/yyyy h:mm:ss am/pm"  \* MERGEFORMAT </w:instrText>
    </w:r>
    <w:r w:rsidRPr="00C05C28">
      <w:rPr>
        <w:rFonts w:ascii="Arial" w:hAnsi="Arial" w:cs="Arial"/>
        <w:color w:val="808080" w:themeColor="background1" w:themeShade="80"/>
        <w:sz w:val="16"/>
        <w:szCs w:val="16"/>
      </w:rPr>
      <w:fldChar w:fldCharType="separate"/>
    </w:r>
    <w:r w:rsidR="00AF47A0">
      <w:rPr>
        <w:rFonts w:ascii="Arial" w:hAnsi="Arial" w:cs="Arial"/>
        <w:noProof/>
        <w:color w:val="808080" w:themeColor="background1" w:themeShade="80"/>
        <w:sz w:val="16"/>
        <w:szCs w:val="16"/>
      </w:rPr>
      <w:t>12/15/2011 2:16:00 PM</w:t>
    </w:r>
    <w:r w:rsidRPr="00C05C28">
      <w:rPr>
        <w:rFonts w:ascii="Arial" w:hAnsi="Arial" w:cs="Arial"/>
        <w:color w:val="808080" w:themeColor="background1" w:themeShade="80"/>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52C"/>
    <w:multiLevelType w:val="hybridMultilevel"/>
    <w:tmpl w:val="30B29178"/>
    <w:lvl w:ilvl="0" w:tplc="3F7CEF7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2F381B"/>
    <w:multiLevelType w:val="hybridMultilevel"/>
    <w:tmpl w:val="D3B8E886"/>
    <w:lvl w:ilvl="0" w:tplc="F8405DAE">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708EF"/>
    <w:multiLevelType w:val="hybridMultilevel"/>
    <w:tmpl w:val="AE404A72"/>
    <w:lvl w:ilvl="0" w:tplc="0D7A822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29A5223"/>
    <w:multiLevelType w:val="hybridMultilevel"/>
    <w:tmpl w:val="A71E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74D77"/>
    <w:multiLevelType w:val="hybridMultilevel"/>
    <w:tmpl w:val="37B0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94"/>
    <w:rsid w:val="0001009E"/>
    <w:rsid w:val="000120E8"/>
    <w:rsid w:val="000218F3"/>
    <w:rsid w:val="00032ECE"/>
    <w:rsid w:val="0003747E"/>
    <w:rsid w:val="00037CE5"/>
    <w:rsid w:val="00041ED4"/>
    <w:rsid w:val="00061A2C"/>
    <w:rsid w:val="0006545B"/>
    <w:rsid w:val="00075BAF"/>
    <w:rsid w:val="000C2FE0"/>
    <w:rsid w:val="000D4001"/>
    <w:rsid w:val="000E0394"/>
    <w:rsid w:val="000E07D2"/>
    <w:rsid w:val="000F0F32"/>
    <w:rsid w:val="000F4199"/>
    <w:rsid w:val="000F5818"/>
    <w:rsid w:val="00114207"/>
    <w:rsid w:val="0013058E"/>
    <w:rsid w:val="001343FB"/>
    <w:rsid w:val="00150CF0"/>
    <w:rsid w:val="0016379C"/>
    <w:rsid w:val="00165276"/>
    <w:rsid w:val="001664C2"/>
    <w:rsid w:val="00167DC9"/>
    <w:rsid w:val="0017467D"/>
    <w:rsid w:val="0018462D"/>
    <w:rsid w:val="00186699"/>
    <w:rsid w:val="00191B3B"/>
    <w:rsid w:val="0019237C"/>
    <w:rsid w:val="001B46A6"/>
    <w:rsid w:val="001B5621"/>
    <w:rsid w:val="001C66B0"/>
    <w:rsid w:val="001D4A69"/>
    <w:rsid w:val="001E1FC2"/>
    <w:rsid w:val="001E5792"/>
    <w:rsid w:val="001F245F"/>
    <w:rsid w:val="001F2995"/>
    <w:rsid w:val="002041F7"/>
    <w:rsid w:val="00211852"/>
    <w:rsid w:val="002427BF"/>
    <w:rsid w:val="00250BDF"/>
    <w:rsid w:val="00265711"/>
    <w:rsid w:val="00265981"/>
    <w:rsid w:val="00270CCB"/>
    <w:rsid w:val="00281B24"/>
    <w:rsid w:val="00284381"/>
    <w:rsid w:val="002856E8"/>
    <w:rsid w:val="00287D86"/>
    <w:rsid w:val="0029024E"/>
    <w:rsid w:val="0029478E"/>
    <w:rsid w:val="00295574"/>
    <w:rsid w:val="002A2D26"/>
    <w:rsid w:val="002B1265"/>
    <w:rsid w:val="002B2CFF"/>
    <w:rsid w:val="002C09D9"/>
    <w:rsid w:val="002C532A"/>
    <w:rsid w:val="002D0158"/>
    <w:rsid w:val="002D3184"/>
    <w:rsid w:val="002D63D5"/>
    <w:rsid w:val="002F7565"/>
    <w:rsid w:val="003063B4"/>
    <w:rsid w:val="00310D54"/>
    <w:rsid w:val="00315FDD"/>
    <w:rsid w:val="003244E5"/>
    <w:rsid w:val="0033395D"/>
    <w:rsid w:val="00356559"/>
    <w:rsid w:val="00361F85"/>
    <w:rsid w:val="003825F7"/>
    <w:rsid w:val="00395710"/>
    <w:rsid w:val="003A7E6F"/>
    <w:rsid w:val="003D3E9B"/>
    <w:rsid w:val="00400BC8"/>
    <w:rsid w:val="004019AC"/>
    <w:rsid w:val="00423969"/>
    <w:rsid w:val="00424F23"/>
    <w:rsid w:val="0044786A"/>
    <w:rsid w:val="0048002F"/>
    <w:rsid w:val="00480792"/>
    <w:rsid w:val="00484642"/>
    <w:rsid w:val="0049601E"/>
    <w:rsid w:val="004B2DCB"/>
    <w:rsid w:val="004B688A"/>
    <w:rsid w:val="004C2851"/>
    <w:rsid w:val="004F7B2A"/>
    <w:rsid w:val="005133E5"/>
    <w:rsid w:val="00523A54"/>
    <w:rsid w:val="00543D54"/>
    <w:rsid w:val="00577500"/>
    <w:rsid w:val="005824C7"/>
    <w:rsid w:val="00590603"/>
    <w:rsid w:val="005C4237"/>
    <w:rsid w:val="005D1F94"/>
    <w:rsid w:val="005E067F"/>
    <w:rsid w:val="005F6329"/>
    <w:rsid w:val="0060701B"/>
    <w:rsid w:val="0061027B"/>
    <w:rsid w:val="00612F65"/>
    <w:rsid w:val="0063488A"/>
    <w:rsid w:val="00655A7A"/>
    <w:rsid w:val="00667B08"/>
    <w:rsid w:val="00670364"/>
    <w:rsid w:val="00686E50"/>
    <w:rsid w:val="0068715F"/>
    <w:rsid w:val="00696B02"/>
    <w:rsid w:val="006B1DB5"/>
    <w:rsid w:val="006B46A5"/>
    <w:rsid w:val="006C00F1"/>
    <w:rsid w:val="006C2454"/>
    <w:rsid w:val="006F10F9"/>
    <w:rsid w:val="006F5593"/>
    <w:rsid w:val="007227AE"/>
    <w:rsid w:val="00724E28"/>
    <w:rsid w:val="00726956"/>
    <w:rsid w:val="00726AA8"/>
    <w:rsid w:val="00762659"/>
    <w:rsid w:val="00762EE1"/>
    <w:rsid w:val="00764DE9"/>
    <w:rsid w:val="007661EE"/>
    <w:rsid w:val="007664F3"/>
    <w:rsid w:val="007672E3"/>
    <w:rsid w:val="00772ED2"/>
    <w:rsid w:val="00783A72"/>
    <w:rsid w:val="00787316"/>
    <w:rsid w:val="00787320"/>
    <w:rsid w:val="007876D8"/>
    <w:rsid w:val="00791DDE"/>
    <w:rsid w:val="007970C1"/>
    <w:rsid w:val="007A1881"/>
    <w:rsid w:val="007B1EE1"/>
    <w:rsid w:val="007C1557"/>
    <w:rsid w:val="007C58BB"/>
    <w:rsid w:val="007C739C"/>
    <w:rsid w:val="007C770F"/>
    <w:rsid w:val="007E0439"/>
    <w:rsid w:val="007E0F97"/>
    <w:rsid w:val="007E4807"/>
    <w:rsid w:val="00802ADC"/>
    <w:rsid w:val="0083371E"/>
    <w:rsid w:val="00834163"/>
    <w:rsid w:val="0083671B"/>
    <w:rsid w:val="00841F8F"/>
    <w:rsid w:val="0084285E"/>
    <w:rsid w:val="00851F06"/>
    <w:rsid w:val="00872EAE"/>
    <w:rsid w:val="0088772B"/>
    <w:rsid w:val="00887F4B"/>
    <w:rsid w:val="008930BC"/>
    <w:rsid w:val="00893117"/>
    <w:rsid w:val="00893A1D"/>
    <w:rsid w:val="008A6DF4"/>
    <w:rsid w:val="008B6366"/>
    <w:rsid w:val="008C0D1A"/>
    <w:rsid w:val="008C43CF"/>
    <w:rsid w:val="008D4B1C"/>
    <w:rsid w:val="00902676"/>
    <w:rsid w:val="009104D2"/>
    <w:rsid w:val="009127DF"/>
    <w:rsid w:val="00931773"/>
    <w:rsid w:val="009333AD"/>
    <w:rsid w:val="009621CA"/>
    <w:rsid w:val="00963FB0"/>
    <w:rsid w:val="00977048"/>
    <w:rsid w:val="00990FF9"/>
    <w:rsid w:val="009975DC"/>
    <w:rsid w:val="009A0B4D"/>
    <w:rsid w:val="009A502D"/>
    <w:rsid w:val="009A6734"/>
    <w:rsid w:val="009C328D"/>
    <w:rsid w:val="009D415F"/>
    <w:rsid w:val="009E6791"/>
    <w:rsid w:val="00A07333"/>
    <w:rsid w:val="00A17364"/>
    <w:rsid w:val="00A24BF5"/>
    <w:rsid w:val="00A329B4"/>
    <w:rsid w:val="00A45233"/>
    <w:rsid w:val="00A529E4"/>
    <w:rsid w:val="00A60F21"/>
    <w:rsid w:val="00A7646C"/>
    <w:rsid w:val="00A778EC"/>
    <w:rsid w:val="00A900B1"/>
    <w:rsid w:val="00A91AFF"/>
    <w:rsid w:val="00AC58E0"/>
    <w:rsid w:val="00AE67F4"/>
    <w:rsid w:val="00AE74E9"/>
    <w:rsid w:val="00AF3158"/>
    <w:rsid w:val="00AF47A0"/>
    <w:rsid w:val="00B0059B"/>
    <w:rsid w:val="00B10F4F"/>
    <w:rsid w:val="00B40E23"/>
    <w:rsid w:val="00B46FEA"/>
    <w:rsid w:val="00B569D2"/>
    <w:rsid w:val="00B662B3"/>
    <w:rsid w:val="00B80AD6"/>
    <w:rsid w:val="00B86A7F"/>
    <w:rsid w:val="00B96475"/>
    <w:rsid w:val="00BA0C18"/>
    <w:rsid w:val="00BB7A81"/>
    <w:rsid w:val="00BB7BB3"/>
    <w:rsid w:val="00BD2B7D"/>
    <w:rsid w:val="00BD4B13"/>
    <w:rsid w:val="00BE2B2F"/>
    <w:rsid w:val="00C05C28"/>
    <w:rsid w:val="00C11A2C"/>
    <w:rsid w:val="00C24A1D"/>
    <w:rsid w:val="00C623DB"/>
    <w:rsid w:val="00C76AE9"/>
    <w:rsid w:val="00C85018"/>
    <w:rsid w:val="00C85501"/>
    <w:rsid w:val="00C945E4"/>
    <w:rsid w:val="00CA351D"/>
    <w:rsid w:val="00CA3908"/>
    <w:rsid w:val="00CA43EF"/>
    <w:rsid w:val="00CC1CD7"/>
    <w:rsid w:val="00CD32FF"/>
    <w:rsid w:val="00CD5FFA"/>
    <w:rsid w:val="00CE4568"/>
    <w:rsid w:val="00CF6823"/>
    <w:rsid w:val="00D049CB"/>
    <w:rsid w:val="00D05EC5"/>
    <w:rsid w:val="00D20AC1"/>
    <w:rsid w:val="00D23149"/>
    <w:rsid w:val="00D24688"/>
    <w:rsid w:val="00D3637C"/>
    <w:rsid w:val="00D573DE"/>
    <w:rsid w:val="00D826AC"/>
    <w:rsid w:val="00DB4D3A"/>
    <w:rsid w:val="00DC431F"/>
    <w:rsid w:val="00DE450D"/>
    <w:rsid w:val="00DE64ED"/>
    <w:rsid w:val="00DF3C6B"/>
    <w:rsid w:val="00DF3E81"/>
    <w:rsid w:val="00E069C0"/>
    <w:rsid w:val="00E113AC"/>
    <w:rsid w:val="00E12CFD"/>
    <w:rsid w:val="00E516FA"/>
    <w:rsid w:val="00E6183C"/>
    <w:rsid w:val="00E6477D"/>
    <w:rsid w:val="00E72266"/>
    <w:rsid w:val="00E77E63"/>
    <w:rsid w:val="00E80DA9"/>
    <w:rsid w:val="00E838AF"/>
    <w:rsid w:val="00E875F3"/>
    <w:rsid w:val="00EC243B"/>
    <w:rsid w:val="00EC4C2D"/>
    <w:rsid w:val="00ED2EFC"/>
    <w:rsid w:val="00ED35BA"/>
    <w:rsid w:val="00ED3B0E"/>
    <w:rsid w:val="00F01556"/>
    <w:rsid w:val="00F11540"/>
    <w:rsid w:val="00F14CC0"/>
    <w:rsid w:val="00F507E9"/>
    <w:rsid w:val="00F5625E"/>
    <w:rsid w:val="00F7460B"/>
    <w:rsid w:val="00F8468C"/>
    <w:rsid w:val="00F86369"/>
    <w:rsid w:val="00FA0FE5"/>
    <w:rsid w:val="00FA64E3"/>
    <w:rsid w:val="00FC5646"/>
    <w:rsid w:val="00FD0DFD"/>
    <w:rsid w:val="00FE4CD4"/>
    <w:rsid w:val="00FF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8715F"/>
    <w:pPr>
      <w:keepNext/>
      <w:spacing w:before="360" w:after="60"/>
      <w:outlineLvl w:val="0"/>
    </w:pPr>
    <w:rPr>
      <w:rFonts w:ascii="Arial" w:hAnsi="Arial" w:cs="Arial"/>
      <w:b/>
      <w:bCs/>
      <w:kern w:val="32"/>
      <w:sz w:val="32"/>
      <w:szCs w:val="32"/>
    </w:rPr>
  </w:style>
  <w:style w:type="paragraph" w:styleId="Heading2">
    <w:name w:val="heading 2"/>
    <w:basedOn w:val="Normal"/>
    <w:next w:val="Normal"/>
    <w:qFormat/>
    <w:rsid w:val="009C328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1F94"/>
    <w:pPr>
      <w:tabs>
        <w:tab w:val="center" w:pos="4320"/>
        <w:tab w:val="right" w:pos="8640"/>
      </w:tabs>
    </w:pPr>
  </w:style>
  <w:style w:type="paragraph" w:styleId="Footer">
    <w:name w:val="footer"/>
    <w:basedOn w:val="Normal"/>
    <w:rsid w:val="005D1F94"/>
    <w:pPr>
      <w:tabs>
        <w:tab w:val="center" w:pos="4320"/>
        <w:tab w:val="right" w:pos="8640"/>
      </w:tabs>
    </w:pPr>
  </w:style>
  <w:style w:type="character" w:styleId="PageNumber">
    <w:name w:val="page number"/>
    <w:basedOn w:val="DefaultParagraphFont"/>
    <w:rsid w:val="005D1F94"/>
  </w:style>
  <w:style w:type="table" w:styleId="TableGrid">
    <w:name w:val="Table Grid"/>
    <w:basedOn w:val="TableNormal"/>
    <w:uiPriority w:val="59"/>
    <w:rsid w:val="00270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75BAF"/>
    <w:rPr>
      <w:color w:val="0000FF"/>
      <w:u w:val="single"/>
    </w:rPr>
  </w:style>
  <w:style w:type="character" w:styleId="FollowedHyperlink">
    <w:name w:val="FollowedHyperlink"/>
    <w:basedOn w:val="DefaultParagraphFont"/>
    <w:rsid w:val="00150CF0"/>
    <w:rPr>
      <w:color w:val="800080"/>
      <w:u w:val="single"/>
    </w:rPr>
  </w:style>
  <w:style w:type="paragraph" w:customStyle="1" w:styleId="Body">
    <w:name w:val="Body"/>
    <w:basedOn w:val="Normal"/>
    <w:link w:val="BodyChar"/>
    <w:rsid w:val="00B662B3"/>
    <w:pPr>
      <w:spacing w:before="240" w:line="360" w:lineRule="auto"/>
    </w:pPr>
  </w:style>
  <w:style w:type="character" w:styleId="LineNumber">
    <w:name w:val="line number"/>
    <w:basedOn w:val="DefaultParagraphFont"/>
    <w:rsid w:val="00DB4D3A"/>
  </w:style>
  <w:style w:type="character" w:customStyle="1" w:styleId="Heading1Char">
    <w:name w:val="Heading 1 Char"/>
    <w:basedOn w:val="DefaultParagraphFont"/>
    <w:link w:val="Heading1"/>
    <w:rsid w:val="0018462D"/>
    <w:rPr>
      <w:rFonts w:ascii="Arial" w:hAnsi="Arial" w:cs="Arial"/>
      <w:b/>
      <w:bCs/>
      <w:kern w:val="32"/>
      <w:sz w:val="32"/>
      <w:szCs w:val="32"/>
      <w:lang w:val="en-US" w:eastAsia="en-US" w:bidi="ar-SA"/>
    </w:rPr>
  </w:style>
  <w:style w:type="paragraph" w:styleId="BalloonText">
    <w:name w:val="Balloon Text"/>
    <w:basedOn w:val="Normal"/>
    <w:link w:val="BalloonTextChar"/>
    <w:rsid w:val="00CC1CD7"/>
    <w:rPr>
      <w:rFonts w:ascii="Tahoma" w:hAnsi="Tahoma" w:cs="Tahoma"/>
      <w:sz w:val="16"/>
      <w:szCs w:val="16"/>
    </w:rPr>
  </w:style>
  <w:style w:type="character" w:customStyle="1" w:styleId="BalloonTextChar">
    <w:name w:val="Balloon Text Char"/>
    <w:basedOn w:val="DefaultParagraphFont"/>
    <w:link w:val="BalloonText"/>
    <w:rsid w:val="00CC1CD7"/>
    <w:rPr>
      <w:rFonts w:ascii="Tahoma" w:hAnsi="Tahoma" w:cs="Tahoma"/>
      <w:sz w:val="16"/>
      <w:szCs w:val="16"/>
    </w:rPr>
  </w:style>
  <w:style w:type="paragraph" w:customStyle="1" w:styleId="Body1">
    <w:name w:val="Body 1"/>
    <w:basedOn w:val="Body"/>
    <w:link w:val="Body1Char"/>
    <w:qFormat/>
    <w:rsid w:val="003A7E6F"/>
  </w:style>
  <w:style w:type="character" w:customStyle="1" w:styleId="BodyChar">
    <w:name w:val="Body Char"/>
    <w:basedOn w:val="DefaultParagraphFont"/>
    <w:link w:val="Body"/>
    <w:rsid w:val="003A7E6F"/>
    <w:rPr>
      <w:sz w:val="24"/>
      <w:szCs w:val="24"/>
    </w:rPr>
  </w:style>
  <w:style w:type="character" w:customStyle="1" w:styleId="Body1Char">
    <w:name w:val="Body 1 Char"/>
    <w:basedOn w:val="BodyChar"/>
    <w:link w:val="Body1"/>
    <w:rsid w:val="003A7E6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8715F"/>
    <w:pPr>
      <w:keepNext/>
      <w:spacing w:before="360" w:after="60"/>
      <w:outlineLvl w:val="0"/>
    </w:pPr>
    <w:rPr>
      <w:rFonts w:ascii="Arial" w:hAnsi="Arial" w:cs="Arial"/>
      <w:b/>
      <w:bCs/>
      <w:kern w:val="32"/>
      <w:sz w:val="32"/>
      <w:szCs w:val="32"/>
    </w:rPr>
  </w:style>
  <w:style w:type="paragraph" w:styleId="Heading2">
    <w:name w:val="heading 2"/>
    <w:basedOn w:val="Normal"/>
    <w:next w:val="Normal"/>
    <w:qFormat/>
    <w:rsid w:val="009C328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1F94"/>
    <w:pPr>
      <w:tabs>
        <w:tab w:val="center" w:pos="4320"/>
        <w:tab w:val="right" w:pos="8640"/>
      </w:tabs>
    </w:pPr>
  </w:style>
  <w:style w:type="paragraph" w:styleId="Footer">
    <w:name w:val="footer"/>
    <w:basedOn w:val="Normal"/>
    <w:rsid w:val="005D1F94"/>
    <w:pPr>
      <w:tabs>
        <w:tab w:val="center" w:pos="4320"/>
        <w:tab w:val="right" w:pos="8640"/>
      </w:tabs>
    </w:pPr>
  </w:style>
  <w:style w:type="character" w:styleId="PageNumber">
    <w:name w:val="page number"/>
    <w:basedOn w:val="DefaultParagraphFont"/>
    <w:rsid w:val="005D1F94"/>
  </w:style>
  <w:style w:type="table" w:styleId="TableGrid">
    <w:name w:val="Table Grid"/>
    <w:basedOn w:val="TableNormal"/>
    <w:uiPriority w:val="59"/>
    <w:rsid w:val="00270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75BAF"/>
    <w:rPr>
      <w:color w:val="0000FF"/>
      <w:u w:val="single"/>
    </w:rPr>
  </w:style>
  <w:style w:type="character" w:styleId="FollowedHyperlink">
    <w:name w:val="FollowedHyperlink"/>
    <w:basedOn w:val="DefaultParagraphFont"/>
    <w:rsid w:val="00150CF0"/>
    <w:rPr>
      <w:color w:val="800080"/>
      <w:u w:val="single"/>
    </w:rPr>
  </w:style>
  <w:style w:type="paragraph" w:customStyle="1" w:styleId="Body">
    <w:name w:val="Body"/>
    <w:basedOn w:val="Normal"/>
    <w:link w:val="BodyChar"/>
    <w:rsid w:val="00B662B3"/>
    <w:pPr>
      <w:spacing w:before="240" w:line="360" w:lineRule="auto"/>
    </w:pPr>
  </w:style>
  <w:style w:type="character" w:styleId="LineNumber">
    <w:name w:val="line number"/>
    <w:basedOn w:val="DefaultParagraphFont"/>
    <w:rsid w:val="00DB4D3A"/>
  </w:style>
  <w:style w:type="character" w:customStyle="1" w:styleId="Heading1Char">
    <w:name w:val="Heading 1 Char"/>
    <w:basedOn w:val="DefaultParagraphFont"/>
    <w:link w:val="Heading1"/>
    <w:rsid w:val="0018462D"/>
    <w:rPr>
      <w:rFonts w:ascii="Arial" w:hAnsi="Arial" w:cs="Arial"/>
      <w:b/>
      <w:bCs/>
      <w:kern w:val="32"/>
      <w:sz w:val="32"/>
      <w:szCs w:val="32"/>
      <w:lang w:val="en-US" w:eastAsia="en-US" w:bidi="ar-SA"/>
    </w:rPr>
  </w:style>
  <w:style w:type="paragraph" w:styleId="BalloonText">
    <w:name w:val="Balloon Text"/>
    <w:basedOn w:val="Normal"/>
    <w:link w:val="BalloonTextChar"/>
    <w:rsid w:val="00CC1CD7"/>
    <w:rPr>
      <w:rFonts w:ascii="Tahoma" w:hAnsi="Tahoma" w:cs="Tahoma"/>
      <w:sz w:val="16"/>
      <w:szCs w:val="16"/>
    </w:rPr>
  </w:style>
  <w:style w:type="character" w:customStyle="1" w:styleId="BalloonTextChar">
    <w:name w:val="Balloon Text Char"/>
    <w:basedOn w:val="DefaultParagraphFont"/>
    <w:link w:val="BalloonText"/>
    <w:rsid w:val="00CC1CD7"/>
    <w:rPr>
      <w:rFonts w:ascii="Tahoma" w:hAnsi="Tahoma" w:cs="Tahoma"/>
      <w:sz w:val="16"/>
      <w:szCs w:val="16"/>
    </w:rPr>
  </w:style>
  <w:style w:type="paragraph" w:customStyle="1" w:styleId="Body1">
    <w:name w:val="Body 1"/>
    <w:basedOn w:val="Body"/>
    <w:link w:val="Body1Char"/>
    <w:qFormat/>
    <w:rsid w:val="003A7E6F"/>
  </w:style>
  <w:style w:type="character" w:customStyle="1" w:styleId="BodyChar">
    <w:name w:val="Body Char"/>
    <w:basedOn w:val="DefaultParagraphFont"/>
    <w:link w:val="Body"/>
    <w:rsid w:val="003A7E6F"/>
    <w:rPr>
      <w:sz w:val="24"/>
      <w:szCs w:val="24"/>
    </w:rPr>
  </w:style>
  <w:style w:type="character" w:customStyle="1" w:styleId="Body1Char">
    <w:name w:val="Body 1 Char"/>
    <w:basedOn w:val="BodyChar"/>
    <w:link w:val="Body1"/>
    <w:rsid w:val="003A7E6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8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Debug and Width Parameterization</vt:lpstr>
    </vt:vector>
  </TitlesOfParts>
  <Company>Atomic Rules LLC</Company>
  <LinksUpToDate>false</LinksUpToDate>
  <CharactersWithSpaces>4678</CharactersWithSpaces>
  <SharedDoc>false</SharedDoc>
  <HyperlinkBase>www.atomicrules.com</HyperlinkBase>
  <HLinks>
    <vt:vector size="30" baseType="variant">
      <vt:variant>
        <vt:i4>917621</vt:i4>
      </vt:variant>
      <vt:variant>
        <vt:i4>12</vt:i4>
      </vt:variant>
      <vt:variant>
        <vt:i4>0</vt:i4>
      </vt:variant>
      <vt:variant>
        <vt:i4>5</vt:i4>
      </vt:variant>
      <vt:variant>
        <vt:lpwstr>http://www.xilinx.com/support/documentation/white_papers/wp350.pdf</vt:lpwstr>
      </vt:variant>
      <vt:variant>
        <vt:lpwstr/>
      </vt:variant>
      <vt:variant>
        <vt:i4>4259865</vt:i4>
      </vt:variant>
      <vt:variant>
        <vt:i4>9</vt:i4>
      </vt:variant>
      <vt:variant>
        <vt:i4>0</vt:i4>
      </vt:variant>
      <vt:variant>
        <vt:i4>5</vt:i4>
      </vt:variant>
      <vt:variant>
        <vt:lpwstr>http://www.xilinx.com/support/documentation/ip_documentation/pcie_blk_plus_ug341.pdf</vt:lpwstr>
      </vt:variant>
      <vt:variant>
        <vt:lpwstr/>
      </vt:variant>
      <vt:variant>
        <vt:i4>589938</vt:i4>
      </vt:variant>
      <vt:variant>
        <vt:i4>6</vt:i4>
      </vt:variant>
      <vt:variant>
        <vt:i4>0</vt:i4>
      </vt:variant>
      <vt:variant>
        <vt:i4>5</vt:i4>
      </vt:variant>
      <vt:variant>
        <vt:lpwstr>http://www.xilinx.com/support/documentation/user_guides/ug197.pdf</vt:lpwstr>
      </vt:variant>
      <vt:variant>
        <vt:lpwstr/>
      </vt:variant>
      <vt:variant>
        <vt:i4>589939</vt:i4>
      </vt:variant>
      <vt:variant>
        <vt:i4>3</vt:i4>
      </vt:variant>
      <vt:variant>
        <vt:i4>0</vt:i4>
      </vt:variant>
      <vt:variant>
        <vt:i4>5</vt:i4>
      </vt:variant>
      <vt:variant>
        <vt:lpwstr>http://www.xilinx.com/support/documentation/user_guides/ug196.pdf</vt:lpwstr>
      </vt:variant>
      <vt:variant>
        <vt:lpwstr/>
      </vt:variant>
      <vt:variant>
        <vt:i4>589941</vt:i4>
      </vt:variant>
      <vt:variant>
        <vt:i4>0</vt:i4>
      </vt:variant>
      <vt:variant>
        <vt:i4>0</vt:i4>
      </vt:variant>
      <vt:variant>
        <vt:i4>5</vt:i4>
      </vt:variant>
      <vt:variant>
        <vt:lpwstr>http://www.xilinx.com/support/documentation/user_guides/ug190.pdf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 and Width Parameterization</dc:title>
  <dc:creator>Shepard Siegel</dc:creator>
  <cp:keywords>Debug Width</cp:keywords>
  <cp:lastModifiedBy>shep</cp:lastModifiedBy>
  <cp:revision>18</cp:revision>
  <cp:lastPrinted>2008-10-01T13:38:00Z</cp:lastPrinted>
  <dcterms:created xsi:type="dcterms:W3CDTF">2011-12-15T19:15:00Z</dcterms:created>
  <dcterms:modified xsi:type="dcterms:W3CDTF">2011-12-15T20:44:00Z</dcterms:modified>
</cp:coreProperties>
</file>