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80"/>
            </w:pPr>
            <w:r/>
            <w:r>
              <w:rPr>
                <w:b/>
                <w:color w:val="FFFFFF"/>
                <w:sz w:val="54"/>
              </w:rPr>
              <w:t>DUAL-CORE OPTICAL MOTION TESTBED</w:t>
            </w:r>
          </w:p>
          <w:p>
            <w:pPr>
              <w:spacing w:after="80"/>
            </w:pPr>
            <w:r>
              <w:rPr>
                <w:b/>
                <w:color w:val="FFFFFF"/>
                <w:sz w:val="42"/>
              </w:rPr>
              <w:t>MECHANICAL PLATFORM &amp; INTERFACE PCB</w:t>
            </w:r>
          </w:p>
          <w:p>
            <w:pPr>
              <w:spacing w:after="80"/>
            </w:pPr>
            <w:r>
              <w:rPr>
                <w:b/>
                <w:color w:val="FFFFFF"/>
                <w:sz w:val="24"/>
              </w:rPr>
              <w:t>Rotary/translation hardware, differential encoder interface, STEP/DIR control, and physical verification</w:t>
            </w:r>
          </w:p>
          <w:p>
            <w:pPr>
              <w:spacing w:after="0"/>
            </w:pPr>
            <w:r>
              <w:rPr>
                <w:b w:val="0"/>
                <w:color w:val="FFFFFF"/>
                <w:sz w:val="20"/>
              </w:rPr>
              <w:t>Customer-facing technical report</w:t>
              <w:br/>
              <w:t>Revision 3.0 - 4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and electrical platform of the Dual-Core Optical Motion Testbed: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CF0A2C"/>
          <w:sz w:val="42"/>
        </w:rPr>
        <w:t>12. Document Control and Attribution</w:t>
      </w:r>
    </w:p>
    <w:p>
      <w:pPr>
        <w:pStyle w:val="BodyText"/>
        <w:spacing w:after="160"/>
      </w:pPr>
      <w:r>
        <w:rPr>
          <w:rFonts w:ascii="Arial" w:hAnsi="Arial"/>
          <w:color w:val="222222"/>
          <w:sz w:val="22"/>
        </w:rPr>
        <w:t>Herder Elektronische Systemen developed the mechanical platform architecture, encoder/STEP-DIR interface PCB, ground-reference strategy, system integration, verification workflow, and customer-facing technical documentation.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64"/>
        <w:gridCol w:w="5364"/>
      </w:tblGrid>
      <w:tr>
        <w:tc>
          <w:tcPr>
            <w:tcW w:type="dxa" w:w="2232"/>
            <w:vAlign w:val="center"/>
            <w:shd w:fill="222222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Release</w:t>
            </w:r>
          </w:p>
        </w:tc>
        <w:tc>
          <w:tcPr>
            <w:tcW w:type="dxa" w:w="8496"/>
            <w:vAlign w:val="center"/>
            <w:shd w:fill="FFFFFF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21"/>
              </w:rPr>
              <w:t>Customer-facing engineering report</w:t>
            </w:r>
          </w:p>
        </w:tc>
      </w:tr>
      <w:tr>
        <w:tc>
          <w:tcPr>
            <w:tcW w:type="dxa" w:w="2232"/>
            <w:vAlign w:val="center"/>
            <w:shd w:fill="222222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Revision</w:t>
            </w:r>
          </w:p>
        </w:tc>
        <w:tc>
          <w:tcPr>
            <w:tcW w:type="dxa" w:w="8496"/>
            <w:vAlign w:val="center"/>
            <w:shd w:fill="F1F2F4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21"/>
              </w:rPr>
              <w:t>3.0</w:t>
            </w:r>
          </w:p>
        </w:tc>
      </w:tr>
      <w:tr>
        <w:tc>
          <w:tcPr>
            <w:tcW w:type="dxa" w:w="2232"/>
            <w:vAlign w:val="center"/>
            <w:shd w:fill="222222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Issued</w:t>
            </w:r>
          </w:p>
        </w:tc>
        <w:tc>
          <w:tcPr>
            <w:tcW w:type="dxa" w:w="8496"/>
            <w:vAlign w:val="center"/>
            <w:shd w:fill="FFFFFF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21"/>
              </w:rPr>
              <w:t>2026-08-05</w:t>
            </w:r>
          </w:p>
        </w:tc>
      </w:tr>
      <w:tr>
        <w:tc>
          <w:tcPr>
            <w:tcW w:type="dxa" w:w="2232"/>
            <w:vAlign w:val="center"/>
            <w:shd w:fill="222222"/>
            <w:tcMar>
              <w:top w:w="115" w:type="dxa"/>
              <w:start w:w="150" w:type="dxa"/>
              <w:bottom w:w="115" w:type="dxa"/>
              <w:end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Change summary</w:t>
            </w:r>
          </w:p>
        </w:tc>
        <w:tc>
          <w:tcPr>
            <w:tcW w:type="dxa" w:w="8496"/>
            <w:vAlign w:val="center"/>
            <w:shd w:fill="F1F2F4"/>
            <w:tcMar>
              <w:top w:w="115" w:type="dxa"/>
              <w:start w:w="170" w:type="dxa"/>
              <w:bottom w:w="115" w:type="dxa"/>
              <w:end w:w="17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22222"/>
                <w:sz w:val="21"/>
              </w:rPr>
              <w:t>Reformatted the final-page release record into a compact document-control panel and corrected the bottom-page layout for reliable PDF viewing.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>
            <w:t>ENGINEERING REPORT  |  REV 3.0</w:t>
          </w:r>
          <w:r>
            <w:rPr>
              <w:rFonts w:ascii="Arial" w:hAnsi="Arial"/>
              <w:b/>
              <w:color w:val="555555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Dual-Core Optical Motion Testbed - Mechanical Platform &amp; Interface PCB</dc:title>
  <dc:subject>Customer-facing engineering report, revision 3.0</dc:subject>
  <dc:creator>python-docx</dc:creator>
  <cp:keywords/>
  <dc:description>Final-page document-control layout corrected.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