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ptos Display" w:hAnsi="Aptos Display"/>
          <w:b/>
          <w:color w:val="C8102E"/>
          <w:sz w:val="68"/>
        </w:rPr>
        <w:t>DUAL-CORE OPTICAL MOTION</w:t>
        <w:br/>
        <w:t>TESTBED</w:t>
      </w:r>
    </w:p>
    <w:p>
      <w:r>
        <w:rPr>
          <w:b/>
          <w:color w:val="252525"/>
          <w:sz w:val="44"/>
        </w:rPr>
        <w:t>FIRMWARE, HOST SOFTWARE &amp; RESULTS</w:t>
      </w:r>
    </w:p>
    <w:p>
      <w:pPr>
        <w:pStyle w:val="Subtitle"/>
        <w:spacing w:after="240"/>
      </w:pPr>
      <w:r>
        <w:t>STM32H747 MotionIPC, live telemetry, automated characterization, and measured operation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c>
          <w:tcPr>
            <w:tcW w:type="dxa" w:w="5184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5184"/>
            <w:shd w:fill="E9EB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Herder Elektronische Systemen</w:t>
            </w:r>
          </w:p>
        </w:tc>
      </w:tr>
      <w:tr>
        <w:tc>
          <w:tcPr>
            <w:tcW w:type="dxa" w:w="5184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Report scope</w:t>
            </w:r>
          </w:p>
        </w:tc>
        <w:tc>
          <w:tcPr>
            <w:tcW w:type="dxa" w:w="5184"/>
            <w:shd w:fill="E9EB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Dual-core firmware architecture, host GUI, telemetry integrity, test automation, and measured motion performance</w:t>
            </w:r>
          </w:p>
        </w:tc>
      </w:tr>
      <w:tr>
        <w:tc>
          <w:tcPr>
            <w:tcW w:type="dxa" w:w="5184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Evidence basis</w:t>
            </w:r>
          </w:p>
        </w:tc>
        <w:tc>
          <w:tcPr>
            <w:tcW w:type="dxa" w:w="5184"/>
            <w:shd w:fill="E9EB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Source code, engineering plots, project photographs, CAD/PCB artifacts, and recorded demonstrations</w:t>
            </w:r>
          </w:p>
        </w:tc>
      </w:tr>
      <w:tr>
        <w:tc>
          <w:tcPr>
            <w:tcW w:type="dxa" w:w="5184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Revision</w:t>
            </w:r>
          </w:p>
        </w:tc>
        <w:tc>
          <w:tcPr>
            <w:tcW w:type="dxa" w:w="5184"/>
            <w:shd w:fill="E9EB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4.0 - 5 August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5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C8102E"/>
              </w:rPr>
              <w:t>DOCUMENT PURPOSE</w:t>
              <w:br/>
            </w:r>
            <w:r>
              <w:t>This report documents the software-controlled testbed: target-side motion control, dual-core interprocessor communication, operator software, data products, safeguards, and measured behavior. Hardware and PCB implementation are intentionally contained in the companion platform report.</w:t>
            </w:r>
          </w:p>
        </w:tc>
      </w:tr>
    </w:tbl>
    <w:p>
      <w:r>
        <w:br w:type="page"/>
      </w:r>
    </w:p>
    <w:p>
      <w:pPr>
        <w:pStyle w:val="Heading1"/>
      </w:pPr>
      <w:r>
        <w:t>1. System Role and Delivered Capability</w:t>
      </w:r>
    </w:p>
    <w:p>
      <w:r>
        <w:t>The system combines a dual-core STM32H747 target with a host application that commands motion, displays live encoder and speed telemetry, executes repeatable tests, and writes analysis-ready records. The public evidence package separates control-plane messaging from high-rate motion-data movement and preserves the distinction between demonstrated behavior and recommended release actions.</w:t>
      </w:r>
    </w:p>
    <w:p>
      <w:pPr>
        <w:pStyle w:val="ListBullet"/>
      </w:pPr>
      <w:r>
        <w:t>Cortex-M7 and Cortex-M4 workloads connected through OpenAMP/RPMsg and a custom AXI-SRAM shared ring.</w:t>
      </w:r>
    </w:p>
    <w:p>
      <w:pPr>
        <w:pStyle w:val="ListBullet"/>
      </w:pPr>
      <w:r>
        <w:t>Live host console for connection, scripted test selection, telemetry plots, CSV logging, and metadata capture.</w:t>
      </w:r>
    </w:p>
    <w:p>
      <w:pPr>
        <w:pStyle w:val="ListBullet"/>
      </w:pPr>
      <w:r>
        <w:t>Measured low-speed tracking, constant-speed error, step response, and closed-loop frequency-response evidence.</w:t>
      </w:r>
    </w:p>
    <w:p>
      <w:pPr>
        <w:pStyle w:val="ListBullet"/>
      </w:pPr>
      <w:r>
        <w:t>Fault, heartbeat, sequence-gap, dropped-record, and ring-status observability.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440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1. Live host telemetry console during an automated characterization sequence.</w:t>
      </w:r>
    </w:p>
    <w:p>
      <w:r>
        <w:br w:type="page"/>
      </w:r>
    </w:p>
    <w:p>
      <w:pPr>
        <w:pStyle w:val="Heading1"/>
      </w:pPr>
      <w:r>
        <w:t>2. Dual-Core Firmware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310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core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0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2. Dual-core architecture with physically separated control-message and shared-ring paths.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Verified role</w:t>
            </w:r>
          </w:p>
        </w:tc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Representative parameter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OpenAMP / RPMsg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Low-rate command and status coordination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44-byte application message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AXI-SRAM ring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High-rate aligned motion records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64-byte records; 4,096 nominal entries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M7 producer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Motion sequencing and sample publication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 Hz sample production in the reviewed package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M4 consumer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Bounded service and accounting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Up to 128 records per service burst</w:t>
            </w:r>
          </w:p>
        </w:tc>
      </w:tr>
    </w:tbl>
    <w:p>
      <w:r>
        <w:br w:type="page"/>
      </w:r>
    </w:p>
    <w:p>
      <w:pPr>
        <w:pStyle w:val="Heading1"/>
      </w:pPr>
      <w:r>
        <w:t>3. Shared Memory, Timing, and Integrity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3. MotionIPC shared-memory allocation and the engineering review finding on nominal ring capacity.</w:t>
      </w:r>
    </w:p>
    <w:p>
      <w:pPr>
        <w:pStyle w:val="ListBullet"/>
      </w:pPr>
      <w:r>
        <w:t>OpenAMP resources occupy D3 SRAM while the custom producer/consumer ring is allocated in AXI SRAM.</w:t>
      </w:r>
    </w:p>
    <w:p>
      <w:pPr>
        <w:pStyle w:val="ListBullet"/>
      </w:pPr>
      <w:r>
        <w:t>Records are aligned to cache-line boundaries and include sequence, overflow, and heartbeat information.</w:t>
      </w:r>
    </w:p>
    <w:p>
      <w:pPr>
        <w:pStyle w:val="ListBullet"/>
      </w:pPr>
      <w:r>
        <w:t>Engineering review identified that 4,096 records plus metadata exceed a 256 KiB allocation by approximately one record; release should use 4,095 entries or enlarge the reserved region.</w:t>
      </w:r>
    </w:p>
    <w:p>
      <w:pPr>
        <w:pStyle w:val="ListBullet"/>
      </w:pPr>
      <w:r>
        <w:t>The target reports independent heartbeat and fault state so host-side silence is distinguishable from target-side failure.</w:t>
      </w:r>
    </w:p>
    <w:p>
      <w:r>
        <w:br w:type="page"/>
      </w:r>
    </w:p>
    <w:p>
      <w:pPr>
        <w:pStyle w:val="Heading1"/>
      </w:pPr>
      <w:r>
        <w:t>4. Host Application and Test Workflow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4401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4. Host console view showing live position, commanded/measured speed, and raw encoder increments.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Workflow stage</w:t>
            </w:r>
          </w:p>
        </w:tc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Operator action</w:t>
            </w:r>
          </w:p>
        </w:tc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Recorded output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Connect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Select serial port and baud rate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Target identity and connection state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Select firmware and test definition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Run metadata and configuration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Execute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Start automated sequence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Live plots and telemetry rows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Review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Open generated outputs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CSV, figures, logs, and summary metrics</w:t>
            </w:r>
          </w:p>
        </w:tc>
      </w:tr>
    </w:tbl>
    <w:p>
      <w:r>
        <w:br w:type="page"/>
      </w:r>
    </w:p>
    <w:p>
      <w:pPr>
        <w:pStyle w:val="Heading1"/>
      </w:pPr>
      <w:r>
        <w:t>5. Low-Speed Tracking Results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5. Speed-tracking summary showing the usable ultra-slow range and high-speed ceiling.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Commanded speed (deg/s)</w:t>
            </w:r>
          </w:p>
        </w:tc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Measured speed (deg/s)</w:t>
            </w:r>
          </w:p>
        </w:tc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0.002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0.001818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Trackable near the lower practical limit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0.003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0.003214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Best agreement region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0.005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0.004676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Strong low-speed tracking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0.010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0.008378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Usable with increasing bias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0.050-0.100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~0.016 plateau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Configuration-limited ceiling</w:t>
            </w:r>
          </w:p>
        </w:tc>
      </w:tr>
    </w:tbl>
    <w:p>
      <w:r>
        <w:br w:type="page"/>
      </w:r>
    </w:p>
    <w:p>
      <w:pPr>
        <w:pStyle w:val="Heading1"/>
      </w:pPr>
      <w:r>
        <w:t>6. Constant-Speed and Step-Response Characterization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43051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05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6. Extended constant-speed tracking and Allan-style stability summary.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45845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8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7. Step-response metrics for RMS following error, worst following error, gain, and position-area measures.</w:t>
      </w:r>
    </w:p>
    <w:p>
      <w:r>
        <w:br w:type="page"/>
      </w:r>
    </w:p>
    <w:p>
      <w:pPr>
        <w:pStyle w:val="Heading1"/>
      </w:pPr>
      <w:r>
        <w:t>7. Closed-Loop Frequency Response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45116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11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8. Closed-loop response estimate across the tested 0.33-2 Hz range.</w:t>
      </w:r>
    </w:p>
    <w:p>
      <w:r>
        <w:t>The available evidence supports reporting response across the tested frequencies. It does not, by itself, establish a formal -3 dB bandwidth because the plotted data do not demonstrate a complete crossing with sufficient surrounding points.</w:t>
      </w:r>
    </w:p>
    <w:p>
      <w:r>
        <w:br w:type="page"/>
      </w:r>
    </w:p>
    <w:p>
      <w:pPr>
        <w:pStyle w:val="Heading1"/>
      </w:pPr>
      <w:r>
        <w:t>8. Safety, Reliability, and Release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Implemented behavior</w:t>
            </w:r>
          </w:p>
        </w:tc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Release consideration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Host heartbeat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Periodic host presence message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Target deadman should remain enabled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Pulse-rate cap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25,000 pulses/s maximum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Verify against final drivetrain and driver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Backlog bound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Maximum 25 pulses emitted per loop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Prevents unlimited catch-up bursts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Telemetry limits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Selectable 10/20/50/100 Hz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Full ASCII rows may constrain sustainable rate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Fault accounting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Sequence gaps, drops, heartbeat, fault counters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Expose in final operator status panel</w:t>
            </w:r>
          </w:p>
        </w:tc>
      </w:tr>
    </w:tbl>
    <w:p>
      <w:r>
        <w:t>At 115,200 baud, full 24-field ASCII telemetry rows cannot be assumed to sustain 100 Hz under all conditions. The configured option should be treated separately from demonstrated end-to-end serial throughput; 50-60 Hz is a more realistic full-row operating range without a binary protocol or higher link rate.</w:t>
      </w:r>
    </w:p>
    <w:p>
      <w:r>
        <w:br w:type="page"/>
      </w:r>
    </w:p>
    <w:p>
      <w:pPr>
        <w:pStyle w:val="Heading1"/>
      </w:pPr>
      <w:r>
        <w:t>9. Limitations and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84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Controlled statement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Prototype maturity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formal shock, vibration, thermal, EMC, or long-duration certification is claimed.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MotionIPC package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Reviewed v0.1 sample producer is 100 Hz and should not be represented as the final integrated motor-control workload without the corresponding integrated revision.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Bandwidth claim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Tested response is reported; formal bandwidth is not claimed.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Release package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Preserve tagged source, host build, test definitions, and representative datasets together.</w:t>
            </w:r>
          </w:p>
        </w:tc>
      </w:tr>
    </w:tbl>
    <w:p>
      <w:pPr>
        <w:pStyle w:val="Heading2"/>
      </w:pPr>
      <w:r>
        <w:t>Attribution</w:t>
      </w:r>
    </w:p>
    <w:p>
      <w:r>
        <w:t>Herder Elektronische Systemen developed the public-facing engineering package and documents the dual-core firmware integration, host software, test workflows, and measured evidence represented here. No third-party affiliation or endorsement is claimed.</w:t>
      </w:r>
    </w:p>
    <w:p>
      <w:pPr>
        <w:pStyle w:val="Heading2"/>
      </w:pPr>
      <w:r>
        <w:t>Revision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Revision</w:t>
            </w:r>
          </w:p>
        </w:tc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456"/>
            <w:shd w:fill="C810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4.0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2026-08-05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Rebuilt from scratch with restored GUI, architecture, and measured-result imagery; removed inherited layout defects and preserved evidence boundaries.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Dual-Core Optical Motion Testbed  |  Customer-facing engineering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C8102E"/>
        <w:sz w:val="16"/>
      </w:rPr>
      <w:t>HERDER ELEKTRONISCHE SYSTEMEN   |   ENGINEERING REPORT   |   REV 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810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525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C8102E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