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C8102E"/>
            <w:tcMar>
              <w:top w:w="620" w:type="dxa"/>
              <w:start w:w="400" w:type="dxa"/>
              <w:bottom w:w="620" w:type="dxa"/>
              <w:end w:w="400" w:type="dxa"/>
            </w:tcMar>
          </w:tcPr>
          <w:p>
            <w:pPr>
              <w:spacing w:after="360"/>
            </w:pPr>
            <w:r/>
            <w:r>
              <w:rPr>
                <w:rFonts w:ascii="Arial" w:hAnsi="Arial"/>
                <w:b/>
                <w:color w:val="FFFFFF"/>
                <w:sz w:val="54"/>
              </w:rPr>
              <w:t>DUAL-CORE FIRMWARE &amp; HOST SOFTWARE</w:t>
            </w:r>
          </w:p>
          <w:p>
            <w:pPr>
              <w:spacing w:after="360"/>
            </w:pPr>
            <w:r>
              <w:rPr>
                <w:rFonts w:ascii="Arial" w:hAnsi="Arial"/>
                <w:b/>
                <w:color w:val="FFFFFF"/>
                <w:sz w:val="30"/>
              </w:rPr>
              <w:t>STM32H747 MotionIPC Architecture, Telemetry, and Characterization</w:t>
            </w:r>
          </w:p>
          <w:p>
            <w:r>
              <w:rPr>
                <w:rFonts w:ascii="Arial" w:hAnsi="Arial"/>
                <w:color w:val="FFFFFF"/>
                <w:sz w:val="20"/>
              </w:rPr>
              <w:t>Customer-facing technical report</w:t>
              <w:br/>
              <w:t>Revision 2.2 • 3 August 2026</w:t>
            </w:r>
          </w:p>
        </w:tc>
      </w:tr>
    </w:tbl>
    <w:tbl>
      <w:tblPr>
        <w:tblW w:type="auto" w:w="0"/>
        <w:jc w:val="center"/>
        <w:tblLayout w:type="fixed"/>
        <w:tblLook w:firstColumn="1" w:firstRow="1" w:lastColumn="0" w:lastRow="0" w:noHBand="0" w:noVBand="1" w:val="04A0"/>
      </w:tblPr>
      <w:tblGrid>
        <w:gridCol w:w="2592"/>
        <w:gridCol w:w="7200"/>
      </w:tblGrid>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Prepared by</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Herder Elektronische Systemen</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Primary subject</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STM32H747 dual-core firmware, inter-core communications, and host software</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Evidence basis</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MotionIPC source package, motion firmware, GUI video, logs, slides, plots, and technical reports</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Distribution</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Customer-facing; selected public source excerpts included; complete development archives excluded</w:t>
            </w:r>
          </w:p>
        </w:tc>
      </w:tr>
    </w:tbl>
    <w:tbl>
      <w:tblPr>
        <w:tblW w:type="auto" w:w="0"/>
        <w:jc w:val="center"/>
        <w:tblLayout w:type="fixed"/>
        <w:tblLook w:firstColumn="1" w:firstRow="1" w:lastColumn="0" w:lastRow="0" w:noHBand="0" w:noVBand="1" w:val="04A0"/>
      </w:tblPr>
      <w:tblGrid>
        <w:gridCol w:w="9504"/>
      </w:tblGrid>
      <w:tr>
        <w:tc>
          <w:tcPr>
            <w:tcW w:type="dxa" w:w="10080"/>
            <w:shd w:fill="F3F4F6"/>
            <w:tcMar>
              <w:top w:w="150" w:type="dxa"/>
              <w:start w:w="180" w:type="dxa"/>
              <w:bottom w:w="150" w:type="dxa"/>
              <w:end w:w="180" w:type="dxa"/>
            </w:tcMar>
          </w:tcPr>
          <w:p>
            <w:pPr>
              <w:spacing w:after="60"/>
            </w:pPr>
            <w:r/>
            <w:r>
              <w:rPr>
                <w:rFonts w:ascii="Arial" w:hAnsi="Arial"/>
                <w:b/>
                <w:color w:val="C8102E"/>
                <w:sz w:val="17"/>
              </w:rPr>
              <w:t>DOCUMENT EMPHASIS</w:t>
            </w:r>
          </w:p>
          <w:p>
            <w:pPr>
              <w:spacing w:after="0"/>
            </w:pPr>
            <w:r>
              <w:rPr>
                <w:rFonts w:ascii="Arial" w:hAnsi="Arial"/>
                <w:color w:val="222222"/>
                <w:sz w:val="19"/>
              </w:rPr>
              <w:t>This revision makes the dual-core firmware architecture the primary engineering result. Mechanical and test-platform material is included only where it explains the target workload or validates the software stack.</w:t>
            </w:r>
          </w:p>
        </w:tc>
      </w:tr>
    </w:tbl>
    <w:p>
      <w:pPr>
        <w:spacing w:after="0"/>
      </w:pPr>
    </w:p>
    <w:p>
      <w:r>
        <w:br w:type="page"/>
      </w:r>
    </w:p>
    <w:p>
      <w:pPr>
        <w:pStyle w:val="Heading1"/>
      </w:pPr>
      <w:r>
        <w:t>1. Executive Summary</w:t>
      </w:r>
    </w:p>
    <w:p>
      <w:pPr>
        <w:pStyle w:val="BodyText"/>
      </w:pPr>
      <w:r>
        <w:t>The system uses an STM32H747 heterogeneous dual-core microcontroller to separate high-rate motion data movement from low-rate control and coordination. A 400 MHz Cortex-M7 acts as the OpenAMP master and shared-ring producer; a 200 MHz Cortex-M4 acts as the OpenAMP remote and shared-ring consumer. The design combines RPMsg control messages with a custom AXI-SRAM ring buffer so motion records do not compete with command, heartbeat, fault, and status traffic.</w:t>
      </w:r>
    </w:p>
    <w:p>
      <w:pPr>
        <w:keepNext/>
        <w:jc w:val="center"/>
      </w:pPr>
      <w:r>
        <w:drawing>
          <wp:inline xmlns:a="http://schemas.openxmlformats.org/drawingml/2006/main" xmlns:pic="http://schemas.openxmlformats.org/drawingml/2006/picture">
            <wp:extent cx="6035040" cy="3560674"/>
            <wp:docPr id="1" name="Picture 1"/>
            <wp:cNvGraphicFramePr>
              <a:graphicFrameLocks noChangeAspect="1"/>
            </wp:cNvGraphicFramePr>
            <a:graphic>
              <a:graphicData uri="http://schemas.openxmlformats.org/drawingml/2006/picture">
                <pic:pic>
                  <pic:nvPicPr>
                    <pic:cNvPr id="0" name="dual_core_architecture.png"/>
                    <pic:cNvPicPr/>
                  </pic:nvPicPr>
                  <pic:blipFill>
                    <a:blip r:embed="rId11"/>
                    <a:stretch>
                      <a:fillRect/>
                    </a:stretch>
                  </pic:blipFill>
                  <pic:spPr>
                    <a:xfrm>
                      <a:off x="0" y="0"/>
                      <a:ext cx="6035040" cy="3560674"/>
                    </a:xfrm>
                    <a:prstGeom prst="rect"/>
                  </pic:spPr>
                </pic:pic>
              </a:graphicData>
            </a:graphic>
          </wp:inline>
        </w:drawing>
      </w:r>
    </w:p>
    <w:p>
      <w:pPr>
        <w:spacing w:after="120"/>
        <w:jc w:val="center"/>
      </w:pPr>
      <w:r>
        <w:rPr>
          <w:rFonts w:ascii="Arial" w:hAnsi="Arial"/>
          <w:i/>
          <w:color w:val="555555"/>
          <w:sz w:val="16"/>
        </w:rPr>
        <w:t>Figure 1. Dual-core architecture: OpenAMP/RPMsg control plane and AXI-SRAM high-rate data plane.</w:t>
      </w:r>
    </w:p>
    <w:tbl>
      <w:tblPr>
        <w:tblW w:type="auto" w:w="0"/>
        <w:jc w:val="center"/>
        <w:tblLayout w:type="fixed"/>
        <w:tblLook w:firstColumn="1" w:firstRow="1" w:lastColumn="0" w:lastRow="0" w:noHBand="0" w:noVBand="1" w:val="04A0"/>
      </w:tblPr>
      <w:tblGrid>
        <w:gridCol w:w="9504"/>
      </w:tblGrid>
      <w:tr>
        <w:tc>
          <w:tcPr>
            <w:tcW w:type="dxa" w:w="10080"/>
            <w:shd w:fill="FCE8EC"/>
            <w:tcMar>
              <w:top w:w="150" w:type="dxa"/>
              <w:start w:w="180" w:type="dxa"/>
              <w:bottom w:w="150" w:type="dxa"/>
              <w:end w:w="180" w:type="dxa"/>
            </w:tcMar>
          </w:tcPr>
          <w:p>
            <w:pPr>
              <w:spacing w:after="60"/>
            </w:pPr>
            <w:r/>
            <w:r>
              <w:rPr>
                <w:rFonts w:ascii="Arial" w:hAnsi="Arial"/>
                <w:b/>
                <w:color w:val="C8102E"/>
                <w:sz w:val="17"/>
              </w:rPr>
              <w:t>KEY ENGINEERING RESULT</w:t>
            </w:r>
          </w:p>
          <w:p>
            <w:pPr>
              <w:spacing w:after="0"/>
            </w:pPr>
            <w:r>
              <w:rPr>
                <w:rFonts w:ascii="Arial" w:hAnsi="Arial"/>
                <w:color w:val="222222"/>
                <w:sz w:val="19"/>
              </w:rPr>
              <w:t>The firmware is not a single-core application placed on a dual-core board. It defines explicit ownership, memory regions, protocol messages, producer/consumer synchronization, cache behavior, sequence accounting, and per-core health reporting.</w:t>
            </w:r>
          </w:p>
        </w:tc>
      </w:tr>
    </w:tbl>
    <w:p>
      <w:pPr>
        <w:spacing w:after="0"/>
      </w:pPr>
    </w:p>
    <w:p>
      <w:pPr>
        <w:pStyle w:val="Heading1"/>
      </w:pPr>
      <w:r>
        <w:t>2. Verified Architecture Specifications</w:t>
      </w:r>
    </w:p>
    <w:p>
      <w:pPr>
        <w:keepNext/>
        <w:jc w:val="center"/>
      </w:pPr>
      <w:r>
        <w:drawing>
          <wp:inline xmlns:a="http://schemas.openxmlformats.org/drawingml/2006/main" xmlns:pic="http://schemas.openxmlformats.org/drawingml/2006/picture">
            <wp:extent cx="6035040" cy="3168396"/>
            <wp:docPr id="2" name="Picture 2"/>
            <wp:cNvGraphicFramePr>
              <a:graphicFrameLocks noChangeAspect="1"/>
            </wp:cNvGraphicFramePr>
            <a:graphic>
              <a:graphicData uri="http://schemas.openxmlformats.org/drawingml/2006/picture">
                <pic:pic>
                  <pic:nvPicPr>
                    <pic:cNvPr id="0" name="dual_core_metrics.png"/>
                    <pic:cNvPicPr/>
                  </pic:nvPicPr>
                  <pic:blipFill>
                    <a:blip r:embed="rId12"/>
                    <a:stretch>
                      <a:fillRect/>
                    </a:stretch>
                  </pic:blipFill>
                  <pic:spPr>
                    <a:xfrm>
                      <a:off x="0" y="0"/>
                      <a:ext cx="6035040" cy="3168396"/>
                    </a:xfrm>
                    <a:prstGeom prst="rect"/>
                  </pic:spPr>
                </pic:pic>
              </a:graphicData>
            </a:graphic>
          </wp:inline>
        </w:drawing>
      </w:r>
    </w:p>
    <w:p>
      <w:pPr>
        <w:spacing w:after="120"/>
        <w:jc w:val="center"/>
      </w:pPr>
      <w:r>
        <w:rPr>
          <w:rFonts w:ascii="Arial" w:hAnsi="Arial"/>
          <w:i/>
          <w:color w:val="555555"/>
          <w:sz w:val="16"/>
        </w:rPr>
        <w:t>Figure 2. Source-verified processor, IPC, buffering, and service-cadence specifications.</w:t>
      </w:r>
    </w:p>
    <w:tbl>
      <w:tblPr>
        <w:tblW w:type="auto" w:w="0"/>
        <w:jc w:val="center"/>
        <w:tblLayout w:type="fixed"/>
        <w:tblLook w:firstColumn="1" w:firstRow="1" w:lastColumn="0" w:lastRow="0" w:noHBand="0" w:noVBand="1" w:val="04A0"/>
      </w:tblPr>
      <w:tblGrid>
        <w:gridCol w:w="2232"/>
        <w:gridCol w:w="7560"/>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7"/>
              </w:rPr>
              <w:t>Item</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7"/>
              </w:rPr>
              <w:t>Verified implementation</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7"/>
              </w:rPr>
              <w:t>Processor</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7"/>
              </w:rPr>
              <w:t>STM32H747: 400 MHz Cortex-M7 + 200 MHz Cortex-M4</w:t>
            </w:r>
          </w:p>
        </w:tc>
      </w:tr>
      <w:tr>
        <w:tc>
          <w:tcPr>
            <w:tcW w:type="dxa" w:w="2232"/>
            <w:vAlign w:val="center"/>
            <w:tcMar>
              <w:top w:w="90" w:type="dxa"/>
              <w:start w:w="110" w:type="dxa"/>
              <w:bottom w:w="90" w:type="dxa"/>
              <w:end w:w="110" w:type="dxa"/>
            </w:tcMar>
            <w:shd w:fill="F3F4F6"/>
          </w:tcPr>
          <w:p>
            <w:pPr>
              <w:spacing w:after="0"/>
              <w:jc w:val="center"/>
            </w:pPr>
            <w:r/>
            <w:r>
              <w:rPr>
                <w:rFonts w:ascii="Arial" w:hAnsi="Arial"/>
                <w:b w:val="0"/>
                <w:color w:val="222222"/>
                <w:sz w:val="17"/>
              </w:rPr>
              <w:t>Control IPC</w:t>
            </w:r>
          </w:p>
        </w:tc>
        <w:tc>
          <w:tcPr>
            <w:tcW w:type="dxa" w:w="7560"/>
            <w:vAlign w:val="center"/>
            <w:tcMar>
              <w:top w:w="90" w:type="dxa"/>
              <w:start w:w="110" w:type="dxa"/>
              <w:bottom w:w="90" w:type="dxa"/>
              <w:end w:w="110" w:type="dxa"/>
            </w:tcMar>
            <w:shd w:fill="F3F4F6"/>
          </w:tcPr>
          <w:p>
            <w:pPr>
              <w:spacing w:after="0"/>
              <w:jc w:val="left"/>
            </w:pPr>
            <w:r/>
            <w:r>
              <w:rPr>
                <w:rFonts w:ascii="Arial" w:hAnsi="Arial"/>
                <w:b w:val="0"/>
                <w:color w:val="222222"/>
                <w:sz w:val="17"/>
              </w:rPr>
              <w:t>OpenAMP/RPMsg service named motion_ipc</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7"/>
              </w:rPr>
              <w:t>High-rate IPC</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7"/>
              </w:rPr>
              <w:t>Custom producer/consumer ring in AXI SRAM</w:t>
            </w:r>
          </w:p>
        </w:tc>
      </w:tr>
      <w:tr>
        <w:tc>
          <w:tcPr>
            <w:tcW w:type="dxa" w:w="2232"/>
            <w:vAlign w:val="center"/>
            <w:tcMar>
              <w:top w:w="90" w:type="dxa"/>
              <w:start w:w="110" w:type="dxa"/>
              <w:bottom w:w="90" w:type="dxa"/>
              <w:end w:w="110" w:type="dxa"/>
            </w:tcMar>
            <w:shd w:fill="F3F4F6"/>
          </w:tcPr>
          <w:p>
            <w:pPr>
              <w:spacing w:after="0"/>
              <w:jc w:val="center"/>
            </w:pPr>
            <w:r/>
            <w:r>
              <w:rPr>
                <w:rFonts w:ascii="Arial" w:hAnsi="Arial"/>
                <w:b w:val="0"/>
                <w:color w:val="222222"/>
                <w:sz w:val="17"/>
              </w:rPr>
              <w:t>Motion record</w:t>
            </w:r>
          </w:p>
        </w:tc>
        <w:tc>
          <w:tcPr>
            <w:tcW w:type="dxa" w:w="7560"/>
            <w:vAlign w:val="center"/>
            <w:tcMar>
              <w:top w:w="90" w:type="dxa"/>
              <w:start w:w="110" w:type="dxa"/>
              <w:bottom w:w="90" w:type="dxa"/>
              <w:end w:w="110" w:type="dxa"/>
            </w:tcMar>
            <w:shd w:fill="F3F4F6"/>
          </w:tcPr>
          <w:p>
            <w:pPr>
              <w:spacing w:after="0"/>
              <w:jc w:val="left"/>
            </w:pPr>
            <w:r/>
            <w:r>
              <w:rPr>
                <w:rFonts w:ascii="Arial" w:hAnsi="Arial"/>
                <w:b w:val="0"/>
                <w:color w:val="222222"/>
                <w:sz w:val="17"/>
              </w:rPr>
              <w:t>64-byte, 32-byte-aligned MotionRawSample</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7"/>
              </w:rPr>
              <w:t>Application message</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7"/>
              </w:rPr>
              <w:t>44-byte MotionIpcMessage with 8 × 32-bit arguments</w:t>
            </w:r>
          </w:p>
        </w:tc>
      </w:tr>
      <w:tr>
        <w:tc>
          <w:tcPr>
            <w:tcW w:type="dxa" w:w="2232"/>
            <w:vAlign w:val="center"/>
            <w:tcMar>
              <w:top w:w="90" w:type="dxa"/>
              <w:start w:w="110" w:type="dxa"/>
              <w:bottom w:w="90" w:type="dxa"/>
              <w:end w:w="110" w:type="dxa"/>
            </w:tcMar>
            <w:shd w:fill="F3F4F6"/>
          </w:tcPr>
          <w:p>
            <w:pPr>
              <w:spacing w:after="0"/>
              <w:jc w:val="center"/>
            </w:pPr>
            <w:r/>
            <w:r>
              <w:rPr>
                <w:rFonts w:ascii="Arial" w:hAnsi="Arial"/>
                <w:b w:val="0"/>
                <w:color w:val="222222"/>
                <w:sz w:val="17"/>
              </w:rPr>
              <w:t>Production rate</w:t>
            </w:r>
          </w:p>
        </w:tc>
        <w:tc>
          <w:tcPr>
            <w:tcW w:type="dxa" w:w="7560"/>
            <w:vAlign w:val="center"/>
            <w:tcMar>
              <w:top w:w="90" w:type="dxa"/>
              <w:start w:w="110" w:type="dxa"/>
              <w:bottom w:w="90" w:type="dxa"/>
              <w:end w:w="110" w:type="dxa"/>
            </w:tcMar>
            <w:shd w:fill="F3F4F6"/>
          </w:tcPr>
          <w:p>
            <w:pPr>
              <w:spacing w:after="0"/>
              <w:jc w:val="left"/>
            </w:pPr>
            <w:r/>
            <w:r>
              <w:rPr>
                <w:rFonts w:ascii="Arial" w:hAnsi="Arial"/>
                <w:b w:val="0"/>
                <w:color w:val="222222"/>
                <w:sz w:val="17"/>
              </w:rPr>
              <w:t>100 Hz in the supplied MotionIPC integration revision</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7"/>
              </w:rPr>
              <w:t>Ring allocation</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7"/>
              </w:rPr>
              <w:t>256 KiB at 0x24000000</w:t>
            </w:r>
          </w:p>
        </w:tc>
      </w:tr>
      <w:tr>
        <w:tc>
          <w:tcPr>
            <w:tcW w:type="dxa" w:w="2232"/>
            <w:vAlign w:val="center"/>
            <w:tcMar>
              <w:top w:w="90" w:type="dxa"/>
              <w:start w:w="110" w:type="dxa"/>
              <w:bottom w:w="90" w:type="dxa"/>
              <w:end w:w="110" w:type="dxa"/>
            </w:tcMar>
            <w:shd w:fill="F3F4F6"/>
          </w:tcPr>
          <w:p>
            <w:pPr>
              <w:spacing w:after="0"/>
              <w:jc w:val="center"/>
            </w:pPr>
            <w:r/>
            <w:r>
              <w:rPr>
                <w:rFonts w:ascii="Arial" w:hAnsi="Arial"/>
                <w:b w:val="0"/>
                <w:color w:val="222222"/>
                <w:sz w:val="17"/>
              </w:rPr>
              <w:t>Configured capacity</w:t>
            </w:r>
          </w:p>
        </w:tc>
        <w:tc>
          <w:tcPr>
            <w:tcW w:type="dxa" w:w="7560"/>
            <w:vAlign w:val="center"/>
            <w:tcMar>
              <w:top w:w="90" w:type="dxa"/>
              <w:start w:w="110" w:type="dxa"/>
              <w:bottom w:w="90" w:type="dxa"/>
              <w:end w:w="110" w:type="dxa"/>
            </w:tcMar>
            <w:shd w:fill="F3F4F6"/>
          </w:tcPr>
          <w:p>
            <w:pPr>
              <w:spacing w:after="0"/>
              <w:jc w:val="left"/>
            </w:pPr>
            <w:r/>
            <w:r>
              <w:rPr>
                <w:rFonts w:ascii="Arial" w:hAnsi="Arial"/>
                <w:b w:val="0"/>
                <w:color w:val="222222"/>
                <w:sz w:val="17"/>
              </w:rPr>
              <w:t>4,096 entries; engineering review identifies a ~64-byte allocation overrun</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7"/>
              </w:rPr>
              <w:t>Consumer service</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7"/>
              </w:rPr>
              <w:t>Bounded bursts of up to 128 records per CM4 pass</w:t>
            </w:r>
          </w:p>
        </w:tc>
      </w:tr>
      <w:tr>
        <w:tc>
          <w:tcPr>
            <w:tcW w:type="dxa" w:w="2232"/>
            <w:vAlign w:val="center"/>
            <w:tcMar>
              <w:top w:w="90" w:type="dxa"/>
              <w:start w:w="110" w:type="dxa"/>
              <w:bottom w:w="90" w:type="dxa"/>
              <w:end w:w="110" w:type="dxa"/>
            </w:tcMar>
            <w:shd w:fill="F3F4F6"/>
          </w:tcPr>
          <w:p>
            <w:pPr>
              <w:spacing w:after="0"/>
              <w:jc w:val="center"/>
            </w:pPr>
            <w:r/>
            <w:r>
              <w:rPr>
                <w:rFonts w:ascii="Arial" w:hAnsi="Arial"/>
                <w:b w:val="0"/>
                <w:color w:val="222222"/>
                <w:sz w:val="17"/>
              </w:rPr>
              <w:t>Health/status</w:t>
            </w:r>
          </w:p>
        </w:tc>
        <w:tc>
          <w:tcPr>
            <w:tcW w:type="dxa" w:w="7560"/>
            <w:vAlign w:val="center"/>
            <w:tcMar>
              <w:top w:w="90" w:type="dxa"/>
              <w:start w:w="110" w:type="dxa"/>
              <w:bottom w:w="90" w:type="dxa"/>
              <w:end w:w="110" w:type="dxa"/>
            </w:tcMar>
            <w:shd w:fill="F3F4F6"/>
          </w:tcPr>
          <w:p>
            <w:pPr>
              <w:spacing w:after="0"/>
              <w:jc w:val="left"/>
            </w:pPr>
            <w:r/>
            <w:r>
              <w:rPr>
                <w:rFonts w:ascii="Arial" w:hAnsi="Arial"/>
                <w:b w:val="0"/>
                <w:color w:val="222222"/>
                <w:sz w:val="17"/>
              </w:rPr>
              <w:t>1 Hz core heartbeats and 4 Hz ring-status requests</w:t>
            </w:r>
          </w:p>
        </w:tc>
      </w:tr>
    </w:tbl>
    <w:p>
      <w:r>
        <w:br w:type="page"/>
      </w:r>
    </w:p>
    <w:p>
      <w:pPr>
        <w:pStyle w:val="Heading1"/>
      </w:pPr>
      <w:r>
        <w:t>3. Core Partitioning and Boot Sequence</w:t>
      </w:r>
    </w:p>
    <w:p>
      <w:pPr>
        <w:pStyle w:val="Heading2"/>
      </w:pPr>
      <w:r>
        <w:t>3.1 Cortex-M7 responsibilities</w:t>
      </w:r>
    </w:p>
    <w:p>
      <w:pPr>
        <w:pStyle w:val="ListBullet"/>
      </w:pPr>
      <w:r>
        <w:t>Configures the MPU and cache policy before enabling the high-rate shared-memory path.</w:t>
      </w:r>
    </w:p>
    <w:p>
      <w:pPr>
        <w:pStyle w:val="ListBullet"/>
      </w:pPr>
      <w:r>
        <w:t>Boots and releases the Cortex-M4 through hardware semaphore HSEM0.</w:t>
      </w:r>
    </w:p>
    <w:p>
      <w:pPr>
        <w:pStyle w:val="ListBullet"/>
      </w:pPr>
      <w:r>
        <w:t>Initializes the AXI-SRAM ring as producer and OpenAMP as RPMsg master.</w:t>
      </w:r>
    </w:p>
    <w:p>
      <w:pPr>
        <w:pStyle w:val="ListBullet"/>
      </w:pPr>
      <w:r>
        <w:t>Produces timestamped motion records and owns the monotonically increasing record sequence.</w:t>
      </w:r>
    </w:p>
    <w:p>
      <w:pPr>
        <w:pStyle w:val="ListBullet"/>
      </w:pPr>
      <w:r>
        <w:t>Sends heartbeat and ring-status requests and receives fault/status replies.</w:t>
      </w:r>
    </w:p>
    <w:p>
      <w:pPr>
        <w:pStyle w:val="Heading2"/>
      </w:pPr>
      <w:r>
        <w:t>3.2 Cortex-M4 responsibilities</w:t>
      </w:r>
    </w:p>
    <w:p>
      <w:pPr>
        <w:pStyle w:val="ListBullet"/>
      </w:pPr>
      <w:r>
        <w:t>Wakes from STOP mode in response to HSEM signaling and initializes as the OpenAMP remote.</w:t>
      </w:r>
    </w:p>
    <w:p>
      <w:pPr>
        <w:pStyle w:val="ListBullet"/>
      </w:pPr>
      <w:r>
        <w:t>Consumes motion records from the shared ring without routing each record through RPMsg.</w:t>
      </w:r>
    </w:p>
    <w:p>
      <w:pPr>
        <w:pStyle w:val="ListBullet"/>
      </w:pPr>
      <w:r>
        <w:t>Processes up to 128 records per service pass so OpenAMP polling remains responsive.</w:t>
      </w:r>
    </w:p>
    <w:p>
      <w:pPr>
        <w:pStyle w:val="ListBullet"/>
      </w:pPr>
      <w:r>
        <w:t>Counts samples, sequence gaps, dropped records, and last-consumed sequence.</w:t>
      </w:r>
    </w:p>
    <w:p>
      <w:pPr>
        <w:pStyle w:val="ListBullet"/>
      </w:pPr>
      <w:r>
        <w:t>Reports independent heartbeat, ring status, and fault information to the M7.</w:t>
      </w:r>
    </w:p>
    <w:p>
      <w:pPr>
        <w:pStyle w:val="Heading2"/>
      </w:pPr>
      <w:r>
        <w:t>3.3 Inter-core boot and service flow</w:t>
      </w:r>
    </w:p>
    <w:tbl>
      <w:tblPr>
        <w:tblW w:type="auto" w:w="0"/>
        <w:jc w:val="center"/>
        <w:tblLayout w:type="fixed"/>
        <w:tblLook w:firstColumn="1" w:firstRow="1" w:lastColumn="0" w:lastRow="0" w:noHBand="0" w:noVBand="1" w:val="04A0"/>
      </w:tblPr>
      <w:tblGrid>
        <w:gridCol w:w="936"/>
        <w:gridCol w:w="4464"/>
        <w:gridCol w:w="4464"/>
      </w:tblGrid>
      <w:tr>
        <w:tc>
          <w:tcPr>
            <w:tcW w:type="dxa" w:w="3360"/>
            <w:vAlign w:val="center"/>
            <w:tcMar>
              <w:top w:w="90" w:type="dxa"/>
              <w:start w:w="110" w:type="dxa"/>
              <w:bottom w:w="90" w:type="dxa"/>
              <w:end w:w="110" w:type="dxa"/>
            </w:tcMar>
            <w:shd w:fill="1F4E79"/>
          </w:tcPr>
          <w:p>
            <w:pPr>
              <w:spacing w:after="0"/>
              <w:jc w:val="center"/>
            </w:pPr>
            <w:r/>
            <w:r>
              <w:rPr>
                <w:rFonts w:ascii="Arial" w:hAnsi="Arial"/>
                <w:b/>
                <w:color w:val="FFFFFF"/>
                <w:sz w:val="16"/>
              </w:rPr>
              <w:t>Stage</w:t>
            </w:r>
          </w:p>
        </w:tc>
        <w:tc>
          <w:tcPr>
            <w:tcW w:type="dxa" w:w="3360"/>
            <w:vAlign w:val="center"/>
            <w:tcMar>
              <w:top w:w="90" w:type="dxa"/>
              <w:start w:w="110" w:type="dxa"/>
              <w:bottom w:w="90" w:type="dxa"/>
              <w:end w:w="110" w:type="dxa"/>
            </w:tcMar>
            <w:shd w:fill="1F4E79"/>
          </w:tcPr>
          <w:p>
            <w:pPr>
              <w:spacing w:after="0"/>
              <w:jc w:val="center"/>
            </w:pPr>
            <w:r/>
            <w:r>
              <w:rPr>
                <w:rFonts w:ascii="Arial" w:hAnsi="Arial"/>
                <w:b/>
                <w:color w:val="FFFFFF"/>
                <w:sz w:val="16"/>
              </w:rPr>
              <w:t>M7 action</w:t>
            </w:r>
          </w:p>
        </w:tc>
        <w:tc>
          <w:tcPr>
            <w:tcW w:type="dxa" w:w="3360"/>
            <w:vAlign w:val="center"/>
            <w:tcMar>
              <w:top w:w="90" w:type="dxa"/>
              <w:start w:w="110" w:type="dxa"/>
              <w:bottom w:w="90" w:type="dxa"/>
              <w:end w:w="110" w:type="dxa"/>
            </w:tcMar>
            <w:shd w:fill="1F4E79"/>
          </w:tcPr>
          <w:p>
            <w:pPr>
              <w:spacing w:after="0"/>
              <w:jc w:val="center"/>
            </w:pPr>
            <w:r/>
            <w:r>
              <w:rPr>
                <w:rFonts w:ascii="Arial" w:hAnsi="Arial"/>
                <w:b/>
                <w:color w:val="FFFFFF"/>
                <w:sz w:val="16"/>
              </w:rPr>
              <w:t>M4 action</w:t>
            </w:r>
          </w:p>
        </w:tc>
      </w:tr>
      <w:tr>
        <w:tc>
          <w:tcPr>
            <w:tcW w:type="dxa" w:w="936"/>
            <w:vAlign w:val="center"/>
            <w:tcMar>
              <w:top w:w="90" w:type="dxa"/>
              <w:start w:w="110" w:type="dxa"/>
              <w:bottom w:w="90" w:type="dxa"/>
              <w:end w:w="110" w:type="dxa"/>
            </w:tcMar>
            <w:shd w:fill="FFFFFF"/>
          </w:tcPr>
          <w:p>
            <w:pPr>
              <w:spacing w:after="0"/>
              <w:jc w:val="center"/>
            </w:pPr>
            <w:r/>
            <w:r>
              <w:rPr>
                <w:rFonts w:ascii="Arial" w:hAnsi="Arial"/>
                <w:b w:val="0"/>
                <w:color w:val="222222"/>
                <w:sz w:val="16"/>
              </w:rPr>
              <w:t>1</w:t>
            </w:r>
          </w:p>
        </w:tc>
        <w:tc>
          <w:tcPr>
            <w:tcW w:type="dxa" w:w="4464"/>
            <w:vAlign w:val="center"/>
            <w:tcMar>
              <w:top w:w="90" w:type="dxa"/>
              <w:start w:w="110" w:type="dxa"/>
              <w:bottom w:w="90" w:type="dxa"/>
              <w:end w:w="110" w:type="dxa"/>
            </w:tcMar>
            <w:shd w:fill="FFFFFF"/>
          </w:tcPr>
          <w:p>
            <w:pPr>
              <w:spacing w:after="0"/>
              <w:jc w:val="left"/>
            </w:pPr>
            <w:r/>
            <w:r>
              <w:rPr>
                <w:rFonts w:ascii="Arial" w:hAnsi="Arial"/>
                <w:b w:val="0"/>
                <w:color w:val="222222"/>
                <w:sz w:val="16"/>
              </w:rPr>
              <w:t>Configure MPU/cache and initialize HAL/clock</w:t>
            </w:r>
          </w:p>
        </w:tc>
        <w:tc>
          <w:tcPr>
            <w:tcW w:type="dxa" w:w="4464"/>
            <w:vAlign w:val="center"/>
            <w:tcMar>
              <w:top w:w="90" w:type="dxa"/>
              <w:start w:w="110" w:type="dxa"/>
              <w:bottom w:w="90" w:type="dxa"/>
              <w:end w:w="110" w:type="dxa"/>
            </w:tcMar>
            <w:shd w:fill="FFFFFF"/>
          </w:tcPr>
          <w:p>
            <w:pPr>
              <w:spacing w:after="0"/>
              <w:jc w:val="left"/>
            </w:pPr>
            <w:r/>
            <w:r>
              <w:rPr>
                <w:rFonts w:ascii="Arial" w:hAnsi="Arial"/>
                <w:b w:val="0"/>
                <w:color w:val="222222"/>
                <w:sz w:val="16"/>
              </w:rPr>
              <w:t>Wait in STOP mode</w:t>
            </w:r>
          </w:p>
        </w:tc>
      </w:tr>
      <w:tr>
        <w:tc>
          <w:tcPr>
            <w:tcW w:type="dxa" w:w="936"/>
            <w:vAlign w:val="center"/>
            <w:tcMar>
              <w:top w:w="90" w:type="dxa"/>
              <w:start w:w="110" w:type="dxa"/>
              <w:bottom w:w="90" w:type="dxa"/>
              <w:end w:w="110" w:type="dxa"/>
            </w:tcMar>
            <w:shd w:fill="F3F4F6"/>
          </w:tcPr>
          <w:p>
            <w:pPr>
              <w:spacing w:after="0"/>
              <w:jc w:val="center"/>
            </w:pPr>
            <w:r/>
            <w:r>
              <w:rPr>
                <w:rFonts w:ascii="Arial" w:hAnsi="Arial"/>
                <w:b w:val="0"/>
                <w:color w:val="222222"/>
                <w:sz w:val="16"/>
              </w:rPr>
              <w:t>2</w:t>
            </w:r>
          </w:p>
        </w:tc>
        <w:tc>
          <w:tcPr>
            <w:tcW w:type="dxa" w:w="4464"/>
            <w:vAlign w:val="center"/>
            <w:tcMar>
              <w:top w:w="90" w:type="dxa"/>
              <w:start w:w="110" w:type="dxa"/>
              <w:bottom w:w="90" w:type="dxa"/>
              <w:end w:w="110" w:type="dxa"/>
            </w:tcMar>
            <w:shd w:fill="F3F4F6"/>
          </w:tcPr>
          <w:p>
            <w:pPr>
              <w:spacing w:after="0"/>
              <w:jc w:val="left"/>
            </w:pPr>
            <w:r/>
            <w:r>
              <w:rPr>
                <w:rFonts w:ascii="Arial" w:hAnsi="Arial"/>
                <w:b w:val="0"/>
                <w:color w:val="222222"/>
                <w:sz w:val="16"/>
              </w:rPr>
              <w:t>Release HSEM0</w:t>
            </w:r>
          </w:p>
        </w:tc>
        <w:tc>
          <w:tcPr>
            <w:tcW w:type="dxa" w:w="4464"/>
            <w:vAlign w:val="center"/>
            <w:tcMar>
              <w:top w:w="90" w:type="dxa"/>
              <w:start w:w="110" w:type="dxa"/>
              <w:bottom w:w="90" w:type="dxa"/>
              <w:end w:w="110" w:type="dxa"/>
            </w:tcMar>
            <w:shd w:fill="F3F4F6"/>
          </w:tcPr>
          <w:p>
            <w:pPr>
              <w:spacing w:after="0"/>
              <w:jc w:val="left"/>
            </w:pPr>
            <w:r/>
            <w:r>
              <w:rPr>
                <w:rFonts w:ascii="Arial" w:hAnsi="Arial"/>
                <w:b w:val="0"/>
                <w:color w:val="222222"/>
                <w:sz w:val="16"/>
              </w:rPr>
              <w:t>Wake and clear HSEM event</w:t>
            </w:r>
          </w:p>
        </w:tc>
      </w:tr>
      <w:tr>
        <w:tc>
          <w:tcPr>
            <w:tcW w:type="dxa" w:w="936"/>
            <w:vAlign w:val="center"/>
            <w:tcMar>
              <w:top w:w="90" w:type="dxa"/>
              <w:start w:w="110" w:type="dxa"/>
              <w:bottom w:w="90" w:type="dxa"/>
              <w:end w:w="110" w:type="dxa"/>
            </w:tcMar>
            <w:shd w:fill="FFFFFF"/>
          </w:tcPr>
          <w:p>
            <w:pPr>
              <w:spacing w:after="0"/>
              <w:jc w:val="center"/>
            </w:pPr>
            <w:r/>
            <w:r>
              <w:rPr>
                <w:rFonts w:ascii="Arial" w:hAnsi="Arial"/>
                <w:b w:val="0"/>
                <w:color w:val="222222"/>
                <w:sz w:val="16"/>
              </w:rPr>
              <w:t>3</w:t>
            </w:r>
          </w:p>
        </w:tc>
        <w:tc>
          <w:tcPr>
            <w:tcW w:type="dxa" w:w="4464"/>
            <w:vAlign w:val="center"/>
            <w:tcMar>
              <w:top w:w="90" w:type="dxa"/>
              <w:start w:w="110" w:type="dxa"/>
              <w:bottom w:w="90" w:type="dxa"/>
              <w:end w:w="110" w:type="dxa"/>
            </w:tcMar>
            <w:shd w:fill="FFFFFF"/>
          </w:tcPr>
          <w:p>
            <w:pPr>
              <w:spacing w:after="0"/>
              <w:jc w:val="left"/>
            </w:pPr>
            <w:r/>
            <w:r>
              <w:rPr>
                <w:rFonts w:ascii="Arial" w:hAnsi="Arial"/>
                <w:b w:val="0"/>
                <w:color w:val="222222"/>
                <w:sz w:val="16"/>
              </w:rPr>
              <w:t>Initialize shared-ring producer</w:t>
            </w:r>
          </w:p>
        </w:tc>
        <w:tc>
          <w:tcPr>
            <w:tcW w:type="dxa" w:w="4464"/>
            <w:vAlign w:val="center"/>
            <w:tcMar>
              <w:top w:w="90" w:type="dxa"/>
              <w:start w:w="110" w:type="dxa"/>
              <w:bottom w:w="90" w:type="dxa"/>
              <w:end w:w="110" w:type="dxa"/>
            </w:tcMar>
            <w:shd w:fill="FFFFFF"/>
          </w:tcPr>
          <w:p>
            <w:pPr>
              <w:spacing w:after="0"/>
              <w:jc w:val="left"/>
            </w:pPr>
            <w:r/>
            <w:r>
              <w:rPr>
                <w:rFonts w:ascii="Arial" w:hAnsi="Arial"/>
                <w:b w:val="0"/>
                <w:color w:val="222222"/>
                <w:sz w:val="16"/>
              </w:rPr>
              <w:t>Initialize shared-ring consumer</w:t>
            </w:r>
          </w:p>
        </w:tc>
      </w:tr>
      <w:tr>
        <w:tc>
          <w:tcPr>
            <w:tcW w:type="dxa" w:w="936"/>
            <w:vAlign w:val="center"/>
            <w:tcMar>
              <w:top w:w="90" w:type="dxa"/>
              <w:start w:w="110" w:type="dxa"/>
              <w:bottom w:w="90" w:type="dxa"/>
              <w:end w:w="110" w:type="dxa"/>
            </w:tcMar>
            <w:shd w:fill="F3F4F6"/>
          </w:tcPr>
          <w:p>
            <w:pPr>
              <w:spacing w:after="0"/>
              <w:jc w:val="center"/>
            </w:pPr>
            <w:r/>
            <w:r>
              <w:rPr>
                <w:rFonts w:ascii="Arial" w:hAnsi="Arial"/>
                <w:b w:val="0"/>
                <w:color w:val="222222"/>
                <w:sz w:val="16"/>
              </w:rPr>
              <w:t>4</w:t>
            </w:r>
          </w:p>
        </w:tc>
        <w:tc>
          <w:tcPr>
            <w:tcW w:type="dxa" w:w="4464"/>
            <w:vAlign w:val="center"/>
            <w:tcMar>
              <w:top w:w="90" w:type="dxa"/>
              <w:start w:w="110" w:type="dxa"/>
              <w:bottom w:w="90" w:type="dxa"/>
              <w:end w:w="110" w:type="dxa"/>
            </w:tcMar>
            <w:shd w:fill="F3F4F6"/>
          </w:tcPr>
          <w:p>
            <w:pPr>
              <w:spacing w:after="0"/>
              <w:jc w:val="left"/>
            </w:pPr>
            <w:r/>
            <w:r>
              <w:rPr>
                <w:rFonts w:ascii="Arial" w:hAnsi="Arial"/>
                <w:b w:val="0"/>
                <w:color w:val="222222"/>
                <w:sz w:val="16"/>
              </w:rPr>
              <w:t>Create OpenAMP master endpoint</w:t>
            </w:r>
          </w:p>
        </w:tc>
        <w:tc>
          <w:tcPr>
            <w:tcW w:type="dxa" w:w="4464"/>
            <w:vAlign w:val="center"/>
            <w:tcMar>
              <w:top w:w="90" w:type="dxa"/>
              <w:start w:w="110" w:type="dxa"/>
              <w:bottom w:w="90" w:type="dxa"/>
              <w:end w:w="110" w:type="dxa"/>
            </w:tcMar>
            <w:shd w:fill="F3F4F6"/>
          </w:tcPr>
          <w:p>
            <w:pPr>
              <w:spacing w:after="0"/>
              <w:jc w:val="left"/>
            </w:pPr>
            <w:r/>
            <w:r>
              <w:rPr>
                <w:rFonts w:ascii="Arial" w:hAnsi="Arial"/>
                <w:b w:val="0"/>
                <w:color w:val="222222"/>
                <w:sz w:val="16"/>
              </w:rPr>
              <w:t>Create OpenAMP remote endpoint</w:t>
            </w:r>
          </w:p>
        </w:tc>
      </w:tr>
      <w:tr>
        <w:tc>
          <w:tcPr>
            <w:tcW w:type="dxa" w:w="936"/>
            <w:vAlign w:val="center"/>
            <w:tcMar>
              <w:top w:w="90" w:type="dxa"/>
              <w:start w:w="110" w:type="dxa"/>
              <w:bottom w:w="90" w:type="dxa"/>
              <w:end w:w="110" w:type="dxa"/>
            </w:tcMar>
            <w:shd w:fill="FFFFFF"/>
          </w:tcPr>
          <w:p>
            <w:pPr>
              <w:spacing w:after="0"/>
              <w:jc w:val="center"/>
            </w:pPr>
            <w:r/>
            <w:r>
              <w:rPr>
                <w:rFonts w:ascii="Arial" w:hAnsi="Arial"/>
                <w:b w:val="0"/>
                <w:color w:val="222222"/>
                <w:sz w:val="16"/>
              </w:rPr>
              <w:t>5</w:t>
            </w:r>
          </w:p>
        </w:tc>
        <w:tc>
          <w:tcPr>
            <w:tcW w:type="dxa" w:w="4464"/>
            <w:vAlign w:val="center"/>
            <w:tcMar>
              <w:top w:w="90" w:type="dxa"/>
              <w:start w:w="110" w:type="dxa"/>
              <w:bottom w:w="90" w:type="dxa"/>
              <w:end w:w="110" w:type="dxa"/>
            </w:tcMar>
            <w:shd w:fill="FFFFFF"/>
          </w:tcPr>
          <w:p>
            <w:pPr>
              <w:spacing w:after="0"/>
              <w:jc w:val="left"/>
            </w:pPr>
            <w:r/>
            <w:r>
              <w:rPr>
                <w:rFonts w:ascii="Arial" w:hAnsi="Arial"/>
                <w:b w:val="0"/>
                <w:color w:val="222222"/>
                <w:sz w:val="16"/>
              </w:rPr>
              <w:t>Produce records; poll messages</w:t>
            </w:r>
          </w:p>
        </w:tc>
        <w:tc>
          <w:tcPr>
            <w:tcW w:type="dxa" w:w="4464"/>
            <w:vAlign w:val="center"/>
            <w:tcMar>
              <w:top w:w="90" w:type="dxa"/>
              <w:start w:w="110" w:type="dxa"/>
              <w:bottom w:w="90" w:type="dxa"/>
              <w:end w:w="110" w:type="dxa"/>
            </w:tcMar>
            <w:shd w:fill="FFFFFF"/>
          </w:tcPr>
          <w:p>
            <w:pPr>
              <w:spacing w:after="0"/>
              <w:jc w:val="left"/>
            </w:pPr>
            <w:r/>
            <w:r>
              <w:rPr>
                <w:rFonts w:ascii="Arial" w:hAnsi="Arial"/>
                <w:b w:val="0"/>
                <w:color w:val="222222"/>
                <w:sz w:val="16"/>
              </w:rPr>
              <w:t>Consume records; service messages</w:t>
            </w:r>
          </w:p>
        </w:tc>
      </w:tr>
    </w:tbl>
    <w:p>
      <w:pPr>
        <w:keepNext/>
        <w:jc w:val="center"/>
      </w:pPr>
      <w:r>
        <w:drawing>
          <wp:inline xmlns:a="http://schemas.openxmlformats.org/drawingml/2006/main" xmlns:pic="http://schemas.openxmlformats.org/drawingml/2006/picture">
            <wp:extent cx="5943600" cy="3235960"/>
            <wp:docPr id="3" name="Picture 3"/>
            <wp:cNvGraphicFramePr>
              <a:graphicFrameLocks noChangeAspect="1"/>
            </wp:cNvGraphicFramePr>
            <a:graphic>
              <a:graphicData uri="http://schemas.openxmlformats.org/drawingml/2006/picture">
                <pic:pic>
                  <pic:nvPicPr>
                    <pic:cNvPr id="0" name="motionipc_memory_map.png"/>
                    <pic:cNvPicPr/>
                  </pic:nvPicPr>
                  <pic:blipFill>
                    <a:blip r:embed="rId13"/>
                    <a:stretch>
                      <a:fillRect/>
                    </a:stretch>
                  </pic:blipFill>
                  <pic:spPr>
                    <a:xfrm>
                      <a:off x="0" y="0"/>
                      <a:ext cx="5943600" cy="3235960"/>
                    </a:xfrm>
                    <a:prstGeom prst="rect"/>
                  </pic:spPr>
                </pic:pic>
              </a:graphicData>
            </a:graphic>
          </wp:inline>
        </w:drawing>
      </w:r>
    </w:p>
    <w:p>
      <w:pPr>
        <w:spacing w:after="120"/>
        <w:jc w:val="center"/>
      </w:pPr>
      <w:r>
        <w:rPr>
          <w:rFonts w:ascii="Arial" w:hAnsi="Arial"/>
          <w:i/>
          <w:color w:val="555555"/>
          <w:sz w:val="16"/>
        </w:rPr>
        <w:t>Figure 3. Shared-memory layout and the source-derived capacity review finding.</w:t>
      </w:r>
    </w:p>
    <w:p>
      <w:r>
        <w:br w:type="page"/>
      </w:r>
    </w:p>
    <w:p>
      <w:pPr>
        <w:pStyle w:val="Heading1"/>
      </w:pPr>
      <w:r>
        <w:t>4. IPC Protocol and Data Structures</w:t>
      </w:r>
    </w:p>
    <w:p>
      <w:pPr>
        <w:pStyle w:val="Heading2"/>
      </w:pPr>
      <w:r>
        <w:t>4.1 Control-plane message set</w:t>
      </w:r>
    </w:p>
    <w:tbl>
      <w:tblPr>
        <w:tblW w:type="auto" w:w="0"/>
        <w:jc w:val="center"/>
        <w:tblLayout w:type="fixed"/>
        <w:tblLook w:firstColumn="1" w:firstRow="1" w:lastColumn="0" w:lastRow="0" w:noHBand="0" w:noVBand="1" w:val="04A0"/>
      </w:tblPr>
      <w:tblGrid>
        <w:gridCol w:w="3240"/>
        <w:gridCol w:w="6552"/>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Message</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Purpose</w:t>
            </w:r>
          </w:p>
        </w:tc>
      </w:tr>
      <w:tr>
        <w:tc>
          <w:tcPr>
            <w:tcW w:type="dxa" w:w="3240"/>
            <w:vAlign w:val="center"/>
            <w:tcMar>
              <w:top w:w="90" w:type="dxa"/>
              <w:start w:w="110" w:type="dxa"/>
              <w:bottom w:w="90" w:type="dxa"/>
              <w:end w:w="110" w:type="dxa"/>
            </w:tcMar>
            <w:shd w:fill="FFFFFF"/>
          </w:tcPr>
          <w:p>
            <w:pPr>
              <w:spacing w:after="0"/>
              <w:jc w:val="center"/>
            </w:pPr>
            <w:r/>
            <w:r>
              <w:rPr>
                <w:rFonts w:ascii="Arial" w:hAnsi="Arial"/>
                <w:b w:val="0"/>
                <w:color w:val="222222"/>
                <w:sz w:val="16"/>
              </w:rPr>
              <w:t>HEARTBEAT_REQ / REPLY</w:t>
            </w:r>
          </w:p>
        </w:tc>
        <w:tc>
          <w:tcPr>
            <w:tcW w:type="dxa" w:w="6552"/>
            <w:vAlign w:val="center"/>
            <w:tcMar>
              <w:top w:w="90" w:type="dxa"/>
              <w:start w:w="110" w:type="dxa"/>
              <w:bottom w:w="90" w:type="dxa"/>
              <w:end w:w="110" w:type="dxa"/>
            </w:tcMar>
            <w:shd w:fill="FFFFFF"/>
          </w:tcPr>
          <w:p>
            <w:pPr>
              <w:spacing w:after="0"/>
              <w:jc w:val="left"/>
            </w:pPr>
            <w:r/>
            <w:r>
              <w:rPr>
                <w:rFonts w:ascii="Arial" w:hAnsi="Arial"/>
                <w:b w:val="0"/>
                <w:color w:val="222222"/>
                <w:sz w:val="16"/>
              </w:rPr>
              <w:t>Per-core liveness, record counts, gaps, and drops</w:t>
            </w:r>
          </w:p>
        </w:tc>
      </w:tr>
      <w:tr>
        <w:tc>
          <w:tcPr>
            <w:tcW w:type="dxa" w:w="3240"/>
            <w:vAlign w:val="center"/>
            <w:tcMar>
              <w:top w:w="90" w:type="dxa"/>
              <w:start w:w="110" w:type="dxa"/>
              <w:bottom w:w="90" w:type="dxa"/>
              <w:end w:w="110" w:type="dxa"/>
            </w:tcMar>
            <w:shd w:fill="F3F4F6"/>
          </w:tcPr>
          <w:p>
            <w:pPr>
              <w:spacing w:after="0"/>
              <w:jc w:val="center"/>
            </w:pPr>
            <w:r/>
            <w:r>
              <w:rPr>
                <w:rFonts w:ascii="Arial" w:hAnsi="Arial"/>
                <w:b w:val="0"/>
                <w:color w:val="222222"/>
                <w:sz w:val="16"/>
              </w:rPr>
              <w:t>RING_STATUS_REQ / REPLY</w:t>
            </w:r>
          </w:p>
        </w:tc>
        <w:tc>
          <w:tcPr>
            <w:tcW w:type="dxa" w:w="6552"/>
            <w:vAlign w:val="center"/>
            <w:tcMar>
              <w:top w:w="90" w:type="dxa"/>
              <w:start w:w="110" w:type="dxa"/>
              <w:bottom w:w="90" w:type="dxa"/>
              <w:end w:w="110" w:type="dxa"/>
            </w:tcMar>
            <w:shd w:fill="F3F4F6"/>
          </w:tcPr>
          <w:p>
            <w:pPr>
              <w:spacing w:after="0"/>
              <w:jc w:val="left"/>
            </w:pPr>
            <w:r/>
            <w:r>
              <w:rPr>
                <w:rFonts w:ascii="Arial" w:hAnsi="Arial"/>
                <w:b w:val="0"/>
                <w:color w:val="222222"/>
                <w:sz w:val="16"/>
              </w:rPr>
              <w:t>Read/write indices, samples read, last sequence, and overflow statistics</w:t>
            </w:r>
          </w:p>
        </w:tc>
      </w:tr>
      <w:tr>
        <w:tc>
          <w:tcPr>
            <w:tcW w:type="dxa" w:w="3240"/>
            <w:vAlign w:val="center"/>
            <w:tcMar>
              <w:top w:w="90" w:type="dxa"/>
              <w:start w:w="110" w:type="dxa"/>
              <w:bottom w:w="90" w:type="dxa"/>
              <w:end w:w="110" w:type="dxa"/>
            </w:tcMar>
            <w:shd w:fill="FFFFFF"/>
          </w:tcPr>
          <w:p>
            <w:pPr>
              <w:spacing w:after="0"/>
              <w:jc w:val="center"/>
            </w:pPr>
            <w:r/>
            <w:r>
              <w:rPr>
                <w:rFonts w:ascii="Arial" w:hAnsi="Arial"/>
                <w:b w:val="0"/>
                <w:color w:val="222222"/>
                <w:sz w:val="16"/>
              </w:rPr>
              <w:t>START_SEGMENT / STOP_SEGMENT</w:t>
            </w:r>
          </w:p>
        </w:tc>
        <w:tc>
          <w:tcPr>
            <w:tcW w:type="dxa" w:w="6552"/>
            <w:vAlign w:val="center"/>
            <w:tcMar>
              <w:top w:w="90" w:type="dxa"/>
              <w:start w:w="110" w:type="dxa"/>
              <w:bottom w:w="90" w:type="dxa"/>
              <w:end w:w="110" w:type="dxa"/>
            </w:tcMar>
            <w:shd w:fill="FFFFFF"/>
          </w:tcPr>
          <w:p>
            <w:pPr>
              <w:spacing w:after="0"/>
              <w:jc w:val="left"/>
            </w:pPr>
            <w:r/>
            <w:r>
              <w:rPr>
                <w:rFonts w:ascii="Arial" w:hAnsi="Arial"/>
                <w:b w:val="0"/>
                <w:color w:val="222222"/>
                <w:sz w:val="16"/>
              </w:rPr>
              <w:t>Worker-state transition hooks and end-of-segment reporting</w:t>
            </w:r>
          </w:p>
        </w:tc>
      </w:tr>
      <w:tr>
        <w:tc>
          <w:tcPr>
            <w:tcW w:type="dxa" w:w="3240"/>
            <w:vAlign w:val="center"/>
            <w:tcMar>
              <w:top w:w="90" w:type="dxa"/>
              <w:start w:w="110" w:type="dxa"/>
              <w:bottom w:w="90" w:type="dxa"/>
              <w:end w:w="110" w:type="dxa"/>
            </w:tcMar>
            <w:shd w:fill="F3F4F6"/>
          </w:tcPr>
          <w:p>
            <w:pPr>
              <w:spacing w:after="0"/>
              <w:jc w:val="center"/>
            </w:pPr>
            <w:r/>
            <w:r>
              <w:rPr>
                <w:rFonts w:ascii="Arial" w:hAnsi="Arial"/>
                <w:b w:val="0"/>
                <w:color w:val="222222"/>
                <w:sz w:val="16"/>
              </w:rPr>
              <w:t>CLEAR_STATS</w:t>
            </w:r>
          </w:p>
        </w:tc>
        <w:tc>
          <w:tcPr>
            <w:tcW w:type="dxa" w:w="6552"/>
            <w:vAlign w:val="center"/>
            <w:tcMar>
              <w:top w:w="90" w:type="dxa"/>
              <w:start w:w="110" w:type="dxa"/>
              <w:bottom w:w="90" w:type="dxa"/>
              <w:end w:w="110" w:type="dxa"/>
            </w:tcMar>
            <w:shd w:fill="F3F4F6"/>
          </w:tcPr>
          <w:p>
            <w:pPr>
              <w:spacing w:after="0"/>
              <w:jc w:val="left"/>
            </w:pPr>
            <w:r/>
            <w:r>
              <w:rPr>
                <w:rFonts w:ascii="Arial" w:hAnsi="Arial"/>
                <w:b w:val="0"/>
                <w:color w:val="222222"/>
                <w:sz w:val="16"/>
              </w:rPr>
              <w:t>Reset consumer counters for a new run</w:t>
            </w:r>
          </w:p>
        </w:tc>
      </w:tr>
      <w:tr>
        <w:tc>
          <w:tcPr>
            <w:tcW w:type="dxa" w:w="3240"/>
            <w:vAlign w:val="center"/>
            <w:tcMar>
              <w:top w:w="90" w:type="dxa"/>
              <w:start w:w="110" w:type="dxa"/>
              <w:bottom w:w="90" w:type="dxa"/>
              <w:end w:w="110" w:type="dxa"/>
            </w:tcMar>
            <w:shd w:fill="FFFFFF"/>
          </w:tcPr>
          <w:p>
            <w:pPr>
              <w:spacing w:after="0"/>
              <w:jc w:val="center"/>
            </w:pPr>
            <w:r/>
            <w:r>
              <w:rPr>
                <w:rFonts w:ascii="Arial" w:hAnsi="Arial"/>
                <w:b w:val="0"/>
                <w:color w:val="222222"/>
                <w:sz w:val="16"/>
              </w:rPr>
              <w:t>FAULT</w:t>
            </w:r>
          </w:p>
        </w:tc>
        <w:tc>
          <w:tcPr>
            <w:tcW w:type="dxa" w:w="6552"/>
            <w:vAlign w:val="center"/>
            <w:tcMar>
              <w:top w:w="90" w:type="dxa"/>
              <w:start w:w="110" w:type="dxa"/>
              <w:bottom w:w="90" w:type="dxa"/>
              <w:end w:w="110" w:type="dxa"/>
            </w:tcMar>
            <w:shd w:fill="FFFFFF"/>
          </w:tcPr>
          <w:p>
            <w:pPr>
              <w:spacing w:after="0"/>
              <w:jc w:val="left"/>
            </w:pPr>
            <w:r/>
            <w:r>
              <w:rPr>
                <w:rFonts w:ascii="Arial" w:hAnsi="Arial"/>
                <w:b w:val="0"/>
                <w:color w:val="222222"/>
                <w:sz w:val="16"/>
              </w:rPr>
              <w:t>Propagate core-local fault flags</w:t>
            </w:r>
          </w:p>
        </w:tc>
      </w:tr>
    </w:tbl>
    <w:p>
      <w:pPr>
        <w:pStyle w:val="Heading2"/>
      </w:pPr>
      <w:r>
        <w:t>4.2 High-rate motion record</w:t>
      </w:r>
    </w:p>
    <w:tbl>
      <w:tblPr>
        <w:tblW w:type="auto" w:w="0"/>
        <w:jc w:val="center"/>
        <w:tblLayout w:type="fixed"/>
        <w:tblLook w:firstColumn="1" w:firstRow="1" w:lastColumn="0" w:lastRow="0" w:noHBand="0" w:noVBand="1" w:val="04A0"/>
      </w:tblPr>
      <w:tblGrid>
        <w:gridCol w:w="3240"/>
        <w:gridCol w:w="6552"/>
      </w:tblGrid>
      <w:tr>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Field</w:t>
            </w:r>
          </w:p>
        </w:tc>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Role</w:t>
            </w:r>
          </w:p>
        </w:tc>
      </w:tr>
      <w:tr>
        <w:tc>
          <w:tcPr>
            <w:tcW w:type="dxa" w:w="3240"/>
            <w:vAlign w:val="center"/>
            <w:tcMar>
              <w:top w:w="90" w:type="dxa"/>
              <w:start w:w="110" w:type="dxa"/>
              <w:bottom w:w="90" w:type="dxa"/>
              <w:end w:w="110" w:type="dxa"/>
            </w:tcMar>
            <w:shd w:fill="FFFFFF"/>
          </w:tcPr>
          <w:p>
            <w:pPr>
              <w:spacing w:after="0"/>
              <w:jc w:val="center"/>
            </w:pPr>
            <w:r/>
            <w:r>
              <w:rPr>
                <w:rFonts w:ascii="Arial" w:hAnsi="Arial"/>
                <w:b w:val="0"/>
                <w:color w:val="222222"/>
                <w:sz w:val="16"/>
              </w:rPr>
              <w:t>seq</w:t>
            </w:r>
          </w:p>
        </w:tc>
        <w:tc>
          <w:tcPr>
            <w:tcW w:type="dxa" w:w="6552"/>
            <w:vAlign w:val="center"/>
            <w:tcMar>
              <w:top w:w="90" w:type="dxa"/>
              <w:start w:w="110" w:type="dxa"/>
              <w:bottom w:w="90" w:type="dxa"/>
              <w:end w:w="110" w:type="dxa"/>
            </w:tcMar>
            <w:shd w:fill="FFFFFF"/>
          </w:tcPr>
          <w:p>
            <w:pPr>
              <w:spacing w:after="0"/>
              <w:jc w:val="left"/>
            </w:pPr>
            <w:r/>
            <w:r>
              <w:rPr>
                <w:rFonts w:ascii="Arial" w:hAnsi="Arial"/>
                <w:b w:val="0"/>
                <w:color w:val="222222"/>
                <w:sz w:val="16"/>
              </w:rPr>
              <w:t>Record sequence number</w:t>
            </w:r>
          </w:p>
        </w:tc>
      </w:tr>
      <w:tr>
        <w:tc>
          <w:tcPr>
            <w:tcW w:type="dxa" w:w="3240"/>
            <w:vAlign w:val="center"/>
            <w:tcMar>
              <w:top w:w="90" w:type="dxa"/>
              <w:start w:w="110" w:type="dxa"/>
              <w:bottom w:w="90" w:type="dxa"/>
              <w:end w:w="110" w:type="dxa"/>
            </w:tcMar>
            <w:shd w:fill="F3F4F6"/>
          </w:tcPr>
          <w:p>
            <w:pPr>
              <w:spacing w:after="0"/>
              <w:jc w:val="center"/>
            </w:pPr>
            <w:r/>
            <w:r>
              <w:rPr>
                <w:rFonts w:ascii="Arial" w:hAnsi="Arial"/>
                <w:b w:val="0"/>
                <w:color w:val="222222"/>
                <w:sz w:val="16"/>
              </w:rPr>
              <w:t>t_us</w:t>
            </w:r>
          </w:p>
        </w:tc>
        <w:tc>
          <w:tcPr>
            <w:tcW w:type="dxa" w:w="6552"/>
            <w:vAlign w:val="center"/>
            <w:tcMar>
              <w:top w:w="90" w:type="dxa"/>
              <w:start w:w="110" w:type="dxa"/>
              <w:bottom w:w="90" w:type="dxa"/>
              <w:end w:w="110" w:type="dxa"/>
            </w:tcMar>
            <w:shd w:fill="F3F4F6"/>
          </w:tcPr>
          <w:p>
            <w:pPr>
              <w:spacing w:after="0"/>
              <w:jc w:val="left"/>
            </w:pPr>
            <w:r/>
            <w:r>
              <w:rPr>
                <w:rFonts w:ascii="Arial" w:hAnsi="Arial"/>
                <w:b w:val="0"/>
                <w:color w:val="222222"/>
                <w:sz w:val="16"/>
              </w:rPr>
              <w:t>Microsecond timestamp</w:t>
            </w:r>
          </w:p>
        </w:tc>
      </w:tr>
      <w:tr>
        <w:tc>
          <w:tcPr>
            <w:tcW w:type="dxa" w:w="3240"/>
            <w:vAlign w:val="center"/>
            <w:tcMar>
              <w:top w:w="90" w:type="dxa"/>
              <w:start w:w="110" w:type="dxa"/>
              <w:bottom w:w="90" w:type="dxa"/>
              <w:end w:w="110" w:type="dxa"/>
            </w:tcMar>
            <w:shd w:fill="FFFFFF"/>
          </w:tcPr>
          <w:p>
            <w:pPr>
              <w:spacing w:after="0"/>
              <w:jc w:val="center"/>
            </w:pPr>
            <w:r/>
            <w:r>
              <w:rPr>
                <w:rFonts w:ascii="Arial" w:hAnsi="Arial"/>
                <w:b w:val="0"/>
                <w:color w:val="222222"/>
                <w:sz w:val="16"/>
              </w:rPr>
              <w:t>encoder_count</w:t>
            </w:r>
          </w:p>
        </w:tc>
        <w:tc>
          <w:tcPr>
            <w:tcW w:type="dxa" w:w="6552"/>
            <w:vAlign w:val="center"/>
            <w:tcMar>
              <w:top w:w="90" w:type="dxa"/>
              <w:start w:w="110" w:type="dxa"/>
              <w:bottom w:w="90" w:type="dxa"/>
              <w:end w:w="110" w:type="dxa"/>
            </w:tcMar>
            <w:shd w:fill="FFFFFF"/>
          </w:tcPr>
          <w:p>
            <w:pPr>
              <w:spacing w:after="0"/>
              <w:jc w:val="left"/>
            </w:pPr>
            <w:r/>
            <w:r>
              <w:rPr>
                <w:rFonts w:ascii="Arial" w:hAnsi="Arial"/>
                <w:b w:val="0"/>
                <w:color w:val="222222"/>
                <w:sz w:val="16"/>
              </w:rPr>
              <w:t>Raw encoder count</w:t>
            </w:r>
          </w:p>
        </w:tc>
      </w:tr>
      <w:tr>
        <w:tc>
          <w:tcPr>
            <w:tcW w:type="dxa" w:w="3240"/>
            <w:vAlign w:val="center"/>
            <w:tcMar>
              <w:top w:w="90" w:type="dxa"/>
              <w:start w:w="110" w:type="dxa"/>
              <w:bottom w:w="90" w:type="dxa"/>
              <w:end w:w="110" w:type="dxa"/>
            </w:tcMar>
            <w:shd w:fill="F3F4F6"/>
          </w:tcPr>
          <w:p>
            <w:pPr>
              <w:spacing w:after="0"/>
              <w:jc w:val="center"/>
            </w:pPr>
            <w:r/>
            <w:r>
              <w:rPr>
                <w:rFonts w:ascii="Arial" w:hAnsi="Arial"/>
                <w:b w:val="0"/>
                <w:color w:val="222222"/>
                <w:sz w:val="16"/>
              </w:rPr>
              <w:t>position_mdeg</w:t>
            </w:r>
          </w:p>
        </w:tc>
        <w:tc>
          <w:tcPr>
            <w:tcW w:type="dxa" w:w="6552"/>
            <w:vAlign w:val="center"/>
            <w:tcMar>
              <w:top w:w="90" w:type="dxa"/>
              <w:start w:w="110" w:type="dxa"/>
              <w:bottom w:w="90" w:type="dxa"/>
              <w:end w:w="110" w:type="dxa"/>
            </w:tcMar>
            <w:shd w:fill="F3F4F6"/>
          </w:tcPr>
          <w:p>
            <w:pPr>
              <w:spacing w:after="0"/>
              <w:jc w:val="left"/>
            </w:pPr>
            <w:r/>
            <w:r>
              <w:rPr>
                <w:rFonts w:ascii="Arial" w:hAnsi="Arial"/>
                <w:b w:val="0"/>
                <w:color w:val="222222"/>
                <w:sz w:val="16"/>
              </w:rPr>
              <w:t>Position in millidegrees</w:t>
            </w:r>
          </w:p>
        </w:tc>
      </w:tr>
      <w:tr>
        <w:tc>
          <w:tcPr>
            <w:tcW w:type="dxa" w:w="3240"/>
            <w:vAlign w:val="center"/>
            <w:tcMar>
              <w:top w:w="90" w:type="dxa"/>
              <w:start w:w="110" w:type="dxa"/>
              <w:bottom w:w="90" w:type="dxa"/>
              <w:end w:w="110" w:type="dxa"/>
            </w:tcMar>
            <w:shd w:fill="FFFFFF"/>
          </w:tcPr>
          <w:p>
            <w:pPr>
              <w:spacing w:after="0"/>
              <w:jc w:val="center"/>
            </w:pPr>
            <w:r/>
            <w:r>
              <w:rPr>
                <w:rFonts w:ascii="Arial" w:hAnsi="Arial"/>
                <w:b w:val="0"/>
                <w:color w:val="222222"/>
                <w:sz w:val="16"/>
              </w:rPr>
              <w:t>target_speed_mdeg_s</w:t>
            </w:r>
          </w:p>
        </w:tc>
        <w:tc>
          <w:tcPr>
            <w:tcW w:type="dxa" w:w="6552"/>
            <w:vAlign w:val="center"/>
            <w:tcMar>
              <w:top w:w="90" w:type="dxa"/>
              <w:start w:w="110" w:type="dxa"/>
              <w:bottom w:w="90" w:type="dxa"/>
              <w:end w:w="110" w:type="dxa"/>
            </w:tcMar>
            <w:shd w:fill="FFFFFF"/>
          </w:tcPr>
          <w:p>
            <w:pPr>
              <w:spacing w:after="0"/>
              <w:jc w:val="left"/>
            </w:pPr>
            <w:r/>
            <w:r>
              <w:rPr>
                <w:rFonts w:ascii="Arial" w:hAnsi="Arial"/>
                <w:b w:val="0"/>
                <w:color w:val="222222"/>
                <w:sz w:val="16"/>
              </w:rPr>
              <w:t>Commanded speed in millidegrees per second</w:t>
            </w:r>
          </w:p>
        </w:tc>
      </w:tr>
      <w:tr>
        <w:tc>
          <w:tcPr>
            <w:tcW w:type="dxa" w:w="3240"/>
            <w:vAlign w:val="center"/>
            <w:tcMar>
              <w:top w:w="90" w:type="dxa"/>
              <w:start w:w="110" w:type="dxa"/>
              <w:bottom w:w="90" w:type="dxa"/>
              <w:end w:w="110" w:type="dxa"/>
            </w:tcMar>
            <w:shd w:fill="F3F4F6"/>
          </w:tcPr>
          <w:p>
            <w:pPr>
              <w:spacing w:after="0"/>
              <w:jc w:val="center"/>
            </w:pPr>
            <w:r/>
            <w:r>
              <w:rPr>
                <w:rFonts w:ascii="Arial" w:hAnsi="Arial"/>
                <w:b w:val="0"/>
                <w:color w:val="222222"/>
                <w:sz w:val="16"/>
              </w:rPr>
              <w:t>measured_speed_mdeg_s</w:t>
            </w:r>
          </w:p>
        </w:tc>
        <w:tc>
          <w:tcPr>
            <w:tcW w:type="dxa" w:w="6552"/>
            <w:vAlign w:val="center"/>
            <w:tcMar>
              <w:top w:w="90" w:type="dxa"/>
              <w:start w:w="110" w:type="dxa"/>
              <w:bottom w:w="90" w:type="dxa"/>
              <w:end w:w="110" w:type="dxa"/>
            </w:tcMar>
            <w:shd w:fill="F3F4F6"/>
          </w:tcPr>
          <w:p>
            <w:pPr>
              <w:spacing w:after="0"/>
              <w:jc w:val="left"/>
            </w:pPr>
            <w:r/>
            <w:r>
              <w:rPr>
                <w:rFonts w:ascii="Arial" w:hAnsi="Arial"/>
                <w:b w:val="0"/>
                <w:color w:val="222222"/>
                <w:sz w:val="16"/>
              </w:rPr>
              <w:t>Measured speed in millidegrees per second</w:t>
            </w:r>
          </w:p>
        </w:tc>
      </w:tr>
      <w:tr>
        <w:tc>
          <w:tcPr>
            <w:tcW w:type="dxa" w:w="3240"/>
            <w:vAlign w:val="center"/>
            <w:tcMar>
              <w:top w:w="90" w:type="dxa"/>
              <w:start w:w="110" w:type="dxa"/>
              <w:bottom w:w="90" w:type="dxa"/>
              <w:end w:w="110" w:type="dxa"/>
            </w:tcMar>
            <w:shd w:fill="FFFFFF"/>
          </w:tcPr>
          <w:p>
            <w:pPr>
              <w:spacing w:after="0"/>
              <w:jc w:val="center"/>
            </w:pPr>
            <w:r/>
            <w:r>
              <w:rPr>
                <w:rFonts w:ascii="Arial" w:hAnsi="Arial"/>
                <w:b w:val="0"/>
                <w:color w:val="222222"/>
                <w:sz w:val="16"/>
              </w:rPr>
              <w:t>error_mdeg</w:t>
            </w:r>
          </w:p>
        </w:tc>
        <w:tc>
          <w:tcPr>
            <w:tcW w:type="dxa" w:w="6552"/>
            <w:vAlign w:val="center"/>
            <w:tcMar>
              <w:top w:w="90" w:type="dxa"/>
              <w:start w:w="110" w:type="dxa"/>
              <w:bottom w:w="90" w:type="dxa"/>
              <w:end w:w="110" w:type="dxa"/>
            </w:tcMar>
            <w:shd w:fill="FFFFFF"/>
          </w:tcPr>
          <w:p>
            <w:pPr>
              <w:spacing w:after="0"/>
              <w:jc w:val="left"/>
            </w:pPr>
            <w:r/>
            <w:r>
              <w:rPr>
                <w:rFonts w:ascii="Arial" w:hAnsi="Arial"/>
                <w:b w:val="0"/>
                <w:color w:val="222222"/>
                <w:sz w:val="16"/>
              </w:rPr>
              <w:t>Position or tracking error in millidegrees</w:t>
            </w:r>
          </w:p>
        </w:tc>
      </w:tr>
      <w:tr>
        <w:tc>
          <w:tcPr>
            <w:tcW w:type="dxa" w:w="3240"/>
            <w:vAlign w:val="center"/>
            <w:tcMar>
              <w:top w:w="90" w:type="dxa"/>
              <w:start w:w="110" w:type="dxa"/>
              <w:bottom w:w="90" w:type="dxa"/>
              <w:end w:w="110" w:type="dxa"/>
            </w:tcMar>
            <w:shd w:fill="F3F4F6"/>
          </w:tcPr>
          <w:p>
            <w:pPr>
              <w:spacing w:after="0"/>
              <w:jc w:val="center"/>
            </w:pPr>
            <w:r/>
            <w:r>
              <w:rPr>
                <w:rFonts w:ascii="Arial" w:hAnsi="Arial"/>
                <w:b w:val="0"/>
                <w:color w:val="222222"/>
                <w:sz w:val="16"/>
              </w:rPr>
              <w:t>state / flags</w:t>
            </w:r>
          </w:p>
        </w:tc>
        <w:tc>
          <w:tcPr>
            <w:tcW w:type="dxa" w:w="6552"/>
            <w:vAlign w:val="center"/>
            <w:tcMar>
              <w:top w:w="90" w:type="dxa"/>
              <w:start w:w="110" w:type="dxa"/>
              <w:bottom w:w="90" w:type="dxa"/>
              <w:end w:w="110" w:type="dxa"/>
            </w:tcMar>
            <w:shd w:fill="F3F4F6"/>
          </w:tcPr>
          <w:p>
            <w:pPr>
              <w:spacing w:after="0"/>
              <w:jc w:val="left"/>
            </w:pPr>
            <w:r/>
            <w:r>
              <w:rPr>
                <w:rFonts w:ascii="Arial" w:hAnsi="Arial"/>
                <w:b w:val="0"/>
                <w:color w:val="222222"/>
                <w:sz w:val="16"/>
              </w:rPr>
              <w:t>Compact target-state and condition indicators</w:t>
            </w:r>
          </w:p>
        </w:tc>
      </w:tr>
    </w:tbl>
    <w:tbl>
      <w:tblPr>
        <w:tblW w:type="auto" w:w="0"/>
        <w:jc w:val="center"/>
        <w:tblLayout w:type="fixed"/>
        <w:tblLook w:firstColumn="1" w:firstRow="1" w:lastColumn="0" w:lastRow="0" w:noHBand="0" w:noVBand="1" w:val="04A0"/>
      </w:tblPr>
      <w:tblGrid>
        <w:gridCol w:w="9504"/>
      </w:tblGrid>
      <w:tr>
        <w:tc>
          <w:tcPr>
            <w:tcW w:type="dxa" w:w="10080"/>
            <w:shd w:fill="FCE8EC"/>
            <w:tcMar>
              <w:top w:w="150" w:type="dxa"/>
              <w:start w:w="180" w:type="dxa"/>
              <w:bottom w:w="150" w:type="dxa"/>
              <w:end w:w="180" w:type="dxa"/>
            </w:tcMar>
          </w:tcPr>
          <w:p>
            <w:pPr>
              <w:spacing w:after="60"/>
            </w:pPr>
            <w:r/>
            <w:r>
              <w:rPr>
                <w:rFonts w:ascii="Arial" w:hAnsi="Arial"/>
                <w:b/>
                <w:color w:val="C8102E"/>
                <w:sz w:val="17"/>
              </w:rPr>
              <w:t>WHY TWO IPC PATHS</w:t>
            </w:r>
          </w:p>
          <w:p>
            <w:pPr>
              <w:spacing w:after="0"/>
            </w:pPr>
            <w:r>
              <w:rPr>
                <w:rFonts w:ascii="Arial" w:hAnsi="Arial"/>
                <w:color w:val="222222"/>
                <w:sz w:val="19"/>
              </w:rPr>
              <w:t>RPMsg is used where message semantics matter. The ring is used where deterministic, low-overhead record transfer matters. This avoids paying RPMsg framing and endpoint-service costs for every sample.</w:t>
            </w:r>
          </w:p>
        </w:tc>
      </w:tr>
    </w:tbl>
    <w:p>
      <w:pPr>
        <w:spacing w:after="0"/>
      </w:pPr>
    </w:p>
    <w:p>
      <w:pPr>
        <w:pStyle w:val="Heading2"/>
      </w:pPr>
      <w:r>
        <w:t>4.3 Throughput</w:t>
      </w:r>
    </w:p>
    <w:p>
      <w:pPr>
        <w:pStyle w:val="BodyText"/>
      </w:pPr>
      <w:r>
        <w:t>At 100 records/s and 64 bytes/record, the custom shared-memory path moves 6.4 kB/s (51.2 kb/s), or approximately 384 kB/min. Regular control traffic is only several hundred application bytes per second before RPMsg framing, so the communication architecture preserves substantial headroom.</w:t>
      </w:r>
    </w:p>
    <w:p>
      <w:r>
        <w:br w:type="page"/>
      </w:r>
    </w:p>
    <w:p>
      <w:pPr>
        <w:pStyle w:val="Heading1"/>
      </w:pPr>
      <w:r>
        <w:t>5. Concurrency, Coherency, and Reliability</w:t>
      </w:r>
    </w:p>
    <w:tbl>
      <w:tblPr>
        <w:tblW w:type="auto" w:w="0"/>
        <w:jc w:val="center"/>
        <w:tblLayout w:type="fixed"/>
        <w:tblLook w:firstColumn="1" w:firstRow="1" w:lastColumn="0" w:lastRow="0" w:noHBand="0" w:noVBand="1" w:val="04A0"/>
      </w:tblPr>
      <w:tblGrid>
        <w:gridCol w:w="2376"/>
        <w:gridCol w:w="7416"/>
      </w:tblGrid>
      <w:tr>
        <w:tc>
          <w:tcPr>
            <w:tcW w:type="dxa" w:w="5040"/>
            <w:vAlign w:val="center"/>
            <w:tcMar>
              <w:top w:w="90" w:type="dxa"/>
              <w:start w:w="110" w:type="dxa"/>
              <w:bottom w:w="90" w:type="dxa"/>
              <w:end w:w="110" w:type="dxa"/>
            </w:tcMar>
            <w:shd w:fill="2E7D32"/>
          </w:tcPr>
          <w:p>
            <w:pPr>
              <w:spacing w:after="0"/>
              <w:jc w:val="center"/>
            </w:pPr>
            <w:r/>
            <w:r>
              <w:rPr>
                <w:rFonts w:ascii="Arial" w:hAnsi="Arial"/>
                <w:b/>
                <w:color w:val="FFFFFF"/>
                <w:sz w:val="16"/>
              </w:rPr>
              <w:t>Mechanism</w:t>
            </w:r>
          </w:p>
        </w:tc>
        <w:tc>
          <w:tcPr>
            <w:tcW w:type="dxa" w:w="5040"/>
            <w:vAlign w:val="center"/>
            <w:tcMar>
              <w:top w:w="90" w:type="dxa"/>
              <w:start w:w="110" w:type="dxa"/>
              <w:bottom w:w="90" w:type="dxa"/>
              <w:end w:w="110" w:type="dxa"/>
            </w:tcMar>
            <w:shd w:fill="2E7D32"/>
          </w:tcPr>
          <w:p>
            <w:pPr>
              <w:spacing w:after="0"/>
              <w:jc w:val="center"/>
            </w:pPr>
            <w:r/>
            <w:r>
              <w:rPr>
                <w:rFonts w:ascii="Arial" w:hAnsi="Arial"/>
                <w:b/>
                <w:color w:val="FFFFFF"/>
                <w:sz w:val="16"/>
              </w:rPr>
              <w:t>Engineering effect</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6"/>
              </w:rPr>
              <w:t>Sequence continuity</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6"/>
              </w:rPr>
              <w:t>Monotonic record numbers and CM4 gap counting expose missing data.</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6"/>
              </w:rPr>
              <w:t>Overflow visibility</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6"/>
              </w:rPr>
              <w:t>Producer increments a drop counter when the ring cannot accept a record.</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6"/>
              </w:rPr>
              <w:t>Core liveness</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6"/>
              </w:rPr>
              <w:t>Independent M7 and M4 heartbeat counters distinguish core-local failures.</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6"/>
              </w:rPr>
              <w:t>Fault propagation</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6"/>
              </w:rPr>
              <w:t>Each core maintains fault flags; RPMsg fault messages transfer status.</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6"/>
              </w:rPr>
              <w:t>Bounded worker load</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6"/>
              </w:rPr>
              <w:t>CM4 consumes no more than 128 records per pass, preserving OpenAMP service cadence.</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6"/>
              </w:rPr>
              <w:t>Memory ordering</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6"/>
              </w:rPr>
              <w:t>Shared-ring implementation uses barriers around producer/consumer state.</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6"/>
              </w:rPr>
              <w:t>Cache safety</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6"/>
              </w:rPr>
              <w:t>M7 MPU policy marks the AXI ring region non-cacheable for coherency.</w:t>
            </w:r>
          </w:p>
        </w:tc>
      </w:tr>
    </w:tbl>
    <w:p>
      <w:pPr>
        <w:pStyle w:val="Heading2"/>
      </w:pPr>
      <w:r>
        <w:t>5.1 Capacity review finding</w:t>
      </w:r>
    </w:p>
    <w:tbl>
      <w:tblPr>
        <w:tblW w:type="auto" w:w="0"/>
        <w:jc w:val="center"/>
        <w:tblLayout w:type="fixed"/>
        <w:tblLook w:firstColumn="1" w:firstRow="1" w:lastColumn="0" w:lastRow="0" w:noHBand="0" w:noVBand="1" w:val="04A0"/>
      </w:tblPr>
      <w:tblGrid>
        <w:gridCol w:w="9504"/>
      </w:tblGrid>
      <w:tr>
        <w:tc>
          <w:tcPr>
            <w:tcW w:type="dxa" w:w="10080"/>
            <w:shd w:fill="FFF3E0"/>
            <w:tcMar>
              <w:top w:w="150" w:type="dxa"/>
              <w:start w:w="180" w:type="dxa"/>
              <w:bottom w:w="150" w:type="dxa"/>
              <w:end w:w="180" w:type="dxa"/>
            </w:tcMar>
          </w:tcPr>
          <w:p>
            <w:pPr>
              <w:spacing w:after="60"/>
            </w:pPr>
            <w:r/>
            <w:r>
              <w:rPr>
                <w:rFonts w:ascii="Arial" w:hAnsi="Arial"/>
                <w:b/>
                <w:color w:val="C8102E"/>
                <w:sz w:val="17"/>
              </w:rPr>
              <w:t>CORRECTIVE ACTION</w:t>
            </w:r>
          </w:p>
          <w:p>
            <w:pPr>
              <w:spacing w:after="0"/>
            </w:pPr>
            <w:r>
              <w:rPr>
                <w:rFonts w:ascii="Arial" w:hAnsi="Arial"/>
                <w:color w:val="222222"/>
                <w:sz w:val="19"/>
              </w:rPr>
              <w:t>The configured 4,096 × 64-byte sample array consumes the full 256 KiB allocation before ring metadata is counted. The public report therefore records this as an engineering review finding. The clean correction is to reduce configured capacity to 4,095 entries or enlarge the reserved memory region.</w:t>
            </w:r>
          </w:p>
        </w:tc>
      </w:tr>
    </w:tbl>
    <w:p>
      <w:pPr>
        <w:spacing w:after="0"/>
      </w:pPr>
    </w:p>
    <w:p>
      <w:pPr>
        <w:pStyle w:val="Heading2"/>
      </w:pPr>
      <w:r>
        <w:t>5.2 Maturity boundary</w:t>
      </w:r>
    </w:p>
    <w:p>
      <w:pPr>
        <w:pStyle w:val="BodyText"/>
      </w:pPr>
      <w:r>
        <w:t>The supplied source set verifies the dual-core IPC architecture and also contains the target motion-control, telemetry, GUI, and characterization stack. The reviewed archive does not provide one release binary proving every module was merged into a single final build; public claims therefore distinguish verified architecture modules from a fully release-qualified integrated binary.</w:t>
      </w:r>
    </w:p>
    <w:p>
      <w:r>
        <w:br w:type="page"/>
      </w:r>
    </w:p>
    <w:p>
      <w:pPr>
        <w:pStyle w:val="Heading1"/>
      </w:pPr>
      <w:r>
        <w:t>6. Target Motion Firmware</w:t>
      </w:r>
    </w:p>
    <w:p>
      <w:pPr>
        <w:pStyle w:val="BodyText"/>
      </w:pPr>
      <w:r>
        <w:t>The target-side motion application keeps pulse timing, encoder capture, test sequencing, and safety behavior on the embedded controller rather than relying on desktop timing. The implementation uses microsecond timing, a fractional pulse accumulator, bounded correction, and target-side health monitoring.</w:t>
      </w:r>
    </w:p>
    <w:tbl>
      <w:tblPr>
        <w:tblW w:type="auto" w:w="0"/>
        <w:jc w:val="center"/>
        <w:tblLayout w:type="fixed"/>
        <w:tblLook w:firstColumn="1" w:firstRow="1" w:lastColumn="0" w:lastRow="0" w:noHBand="0" w:noVBand="1" w:val="04A0"/>
      </w:tblPr>
      <w:tblGrid>
        <w:gridCol w:w="4968"/>
        <w:gridCol w:w="4824"/>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Control/safety item</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Verified value</w:t>
            </w:r>
          </w:p>
        </w:tc>
      </w:tr>
      <w:tr>
        <w:tc>
          <w:tcPr>
            <w:tcW w:type="dxa" w:w="4968"/>
            <w:vAlign w:val="center"/>
            <w:tcMar>
              <w:top w:w="90" w:type="dxa"/>
              <w:start w:w="110" w:type="dxa"/>
              <w:bottom w:w="90" w:type="dxa"/>
              <w:end w:w="110" w:type="dxa"/>
            </w:tcMar>
            <w:shd w:fill="FFFFFF"/>
          </w:tcPr>
          <w:p>
            <w:pPr>
              <w:spacing w:after="0"/>
              <w:jc w:val="center"/>
            </w:pPr>
            <w:r/>
            <w:r>
              <w:rPr>
                <w:rFonts w:ascii="Arial" w:hAnsi="Arial"/>
                <w:b w:val="0"/>
                <w:color w:val="222222"/>
                <w:sz w:val="16"/>
              </w:rPr>
              <w:t>STEP pulse high time</w:t>
            </w:r>
          </w:p>
        </w:tc>
        <w:tc>
          <w:tcPr>
            <w:tcW w:type="dxa" w:w="4824"/>
            <w:vAlign w:val="center"/>
            <w:tcMar>
              <w:top w:w="90" w:type="dxa"/>
              <w:start w:w="110" w:type="dxa"/>
              <w:bottom w:w="90" w:type="dxa"/>
              <w:end w:w="110" w:type="dxa"/>
            </w:tcMar>
            <w:shd w:fill="FFFFFF"/>
          </w:tcPr>
          <w:p>
            <w:pPr>
              <w:spacing w:after="0"/>
              <w:jc w:val="left"/>
            </w:pPr>
            <w:r/>
            <w:r>
              <w:rPr>
                <w:rFonts w:ascii="Arial" w:hAnsi="Arial"/>
                <w:b w:val="0"/>
                <w:color w:val="222222"/>
                <w:sz w:val="16"/>
              </w:rPr>
              <w:t>4 µs</w:t>
            </w:r>
          </w:p>
        </w:tc>
      </w:tr>
      <w:tr>
        <w:tc>
          <w:tcPr>
            <w:tcW w:type="dxa" w:w="4968"/>
            <w:vAlign w:val="center"/>
            <w:tcMar>
              <w:top w:w="90" w:type="dxa"/>
              <w:start w:w="110" w:type="dxa"/>
              <w:bottom w:w="90" w:type="dxa"/>
              <w:end w:w="110" w:type="dxa"/>
            </w:tcMar>
            <w:shd w:fill="F3F4F6"/>
          </w:tcPr>
          <w:p>
            <w:pPr>
              <w:spacing w:after="0"/>
              <w:jc w:val="center"/>
            </w:pPr>
            <w:r/>
            <w:r>
              <w:rPr>
                <w:rFonts w:ascii="Arial" w:hAnsi="Arial"/>
                <w:b w:val="0"/>
                <w:color w:val="222222"/>
                <w:sz w:val="16"/>
              </w:rPr>
              <w:t>Step-rate safety cap</w:t>
            </w:r>
          </w:p>
        </w:tc>
        <w:tc>
          <w:tcPr>
            <w:tcW w:type="dxa" w:w="4824"/>
            <w:vAlign w:val="center"/>
            <w:tcMar>
              <w:top w:w="90" w:type="dxa"/>
              <w:start w:w="110" w:type="dxa"/>
              <w:bottom w:w="90" w:type="dxa"/>
              <w:end w:w="110" w:type="dxa"/>
            </w:tcMar>
            <w:shd w:fill="F3F4F6"/>
          </w:tcPr>
          <w:p>
            <w:pPr>
              <w:spacing w:after="0"/>
              <w:jc w:val="left"/>
            </w:pPr>
            <w:r/>
            <w:r>
              <w:rPr>
                <w:rFonts w:ascii="Arial" w:hAnsi="Arial"/>
                <w:b w:val="0"/>
                <w:color w:val="222222"/>
                <w:sz w:val="16"/>
              </w:rPr>
              <w:t>25,000 pulses/s</w:t>
            </w:r>
          </w:p>
        </w:tc>
      </w:tr>
      <w:tr>
        <w:tc>
          <w:tcPr>
            <w:tcW w:type="dxa" w:w="4968"/>
            <w:vAlign w:val="center"/>
            <w:tcMar>
              <w:top w:w="90" w:type="dxa"/>
              <w:start w:w="110" w:type="dxa"/>
              <w:bottom w:w="90" w:type="dxa"/>
              <w:end w:w="110" w:type="dxa"/>
            </w:tcMar>
            <w:shd w:fill="FFFFFF"/>
          </w:tcPr>
          <w:p>
            <w:pPr>
              <w:spacing w:after="0"/>
              <w:jc w:val="center"/>
            </w:pPr>
            <w:r/>
            <w:r>
              <w:rPr>
                <w:rFonts w:ascii="Arial" w:hAnsi="Arial"/>
                <w:b w:val="0"/>
                <w:color w:val="222222"/>
                <w:sz w:val="16"/>
              </w:rPr>
              <w:t>Maximum pulse backlog emitted per pass</w:t>
            </w:r>
          </w:p>
        </w:tc>
        <w:tc>
          <w:tcPr>
            <w:tcW w:type="dxa" w:w="4824"/>
            <w:vAlign w:val="center"/>
            <w:tcMar>
              <w:top w:w="90" w:type="dxa"/>
              <w:start w:w="110" w:type="dxa"/>
              <w:bottom w:w="90" w:type="dxa"/>
              <w:end w:w="110" w:type="dxa"/>
            </w:tcMar>
            <w:shd w:fill="FFFFFF"/>
          </w:tcPr>
          <w:p>
            <w:pPr>
              <w:spacing w:after="0"/>
              <w:jc w:val="left"/>
            </w:pPr>
            <w:r/>
            <w:r>
              <w:rPr>
                <w:rFonts w:ascii="Arial" w:hAnsi="Arial"/>
                <w:b w:val="0"/>
                <w:color w:val="222222"/>
                <w:sz w:val="16"/>
              </w:rPr>
              <w:t>25 pulses</w:t>
            </w:r>
          </w:p>
        </w:tc>
      </w:tr>
      <w:tr>
        <w:tc>
          <w:tcPr>
            <w:tcW w:type="dxa" w:w="4968"/>
            <w:vAlign w:val="center"/>
            <w:tcMar>
              <w:top w:w="90" w:type="dxa"/>
              <w:start w:w="110" w:type="dxa"/>
              <w:bottom w:w="90" w:type="dxa"/>
              <w:end w:w="110" w:type="dxa"/>
            </w:tcMar>
            <w:shd w:fill="F3F4F6"/>
          </w:tcPr>
          <w:p>
            <w:pPr>
              <w:spacing w:after="0"/>
              <w:jc w:val="center"/>
            </w:pPr>
            <w:r/>
            <w:r>
              <w:rPr>
                <w:rFonts w:ascii="Arial" w:hAnsi="Arial"/>
                <w:b w:val="0"/>
                <w:color w:val="222222"/>
                <w:sz w:val="16"/>
              </w:rPr>
              <w:t>Loop-overrun warning threshold</w:t>
            </w:r>
          </w:p>
        </w:tc>
        <w:tc>
          <w:tcPr>
            <w:tcW w:type="dxa" w:w="4824"/>
            <w:vAlign w:val="center"/>
            <w:tcMar>
              <w:top w:w="90" w:type="dxa"/>
              <w:start w:w="110" w:type="dxa"/>
              <w:bottom w:w="90" w:type="dxa"/>
              <w:end w:w="110" w:type="dxa"/>
            </w:tcMar>
            <w:shd w:fill="F3F4F6"/>
          </w:tcPr>
          <w:p>
            <w:pPr>
              <w:spacing w:after="0"/>
              <w:jc w:val="left"/>
            </w:pPr>
            <w:r/>
            <w:r>
              <w:rPr>
                <w:rFonts w:ascii="Arial" w:hAnsi="Arial"/>
                <w:b w:val="0"/>
                <w:color w:val="222222"/>
                <w:sz w:val="16"/>
              </w:rPr>
              <w:t>25 ms</w:t>
            </w:r>
          </w:p>
        </w:tc>
      </w:tr>
      <w:tr>
        <w:tc>
          <w:tcPr>
            <w:tcW w:type="dxa" w:w="4968"/>
            <w:vAlign w:val="center"/>
            <w:tcMar>
              <w:top w:w="90" w:type="dxa"/>
              <w:start w:w="110" w:type="dxa"/>
              <w:bottom w:w="90" w:type="dxa"/>
              <w:end w:w="110" w:type="dxa"/>
            </w:tcMar>
            <w:shd w:fill="FFFFFF"/>
          </w:tcPr>
          <w:p>
            <w:pPr>
              <w:spacing w:after="0"/>
              <w:jc w:val="center"/>
            </w:pPr>
            <w:r/>
            <w:r>
              <w:rPr>
                <w:rFonts w:ascii="Arial" w:hAnsi="Arial"/>
                <w:b w:val="0"/>
                <w:color w:val="222222"/>
                <w:sz w:val="16"/>
              </w:rPr>
              <w:t>Speed-estimation window</w:t>
            </w:r>
          </w:p>
        </w:tc>
        <w:tc>
          <w:tcPr>
            <w:tcW w:type="dxa" w:w="4824"/>
            <w:vAlign w:val="center"/>
            <w:tcMar>
              <w:top w:w="90" w:type="dxa"/>
              <w:start w:w="110" w:type="dxa"/>
              <w:bottom w:w="90" w:type="dxa"/>
              <w:end w:w="110" w:type="dxa"/>
            </w:tcMar>
            <w:shd w:fill="FFFFFF"/>
          </w:tcPr>
          <w:p>
            <w:pPr>
              <w:spacing w:after="0"/>
              <w:jc w:val="left"/>
            </w:pPr>
            <w:r/>
            <w:r>
              <w:rPr>
                <w:rFonts w:ascii="Arial" w:hAnsi="Arial"/>
                <w:b w:val="0"/>
                <w:color w:val="222222"/>
                <w:sz w:val="16"/>
              </w:rPr>
              <w:t>500 ms</w:t>
            </w:r>
          </w:p>
        </w:tc>
      </w:tr>
      <w:tr>
        <w:tc>
          <w:tcPr>
            <w:tcW w:type="dxa" w:w="4968"/>
            <w:vAlign w:val="center"/>
            <w:tcMar>
              <w:top w:w="90" w:type="dxa"/>
              <w:start w:w="110" w:type="dxa"/>
              <w:bottom w:w="90" w:type="dxa"/>
              <w:end w:w="110" w:type="dxa"/>
            </w:tcMar>
            <w:shd w:fill="F3F4F6"/>
          </w:tcPr>
          <w:p>
            <w:pPr>
              <w:spacing w:after="0"/>
              <w:jc w:val="center"/>
            </w:pPr>
            <w:r/>
            <w:r>
              <w:rPr>
                <w:rFonts w:ascii="Arial" w:hAnsi="Arial"/>
                <w:b w:val="0"/>
                <w:color w:val="222222"/>
                <w:sz w:val="16"/>
              </w:rPr>
              <w:t>Position-correction gain</w:t>
            </w:r>
          </w:p>
        </w:tc>
        <w:tc>
          <w:tcPr>
            <w:tcW w:type="dxa" w:w="4824"/>
            <w:vAlign w:val="center"/>
            <w:tcMar>
              <w:top w:w="90" w:type="dxa"/>
              <w:start w:w="110" w:type="dxa"/>
              <w:bottom w:w="90" w:type="dxa"/>
              <w:end w:w="110" w:type="dxa"/>
            </w:tcMar>
            <w:shd w:fill="F3F4F6"/>
          </w:tcPr>
          <w:p>
            <w:pPr>
              <w:spacing w:after="0"/>
              <w:jc w:val="left"/>
            </w:pPr>
            <w:r/>
            <w:r>
              <w:rPr>
                <w:rFonts w:ascii="Arial" w:hAnsi="Arial"/>
                <w:b w:val="0"/>
                <w:color w:val="222222"/>
                <w:sz w:val="16"/>
              </w:rPr>
              <w:t>20 pulse-Hz/degree</w:t>
            </w:r>
          </w:p>
        </w:tc>
      </w:tr>
      <w:tr>
        <w:tc>
          <w:tcPr>
            <w:tcW w:type="dxa" w:w="4968"/>
            <w:vAlign w:val="center"/>
            <w:tcMar>
              <w:top w:w="90" w:type="dxa"/>
              <w:start w:w="110" w:type="dxa"/>
              <w:bottom w:w="90" w:type="dxa"/>
              <w:end w:w="110" w:type="dxa"/>
            </w:tcMar>
            <w:shd w:fill="FFFFFF"/>
          </w:tcPr>
          <w:p>
            <w:pPr>
              <w:spacing w:after="0"/>
              <w:jc w:val="center"/>
            </w:pPr>
            <w:r/>
            <w:r>
              <w:rPr>
                <w:rFonts w:ascii="Arial" w:hAnsi="Arial"/>
                <w:b w:val="0"/>
                <w:color w:val="222222"/>
                <w:sz w:val="16"/>
              </w:rPr>
              <w:t>Absolute correction cap</w:t>
            </w:r>
          </w:p>
        </w:tc>
        <w:tc>
          <w:tcPr>
            <w:tcW w:type="dxa" w:w="4824"/>
            <w:vAlign w:val="center"/>
            <w:tcMar>
              <w:top w:w="90" w:type="dxa"/>
              <w:start w:w="110" w:type="dxa"/>
              <w:bottom w:w="90" w:type="dxa"/>
              <w:end w:w="110" w:type="dxa"/>
            </w:tcMar>
            <w:shd w:fill="FFFFFF"/>
          </w:tcPr>
          <w:p>
            <w:pPr>
              <w:spacing w:after="0"/>
              <w:jc w:val="left"/>
            </w:pPr>
            <w:r/>
            <w:r>
              <w:rPr>
                <w:rFonts w:ascii="Arial" w:hAnsi="Arial"/>
                <w:b w:val="0"/>
                <w:color w:val="222222"/>
                <w:sz w:val="16"/>
              </w:rPr>
              <w:t>250 Hz</w:t>
            </w:r>
          </w:p>
        </w:tc>
      </w:tr>
      <w:tr>
        <w:tc>
          <w:tcPr>
            <w:tcW w:type="dxa" w:w="4968"/>
            <w:vAlign w:val="center"/>
            <w:tcMar>
              <w:top w:w="90" w:type="dxa"/>
              <w:start w:w="110" w:type="dxa"/>
              <w:bottom w:w="90" w:type="dxa"/>
              <w:end w:w="110" w:type="dxa"/>
            </w:tcMar>
            <w:shd w:fill="F3F4F6"/>
          </w:tcPr>
          <w:p>
            <w:pPr>
              <w:spacing w:after="0"/>
              <w:jc w:val="center"/>
            </w:pPr>
            <w:r/>
            <w:r>
              <w:rPr>
                <w:rFonts w:ascii="Arial" w:hAnsi="Arial"/>
                <w:b w:val="0"/>
                <w:color w:val="222222"/>
                <w:sz w:val="16"/>
              </w:rPr>
              <w:t>Relative correction cap</w:t>
            </w:r>
          </w:p>
        </w:tc>
        <w:tc>
          <w:tcPr>
            <w:tcW w:type="dxa" w:w="4824"/>
            <w:vAlign w:val="center"/>
            <w:tcMar>
              <w:top w:w="90" w:type="dxa"/>
              <w:start w:w="110" w:type="dxa"/>
              <w:bottom w:w="90" w:type="dxa"/>
              <w:end w:w="110" w:type="dxa"/>
            </w:tcMar>
            <w:shd w:fill="F3F4F6"/>
          </w:tcPr>
          <w:p>
            <w:pPr>
              <w:spacing w:after="0"/>
              <w:jc w:val="left"/>
            </w:pPr>
            <w:r/>
            <w:r>
              <w:rPr>
                <w:rFonts w:ascii="Arial" w:hAnsi="Arial"/>
                <w:b w:val="0"/>
                <w:color w:val="222222"/>
                <w:sz w:val="16"/>
              </w:rPr>
              <w:t>5% of feedforward rate</w:t>
            </w:r>
          </w:p>
        </w:tc>
      </w:tr>
      <w:tr>
        <w:tc>
          <w:tcPr>
            <w:tcW w:type="dxa" w:w="4968"/>
            <w:vAlign w:val="center"/>
            <w:tcMar>
              <w:top w:w="90" w:type="dxa"/>
              <w:start w:w="110" w:type="dxa"/>
              <w:bottom w:w="90" w:type="dxa"/>
              <w:end w:w="110" w:type="dxa"/>
            </w:tcMar>
            <w:shd w:fill="FFFFFF"/>
          </w:tcPr>
          <w:p>
            <w:pPr>
              <w:spacing w:after="0"/>
              <w:jc w:val="center"/>
            </w:pPr>
            <w:r/>
            <w:r>
              <w:rPr>
                <w:rFonts w:ascii="Arial" w:hAnsi="Arial"/>
                <w:b w:val="0"/>
                <w:color w:val="222222"/>
                <w:sz w:val="16"/>
              </w:rPr>
              <w:t>Host heartbeat</w:t>
            </w:r>
          </w:p>
        </w:tc>
        <w:tc>
          <w:tcPr>
            <w:tcW w:type="dxa" w:w="4824"/>
            <w:vAlign w:val="center"/>
            <w:tcMar>
              <w:top w:w="90" w:type="dxa"/>
              <w:start w:w="110" w:type="dxa"/>
              <w:bottom w:w="90" w:type="dxa"/>
              <w:end w:w="110" w:type="dxa"/>
            </w:tcMar>
            <w:shd w:fill="FFFFFF"/>
          </w:tcPr>
          <w:p>
            <w:pPr>
              <w:spacing w:after="0"/>
              <w:jc w:val="left"/>
            </w:pPr>
            <w:r/>
            <w:r>
              <w:rPr>
                <w:rFonts w:ascii="Arial" w:hAnsi="Arial"/>
                <w:b w:val="0"/>
                <w:color w:val="222222"/>
                <w:sz w:val="16"/>
              </w:rPr>
              <w:t>500 ms</w:t>
            </w:r>
          </w:p>
        </w:tc>
      </w:tr>
      <w:tr>
        <w:tc>
          <w:tcPr>
            <w:tcW w:type="dxa" w:w="4968"/>
            <w:vAlign w:val="center"/>
            <w:tcMar>
              <w:top w:w="90" w:type="dxa"/>
              <w:start w:w="110" w:type="dxa"/>
              <w:bottom w:w="90" w:type="dxa"/>
              <w:end w:w="110" w:type="dxa"/>
            </w:tcMar>
            <w:shd w:fill="F3F4F6"/>
          </w:tcPr>
          <w:p>
            <w:pPr>
              <w:spacing w:after="0"/>
              <w:jc w:val="center"/>
            </w:pPr>
            <w:r/>
            <w:r>
              <w:rPr>
                <w:rFonts w:ascii="Arial" w:hAnsi="Arial"/>
                <w:b w:val="0"/>
                <w:color w:val="222222"/>
                <w:sz w:val="16"/>
              </w:rPr>
              <w:t>Target deadman timeout</w:t>
            </w:r>
          </w:p>
        </w:tc>
        <w:tc>
          <w:tcPr>
            <w:tcW w:type="dxa" w:w="4824"/>
            <w:vAlign w:val="center"/>
            <w:tcMar>
              <w:top w:w="90" w:type="dxa"/>
              <w:start w:w="110" w:type="dxa"/>
              <w:bottom w:w="90" w:type="dxa"/>
              <w:end w:w="110" w:type="dxa"/>
            </w:tcMar>
            <w:shd w:fill="F3F4F6"/>
          </w:tcPr>
          <w:p>
            <w:pPr>
              <w:spacing w:after="0"/>
              <w:jc w:val="left"/>
            </w:pPr>
            <w:r/>
            <w:r>
              <w:rPr>
                <w:rFonts w:ascii="Arial" w:hAnsi="Arial"/>
                <w:b w:val="0"/>
                <w:color w:val="222222"/>
                <w:sz w:val="16"/>
              </w:rPr>
              <w:t>2,000 ms</w:t>
            </w:r>
          </w:p>
        </w:tc>
      </w:tr>
    </w:tbl>
    <w:p>
      <w:pPr>
        <w:pStyle w:val="Heading2"/>
      </w:pPr>
      <w:r>
        <w:t>6.1 Encoder and motion scaling</w:t>
      </w:r>
    </w:p>
    <w:tbl>
      <w:tblPr>
        <w:tblW w:type="auto" w:w="0"/>
        <w:jc w:val="center"/>
        <w:tblLayout w:type="fixed"/>
        <w:tblLook w:firstColumn="1" w:firstRow="1" w:lastColumn="0" w:lastRow="0" w:noHBand="0" w:noVBand="1" w:val="04A0"/>
      </w:tblPr>
      <w:tblGrid>
        <w:gridCol w:w="4968"/>
        <w:gridCol w:w="4824"/>
      </w:tblGrid>
      <w:tr>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Parameter</w:t>
            </w:r>
          </w:p>
        </w:tc>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Value</w:t>
            </w:r>
          </w:p>
        </w:tc>
      </w:tr>
      <w:tr>
        <w:tc>
          <w:tcPr>
            <w:tcW w:type="dxa" w:w="4968"/>
            <w:vAlign w:val="center"/>
            <w:tcMar>
              <w:top w:w="90" w:type="dxa"/>
              <w:start w:w="110" w:type="dxa"/>
              <w:bottom w:w="90" w:type="dxa"/>
              <w:end w:w="110" w:type="dxa"/>
            </w:tcMar>
            <w:shd w:fill="FFFFFF"/>
          </w:tcPr>
          <w:p>
            <w:pPr>
              <w:spacing w:after="0"/>
              <w:jc w:val="center"/>
            </w:pPr>
            <w:r/>
            <w:r>
              <w:rPr>
                <w:rFonts w:ascii="Arial" w:hAnsi="Arial"/>
                <w:b w:val="0"/>
                <w:color w:val="222222"/>
                <w:sz w:val="16"/>
              </w:rPr>
              <w:t>Motor full steps/revolution</w:t>
            </w:r>
          </w:p>
        </w:tc>
        <w:tc>
          <w:tcPr>
            <w:tcW w:type="dxa" w:w="4824"/>
            <w:vAlign w:val="center"/>
            <w:tcMar>
              <w:top w:w="90" w:type="dxa"/>
              <w:start w:w="110" w:type="dxa"/>
              <w:bottom w:w="90" w:type="dxa"/>
              <w:end w:w="110" w:type="dxa"/>
            </w:tcMar>
            <w:shd w:fill="FFFFFF"/>
          </w:tcPr>
          <w:p>
            <w:pPr>
              <w:spacing w:after="0"/>
              <w:jc w:val="left"/>
            </w:pPr>
            <w:r/>
            <w:r>
              <w:rPr>
                <w:rFonts w:ascii="Arial" w:hAnsi="Arial"/>
                <w:b w:val="0"/>
                <w:color w:val="222222"/>
                <w:sz w:val="16"/>
              </w:rPr>
              <w:t>200</w:t>
            </w:r>
          </w:p>
        </w:tc>
      </w:tr>
      <w:tr>
        <w:tc>
          <w:tcPr>
            <w:tcW w:type="dxa" w:w="4968"/>
            <w:vAlign w:val="center"/>
            <w:tcMar>
              <w:top w:w="90" w:type="dxa"/>
              <w:start w:w="110" w:type="dxa"/>
              <w:bottom w:w="90" w:type="dxa"/>
              <w:end w:w="110" w:type="dxa"/>
            </w:tcMar>
            <w:shd w:fill="F3F4F6"/>
          </w:tcPr>
          <w:p>
            <w:pPr>
              <w:spacing w:after="0"/>
              <w:jc w:val="center"/>
            </w:pPr>
            <w:r/>
            <w:r>
              <w:rPr>
                <w:rFonts w:ascii="Arial" w:hAnsi="Arial"/>
                <w:b w:val="0"/>
                <w:color w:val="222222"/>
                <w:sz w:val="16"/>
              </w:rPr>
              <w:t>Microsteps/full step</w:t>
            </w:r>
          </w:p>
        </w:tc>
        <w:tc>
          <w:tcPr>
            <w:tcW w:type="dxa" w:w="4824"/>
            <w:vAlign w:val="center"/>
            <w:tcMar>
              <w:top w:w="90" w:type="dxa"/>
              <w:start w:w="110" w:type="dxa"/>
              <w:bottom w:w="90" w:type="dxa"/>
              <w:end w:w="110" w:type="dxa"/>
            </w:tcMar>
            <w:shd w:fill="F3F4F6"/>
          </w:tcPr>
          <w:p>
            <w:pPr>
              <w:spacing w:after="0"/>
              <w:jc w:val="left"/>
            </w:pPr>
            <w:r/>
            <w:r>
              <w:rPr>
                <w:rFonts w:ascii="Arial" w:hAnsi="Arial"/>
                <w:b w:val="0"/>
                <w:color w:val="222222"/>
                <w:sz w:val="16"/>
              </w:rPr>
              <w:t>256 in ultra-slow configuration</w:t>
            </w:r>
          </w:p>
        </w:tc>
      </w:tr>
      <w:tr>
        <w:tc>
          <w:tcPr>
            <w:tcW w:type="dxa" w:w="4968"/>
            <w:vAlign w:val="center"/>
            <w:tcMar>
              <w:top w:w="90" w:type="dxa"/>
              <w:start w:w="110" w:type="dxa"/>
              <w:bottom w:w="90" w:type="dxa"/>
              <w:end w:w="110" w:type="dxa"/>
            </w:tcMar>
            <w:shd w:fill="FFFFFF"/>
          </w:tcPr>
          <w:p>
            <w:pPr>
              <w:spacing w:after="0"/>
              <w:jc w:val="center"/>
            </w:pPr>
            <w:r/>
            <w:r>
              <w:rPr>
                <w:rFonts w:ascii="Arial" w:hAnsi="Arial"/>
                <w:b w:val="0"/>
                <w:color w:val="222222"/>
                <w:sz w:val="16"/>
              </w:rPr>
              <w:t>Gear ratio</w:t>
            </w:r>
          </w:p>
        </w:tc>
        <w:tc>
          <w:tcPr>
            <w:tcW w:type="dxa" w:w="4824"/>
            <w:vAlign w:val="center"/>
            <w:tcMar>
              <w:top w:w="90" w:type="dxa"/>
              <w:start w:w="110" w:type="dxa"/>
              <w:bottom w:w="90" w:type="dxa"/>
              <w:end w:w="110" w:type="dxa"/>
            </w:tcMar>
            <w:shd w:fill="FFFFFF"/>
          </w:tcPr>
          <w:p>
            <w:pPr>
              <w:spacing w:after="0"/>
              <w:jc w:val="left"/>
            </w:pPr>
            <w:r/>
            <w:r>
              <w:rPr>
                <w:rFonts w:ascii="Arial" w:hAnsi="Arial"/>
                <w:b w:val="0"/>
                <w:color w:val="222222"/>
                <w:sz w:val="16"/>
              </w:rPr>
              <w:t>24.65:1</w:t>
            </w:r>
          </w:p>
        </w:tc>
      </w:tr>
      <w:tr>
        <w:tc>
          <w:tcPr>
            <w:tcW w:type="dxa" w:w="4968"/>
            <w:vAlign w:val="center"/>
            <w:tcMar>
              <w:top w:w="90" w:type="dxa"/>
              <w:start w:w="110" w:type="dxa"/>
              <w:bottom w:w="90" w:type="dxa"/>
              <w:end w:w="110" w:type="dxa"/>
            </w:tcMar>
            <w:shd w:fill="F3F4F6"/>
          </w:tcPr>
          <w:p>
            <w:pPr>
              <w:spacing w:after="0"/>
              <w:jc w:val="center"/>
            </w:pPr>
            <w:r/>
            <w:r>
              <w:rPr>
                <w:rFonts w:ascii="Arial" w:hAnsi="Arial"/>
                <w:b w:val="0"/>
                <w:color w:val="222222"/>
                <w:sz w:val="16"/>
              </w:rPr>
              <w:t>Driver pulses/table revolution</w:t>
            </w:r>
          </w:p>
        </w:tc>
        <w:tc>
          <w:tcPr>
            <w:tcW w:type="dxa" w:w="4824"/>
            <w:vAlign w:val="center"/>
            <w:tcMar>
              <w:top w:w="90" w:type="dxa"/>
              <w:start w:w="110" w:type="dxa"/>
              <w:bottom w:w="90" w:type="dxa"/>
              <w:end w:w="110" w:type="dxa"/>
            </w:tcMar>
            <w:shd w:fill="F3F4F6"/>
          </w:tcPr>
          <w:p>
            <w:pPr>
              <w:spacing w:after="0"/>
              <w:jc w:val="left"/>
            </w:pPr>
            <w:r/>
            <w:r>
              <w:rPr>
                <w:rFonts w:ascii="Arial" w:hAnsi="Arial"/>
                <w:b w:val="0"/>
                <w:color w:val="222222"/>
                <w:sz w:val="16"/>
              </w:rPr>
              <w:t>1,262,080</w:t>
            </w:r>
          </w:p>
        </w:tc>
      </w:tr>
      <w:tr>
        <w:tc>
          <w:tcPr>
            <w:tcW w:type="dxa" w:w="4968"/>
            <w:vAlign w:val="center"/>
            <w:tcMar>
              <w:top w:w="90" w:type="dxa"/>
              <w:start w:w="110" w:type="dxa"/>
              <w:bottom w:w="90" w:type="dxa"/>
              <w:end w:w="110" w:type="dxa"/>
            </w:tcMar>
            <w:shd w:fill="FFFFFF"/>
          </w:tcPr>
          <w:p>
            <w:pPr>
              <w:spacing w:after="0"/>
              <w:jc w:val="center"/>
            </w:pPr>
            <w:r/>
            <w:r>
              <w:rPr>
                <w:rFonts w:ascii="Arial" w:hAnsi="Arial"/>
                <w:b w:val="0"/>
                <w:color w:val="222222"/>
                <w:sz w:val="16"/>
              </w:rPr>
              <w:t>Pulse command increment</w:t>
            </w:r>
          </w:p>
        </w:tc>
        <w:tc>
          <w:tcPr>
            <w:tcW w:type="dxa" w:w="4824"/>
            <w:vAlign w:val="center"/>
            <w:tcMar>
              <w:top w:w="90" w:type="dxa"/>
              <w:start w:w="110" w:type="dxa"/>
              <w:bottom w:w="90" w:type="dxa"/>
              <w:end w:w="110" w:type="dxa"/>
            </w:tcMar>
            <w:shd w:fill="FFFFFF"/>
          </w:tcPr>
          <w:p>
            <w:pPr>
              <w:spacing w:after="0"/>
              <w:jc w:val="left"/>
            </w:pPr>
            <w:r/>
            <w:r>
              <w:rPr>
                <w:rFonts w:ascii="Arial" w:hAnsi="Arial"/>
                <w:b w:val="0"/>
                <w:color w:val="222222"/>
                <w:sz w:val="16"/>
              </w:rPr>
              <w:t>~0.000285°/pulse</w:t>
            </w:r>
          </w:p>
        </w:tc>
      </w:tr>
      <w:tr>
        <w:tc>
          <w:tcPr>
            <w:tcW w:type="dxa" w:w="4968"/>
            <w:vAlign w:val="center"/>
            <w:tcMar>
              <w:top w:w="90" w:type="dxa"/>
              <w:start w:w="110" w:type="dxa"/>
              <w:bottom w:w="90" w:type="dxa"/>
              <w:end w:w="110" w:type="dxa"/>
            </w:tcMar>
            <w:shd w:fill="F3F4F6"/>
          </w:tcPr>
          <w:p>
            <w:pPr>
              <w:spacing w:after="0"/>
              <w:jc w:val="center"/>
            </w:pPr>
            <w:r/>
            <w:r>
              <w:rPr>
                <w:rFonts w:ascii="Arial" w:hAnsi="Arial"/>
                <w:b w:val="0"/>
                <w:color w:val="222222"/>
                <w:sz w:val="16"/>
              </w:rPr>
              <w:t>Encoder CPR</w:t>
            </w:r>
          </w:p>
        </w:tc>
        <w:tc>
          <w:tcPr>
            <w:tcW w:type="dxa" w:w="4824"/>
            <w:vAlign w:val="center"/>
            <w:tcMar>
              <w:top w:w="90" w:type="dxa"/>
              <w:start w:w="110" w:type="dxa"/>
              <w:bottom w:w="90" w:type="dxa"/>
              <w:end w:w="110" w:type="dxa"/>
            </w:tcMar>
            <w:shd w:fill="F3F4F6"/>
          </w:tcPr>
          <w:p>
            <w:pPr>
              <w:spacing w:after="0"/>
              <w:jc w:val="left"/>
            </w:pPr>
            <w:r/>
            <w:r>
              <w:rPr>
                <w:rFonts w:ascii="Arial" w:hAnsi="Arial"/>
                <w:b w:val="0"/>
                <w:color w:val="222222"/>
                <w:sz w:val="16"/>
              </w:rPr>
              <w:t>5,000</w:t>
            </w:r>
          </w:p>
        </w:tc>
      </w:tr>
      <w:tr>
        <w:tc>
          <w:tcPr>
            <w:tcW w:type="dxa" w:w="4968"/>
            <w:vAlign w:val="center"/>
            <w:tcMar>
              <w:top w:w="90" w:type="dxa"/>
              <w:start w:w="110" w:type="dxa"/>
              <w:bottom w:w="90" w:type="dxa"/>
              <w:end w:w="110" w:type="dxa"/>
            </w:tcMar>
            <w:shd w:fill="FFFFFF"/>
          </w:tcPr>
          <w:p>
            <w:pPr>
              <w:spacing w:after="0"/>
              <w:jc w:val="center"/>
            </w:pPr>
            <w:r/>
            <w:r>
              <w:rPr>
                <w:rFonts w:ascii="Arial" w:hAnsi="Arial"/>
                <w:b w:val="0"/>
                <w:color w:val="222222"/>
                <w:sz w:val="16"/>
              </w:rPr>
              <w:t>Effective table counts/revolution</w:t>
            </w:r>
          </w:p>
        </w:tc>
        <w:tc>
          <w:tcPr>
            <w:tcW w:type="dxa" w:w="4824"/>
            <w:vAlign w:val="center"/>
            <w:tcMar>
              <w:top w:w="90" w:type="dxa"/>
              <w:start w:w="110" w:type="dxa"/>
              <w:bottom w:w="90" w:type="dxa"/>
              <w:end w:w="110" w:type="dxa"/>
            </w:tcMar>
            <w:shd w:fill="FFFFFF"/>
          </w:tcPr>
          <w:p>
            <w:pPr>
              <w:spacing w:after="0"/>
              <w:jc w:val="left"/>
            </w:pPr>
            <w:r/>
            <w:r>
              <w:rPr>
                <w:rFonts w:ascii="Arial" w:hAnsi="Arial"/>
                <w:b w:val="0"/>
                <w:color w:val="222222"/>
                <w:sz w:val="16"/>
              </w:rPr>
              <w:t>246,500</w:t>
            </w:r>
          </w:p>
        </w:tc>
      </w:tr>
      <w:tr>
        <w:tc>
          <w:tcPr>
            <w:tcW w:type="dxa" w:w="4968"/>
            <w:vAlign w:val="center"/>
            <w:tcMar>
              <w:top w:w="90" w:type="dxa"/>
              <w:start w:w="110" w:type="dxa"/>
              <w:bottom w:w="90" w:type="dxa"/>
              <w:end w:w="110" w:type="dxa"/>
            </w:tcMar>
            <w:shd w:fill="F3F4F6"/>
          </w:tcPr>
          <w:p>
            <w:pPr>
              <w:spacing w:after="0"/>
              <w:jc w:val="center"/>
            </w:pPr>
            <w:r/>
            <w:r>
              <w:rPr>
                <w:rFonts w:ascii="Arial" w:hAnsi="Arial"/>
                <w:b w:val="0"/>
                <w:color w:val="222222"/>
                <w:sz w:val="16"/>
              </w:rPr>
              <w:t>Measured angular increment</w:t>
            </w:r>
          </w:p>
        </w:tc>
        <w:tc>
          <w:tcPr>
            <w:tcW w:type="dxa" w:w="4824"/>
            <w:vAlign w:val="center"/>
            <w:tcMar>
              <w:top w:w="90" w:type="dxa"/>
              <w:start w:w="110" w:type="dxa"/>
              <w:bottom w:w="90" w:type="dxa"/>
              <w:end w:w="110" w:type="dxa"/>
            </w:tcMar>
            <w:shd w:fill="F3F4F6"/>
          </w:tcPr>
          <w:p>
            <w:pPr>
              <w:spacing w:after="0"/>
              <w:jc w:val="left"/>
            </w:pPr>
            <w:r/>
            <w:r>
              <w:rPr>
                <w:rFonts w:ascii="Arial" w:hAnsi="Arial"/>
                <w:b w:val="0"/>
                <w:color w:val="222222"/>
                <w:sz w:val="16"/>
              </w:rPr>
              <w:t>~0.001460°/count</w:t>
            </w:r>
          </w:p>
        </w:tc>
      </w:tr>
    </w:tbl>
    <w:p>
      <w:r>
        <w:br w:type="page"/>
      </w:r>
    </w:p>
    <w:p>
      <w:pPr>
        <w:pStyle w:val="Heading1"/>
      </w:pPr>
      <w:r>
        <w:t>7. Host Software and External Telemetry</w:t>
      </w:r>
    </w:p>
    <w:p>
      <w:pPr>
        <w:pStyle w:val="BodyText"/>
      </w:pPr>
      <w:r>
        <w:t>The host application provides operator control, live plotting, data capture, metadata retention, test orchestration, and postprocessing. It is intentionally supervisory: target timing remains on the embedded system.</w:t>
      </w:r>
    </w:p>
    <w:p>
      <w:pPr>
        <w:keepNext/>
        <w:jc w:val="center"/>
      </w:pPr>
      <w:r>
        <w:drawing>
          <wp:inline xmlns:a="http://schemas.openxmlformats.org/drawingml/2006/main" xmlns:pic="http://schemas.openxmlformats.org/drawingml/2006/picture">
            <wp:extent cx="5669280" cy="3091118"/>
            <wp:docPr id="4" name="Picture 4"/>
            <wp:cNvGraphicFramePr>
              <a:graphicFrameLocks noChangeAspect="1"/>
            </wp:cNvGraphicFramePr>
            <a:graphic>
              <a:graphicData uri="http://schemas.openxmlformats.org/drawingml/2006/picture">
                <pic:pic>
                  <pic:nvPicPr>
                    <pic:cNvPr id="0" name="gui-overview.png"/>
                    <pic:cNvPicPr/>
                  </pic:nvPicPr>
                  <pic:blipFill>
                    <a:blip r:embed="rId14"/>
                    <a:stretch>
                      <a:fillRect/>
                    </a:stretch>
                  </pic:blipFill>
                  <pic:spPr>
                    <a:xfrm>
                      <a:off x="0" y="0"/>
                      <a:ext cx="5669280" cy="3091118"/>
                    </a:xfrm>
                    <a:prstGeom prst="rect"/>
                  </pic:spPr>
                </pic:pic>
              </a:graphicData>
            </a:graphic>
          </wp:inline>
        </w:drawing>
      </w:r>
    </w:p>
    <w:p>
      <w:pPr>
        <w:spacing w:after="120"/>
        <w:jc w:val="center"/>
      </w:pPr>
      <w:r>
        <w:rPr>
          <w:rFonts w:ascii="Arial" w:hAnsi="Arial"/>
          <w:i/>
          <w:color w:val="555555"/>
          <w:sz w:val="16"/>
        </w:rPr>
        <w:t>Figure 4. Host interface overview with connection, test, and live-telemetry controls.</w:t>
      </w:r>
    </w:p>
    <w:p>
      <w:pPr>
        <w:pStyle w:val="ListBullet"/>
      </w:pPr>
      <w:r>
        <w:t>115,200-baud serial host interface with selectable 10, 20, 50, or 100 Hz telemetry requests.</w:t>
      </w:r>
    </w:p>
    <w:p>
      <w:pPr>
        <w:pStyle w:val="ListBullet"/>
      </w:pPr>
      <w:r>
        <w:t>24-field timestamped CSV records with separate metadata and controller-comment retention.</w:t>
      </w:r>
    </w:p>
    <w:p>
      <w:pPr>
        <w:pStyle w:val="ListBullet"/>
      </w:pPr>
      <w:r>
        <w:t>Header and row-width validation, malformed-row detection, completion-marker handling, and partial-run recovery.</w:t>
      </w:r>
    </w:p>
    <w:p>
      <w:pPr>
        <w:pStyle w:val="ListBullet"/>
      </w:pPr>
      <w:r>
        <w:t>Live command-versus-measured speed, encoder position, raw encoder rate, status, and logging state.</w:t>
      </w:r>
    </w:p>
    <w:p>
      <w:pPr>
        <w:pStyle w:val="ListBullet"/>
      </w:pPr>
      <w:r>
        <w:t>Automated execution and postprocessing for tracking, static hold, step response, Allan deviation, and closed-loop sine response.</w:t>
      </w:r>
    </w:p>
    <w:p>
      <w:pPr>
        <w:pStyle w:val="Heading2"/>
      </w:pPr>
      <w:r>
        <w:t>7.1 External serial bandwidth review</w:t>
      </w:r>
    </w:p>
    <w:p>
      <w:pPr>
        <w:pStyle w:val="BodyText"/>
      </w:pPr>
      <w:r>
        <w:t>A 115,200-baud 8-N-1 link provides an idealized 11,520 payload bytes/s. Full 24-field ASCII records can approach roughly 189 bytes each, so a requested 100 Hz stream would require about 18.9 kB/s. The interface therefore supports a 100 Hz selection, but sustainable full-record transmission is closer to approximately 50–60 Hz unless the row is shortened, the link rate is increased, or binary framing is used.</w:t>
      </w:r>
    </w:p>
    <w:tbl>
      <w:tblPr>
        <w:tblW w:type="auto" w:w="0"/>
        <w:jc w:val="center"/>
        <w:tblLayout w:type="fixed"/>
        <w:tblLook w:firstColumn="1" w:firstRow="1" w:lastColumn="0" w:lastRow="0" w:noHBand="0" w:noVBand="1" w:val="04A0"/>
      </w:tblPr>
      <w:tblGrid>
        <w:gridCol w:w="9504"/>
      </w:tblGrid>
      <w:tr>
        <w:tc>
          <w:tcPr>
            <w:tcW w:type="dxa" w:w="10080"/>
            <w:shd w:fill="FCE8EC"/>
            <w:tcMar>
              <w:top w:w="150" w:type="dxa"/>
              <w:start w:w="180" w:type="dxa"/>
              <w:bottom w:w="150" w:type="dxa"/>
              <w:end w:w="180" w:type="dxa"/>
            </w:tcMar>
          </w:tcPr>
          <w:p>
            <w:pPr>
              <w:spacing w:after="60"/>
            </w:pPr>
            <w:r/>
            <w:r>
              <w:rPr>
                <w:rFonts w:ascii="Arial" w:hAnsi="Arial"/>
                <w:b/>
                <w:color w:val="C8102E"/>
                <w:sz w:val="17"/>
              </w:rPr>
              <w:t>ENGINEERING OUTCOME</w:t>
            </w:r>
          </w:p>
          <w:p>
            <w:pPr>
              <w:spacing w:after="0"/>
            </w:pPr>
            <w:r>
              <w:rPr>
                <w:rFonts w:ascii="Arial" w:hAnsi="Arial"/>
                <w:color w:val="222222"/>
                <w:sz w:val="19"/>
              </w:rPr>
              <w:t>The dual-core shared-memory path removes high-rate inter-core data movement from the external serial bottleneck. The serial link remains an operator and logging interface rather than the internal real-time transport.</w:t>
            </w:r>
          </w:p>
        </w:tc>
      </w:tr>
    </w:tbl>
    <w:p>
      <w:pPr>
        <w:spacing w:after="0"/>
      </w:pPr>
    </w:p>
    <w:p>
      <w:r>
        <w:br w:type="page"/>
      </w:r>
    </w:p>
    <w:p>
      <w:pPr>
        <w:pStyle w:val="Heading1"/>
      </w:pPr>
      <w:r>
        <w:t>8. Characterization Evidence</w:t>
      </w:r>
    </w:p>
    <w:p>
      <w:pPr>
        <w:pStyle w:val="BodyText"/>
      </w:pPr>
      <w:r>
        <w:t>Characterization results are retained as evidence that the firmware and host workflow operated against a physical motion platform. They are supporting evidence—not the primary contribution of this report.</w:t>
      </w:r>
    </w:p>
    <w:p>
      <w:pPr>
        <w:keepNext/>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256-microstep-low-speed-summary.png"/>
                    <pic:cNvPicPr/>
                  </pic:nvPicPr>
                  <pic:blipFill>
                    <a:blip r:embed="rId15"/>
                    <a:stretch>
                      <a:fillRect/>
                    </a:stretch>
                  </pic:blipFill>
                  <pic:spPr>
                    <a:xfrm>
                      <a:off x="0" y="0"/>
                      <a:ext cx="5486400" cy="3086100"/>
                    </a:xfrm>
                    <a:prstGeom prst="rect"/>
                  </pic:spPr>
                </pic:pic>
              </a:graphicData>
            </a:graphic>
          </wp:inline>
        </w:drawing>
      </w:r>
    </w:p>
    <w:p>
      <w:pPr>
        <w:spacing w:after="120"/>
        <w:jc w:val="center"/>
      </w:pPr>
      <w:r>
        <w:rPr>
          <w:rFonts w:ascii="Arial" w:hAnsi="Arial"/>
          <w:i/>
          <w:color w:val="555555"/>
          <w:sz w:val="16"/>
        </w:rPr>
        <w:t>Figure 5. Configuration-specific low-speed tracking summary for the 256-microstep mode.</w:t>
      </w:r>
    </w:p>
    <w:tbl>
      <w:tblPr>
        <w:tblW w:type="auto" w:w="0"/>
        <w:jc w:val="center"/>
        <w:tblLayout w:type="fixed"/>
        <w:tblLook w:firstColumn="1" w:firstRow="1" w:lastColumn="0" w:lastRow="0" w:noHBand="0" w:noVBand="1" w:val="04A0"/>
      </w:tblPr>
      <w:tblGrid>
        <w:gridCol w:w="2304"/>
        <w:gridCol w:w="2592"/>
        <w:gridCol w:w="4896"/>
      </w:tblGrid>
      <w:tr>
        <w:tc>
          <w:tcPr>
            <w:tcW w:type="dxa" w:w="3360"/>
            <w:vAlign w:val="center"/>
            <w:tcMar>
              <w:top w:w="90" w:type="dxa"/>
              <w:start w:w="110" w:type="dxa"/>
              <w:bottom w:w="90" w:type="dxa"/>
              <w:end w:w="110" w:type="dxa"/>
            </w:tcMar>
            <w:shd w:fill="1F4E79"/>
          </w:tcPr>
          <w:p>
            <w:pPr>
              <w:spacing w:after="0"/>
              <w:jc w:val="center"/>
            </w:pPr>
            <w:r/>
            <w:r>
              <w:rPr>
                <w:rFonts w:ascii="Arial" w:hAnsi="Arial"/>
                <w:b/>
                <w:color w:val="FFFFFF"/>
                <w:sz w:val="16"/>
              </w:rPr>
              <w:t>Command (deg/s)</w:t>
            </w:r>
          </w:p>
        </w:tc>
        <w:tc>
          <w:tcPr>
            <w:tcW w:type="dxa" w:w="3360"/>
            <w:vAlign w:val="center"/>
            <w:tcMar>
              <w:top w:w="90" w:type="dxa"/>
              <w:start w:w="110" w:type="dxa"/>
              <w:bottom w:w="90" w:type="dxa"/>
              <w:end w:w="110" w:type="dxa"/>
            </w:tcMar>
            <w:shd w:fill="1F4E79"/>
          </w:tcPr>
          <w:p>
            <w:pPr>
              <w:spacing w:after="0"/>
              <w:jc w:val="center"/>
            </w:pPr>
            <w:r/>
            <w:r>
              <w:rPr>
                <w:rFonts w:ascii="Arial" w:hAnsi="Arial"/>
                <w:b/>
                <w:color w:val="FFFFFF"/>
                <w:sz w:val="16"/>
              </w:rPr>
              <w:t>Measured (deg/s)</w:t>
            </w:r>
          </w:p>
        </w:tc>
        <w:tc>
          <w:tcPr>
            <w:tcW w:type="dxa" w:w="3360"/>
            <w:vAlign w:val="center"/>
            <w:tcMar>
              <w:top w:w="90" w:type="dxa"/>
              <w:start w:w="110" w:type="dxa"/>
              <w:bottom w:w="90" w:type="dxa"/>
              <w:end w:w="110" w:type="dxa"/>
            </w:tcMar>
            <w:shd w:fill="1F4E79"/>
          </w:tcPr>
          <w:p>
            <w:pPr>
              <w:spacing w:after="0"/>
              <w:jc w:val="center"/>
            </w:pPr>
            <w:r/>
            <w:r>
              <w:rPr>
                <w:rFonts w:ascii="Arial" w:hAnsi="Arial"/>
                <w:b/>
                <w:color w:val="FFFFFF"/>
                <w:sz w:val="16"/>
              </w:rPr>
              <w:t>Tracking ratio / note</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0.002</w:t>
            </w:r>
          </w:p>
        </w:tc>
        <w:tc>
          <w:tcPr>
            <w:tcW w:type="dxa" w:w="2592"/>
            <w:vAlign w:val="center"/>
            <w:tcMar>
              <w:top w:w="90" w:type="dxa"/>
              <w:start w:w="110" w:type="dxa"/>
              <w:bottom w:w="90" w:type="dxa"/>
              <w:end w:w="110" w:type="dxa"/>
            </w:tcMar>
            <w:shd w:fill="FFFFFF"/>
          </w:tcPr>
          <w:p>
            <w:pPr>
              <w:spacing w:after="0"/>
              <w:jc w:val="left"/>
            </w:pPr>
            <w:r/>
            <w:r>
              <w:rPr>
                <w:rFonts w:ascii="Arial" w:hAnsi="Arial"/>
                <w:b w:val="0"/>
                <w:color w:val="222222"/>
                <w:sz w:val="16"/>
              </w:rPr>
              <w:t>0.001818</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0.909</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0.003</w:t>
            </w:r>
          </w:p>
        </w:tc>
        <w:tc>
          <w:tcPr>
            <w:tcW w:type="dxa" w:w="2592"/>
            <w:vAlign w:val="center"/>
            <w:tcMar>
              <w:top w:w="90" w:type="dxa"/>
              <w:start w:w="110" w:type="dxa"/>
              <w:bottom w:w="90" w:type="dxa"/>
              <w:end w:w="110" w:type="dxa"/>
            </w:tcMar>
            <w:shd w:fill="F3F4F6"/>
          </w:tcPr>
          <w:p>
            <w:pPr>
              <w:spacing w:after="0"/>
              <w:jc w:val="left"/>
            </w:pPr>
            <w:r/>
            <w:r>
              <w:rPr>
                <w:rFonts w:ascii="Arial" w:hAnsi="Arial"/>
                <w:b w:val="0"/>
                <w:color w:val="222222"/>
                <w:sz w:val="16"/>
              </w:rPr>
              <w:t>0.003214</w:t>
            </w:r>
          </w:p>
        </w:tc>
        <w:tc>
          <w:tcPr>
            <w:tcW w:type="dxa" w:w="4896"/>
            <w:vAlign w:val="center"/>
            <w:tcMar>
              <w:top w:w="90" w:type="dxa"/>
              <w:start w:w="110" w:type="dxa"/>
              <w:bottom w:w="90" w:type="dxa"/>
              <w:end w:w="110" w:type="dxa"/>
            </w:tcMar>
            <w:shd w:fill="F3F4F6"/>
          </w:tcPr>
          <w:p>
            <w:pPr>
              <w:spacing w:after="0"/>
              <w:jc w:val="left"/>
            </w:pPr>
            <w:r/>
            <w:r>
              <w:rPr>
                <w:rFonts w:ascii="Arial" w:hAnsi="Arial"/>
                <w:b w:val="0"/>
                <w:color w:val="222222"/>
                <w:sz w:val="16"/>
              </w:rPr>
              <w:t>1.071</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0.005</w:t>
            </w:r>
          </w:p>
        </w:tc>
        <w:tc>
          <w:tcPr>
            <w:tcW w:type="dxa" w:w="2592"/>
            <w:vAlign w:val="center"/>
            <w:tcMar>
              <w:top w:w="90" w:type="dxa"/>
              <w:start w:w="110" w:type="dxa"/>
              <w:bottom w:w="90" w:type="dxa"/>
              <w:end w:w="110" w:type="dxa"/>
            </w:tcMar>
            <w:shd w:fill="FFFFFF"/>
          </w:tcPr>
          <w:p>
            <w:pPr>
              <w:spacing w:after="0"/>
              <w:jc w:val="left"/>
            </w:pPr>
            <w:r/>
            <w:r>
              <w:rPr>
                <w:rFonts w:ascii="Arial" w:hAnsi="Arial"/>
                <w:b w:val="0"/>
                <w:color w:val="222222"/>
                <w:sz w:val="16"/>
              </w:rPr>
              <w:t>0.004676</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0.935</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0.010</w:t>
            </w:r>
          </w:p>
        </w:tc>
        <w:tc>
          <w:tcPr>
            <w:tcW w:type="dxa" w:w="2592"/>
            <w:vAlign w:val="center"/>
            <w:tcMar>
              <w:top w:w="90" w:type="dxa"/>
              <w:start w:w="110" w:type="dxa"/>
              <w:bottom w:w="90" w:type="dxa"/>
              <w:end w:w="110" w:type="dxa"/>
            </w:tcMar>
            <w:shd w:fill="F3F4F6"/>
          </w:tcPr>
          <w:p>
            <w:pPr>
              <w:spacing w:after="0"/>
              <w:jc w:val="left"/>
            </w:pPr>
            <w:r/>
            <w:r>
              <w:rPr>
                <w:rFonts w:ascii="Arial" w:hAnsi="Arial"/>
                <w:b w:val="0"/>
                <w:color w:val="222222"/>
                <w:sz w:val="16"/>
              </w:rPr>
              <w:t>0.008378</w:t>
            </w:r>
          </w:p>
        </w:tc>
        <w:tc>
          <w:tcPr>
            <w:tcW w:type="dxa" w:w="4896"/>
            <w:vAlign w:val="center"/>
            <w:tcMar>
              <w:top w:w="90" w:type="dxa"/>
              <w:start w:w="110" w:type="dxa"/>
              <w:bottom w:w="90" w:type="dxa"/>
              <w:end w:w="110" w:type="dxa"/>
            </w:tcMar>
            <w:shd w:fill="F3F4F6"/>
          </w:tcPr>
          <w:p>
            <w:pPr>
              <w:spacing w:after="0"/>
              <w:jc w:val="left"/>
            </w:pPr>
            <w:r/>
            <w:r>
              <w:rPr>
                <w:rFonts w:ascii="Arial" w:hAnsi="Arial"/>
                <w:b w:val="0"/>
                <w:color w:val="222222"/>
                <w:sz w:val="16"/>
              </w:rPr>
              <w:t>0.838</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0.050</w:t>
            </w:r>
          </w:p>
        </w:tc>
        <w:tc>
          <w:tcPr>
            <w:tcW w:type="dxa" w:w="2592"/>
            <w:vAlign w:val="center"/>
            <w:tcMar>
              <w:top w:w="90" w:type="dxa"/>
              <w:start w:w="110" w:type="dxa"/>
              <w:bottom w:w="90" w:type="dxa"/>
              <w:end w:w="110" w:type="dxa"/>
            </w:tcMar>
            <w:shd w:fill="FFFFFF"/>
          </w:tcPr>
          <w:p>
            <w:pPr>
              <w:spacing w:after="0"/>
              <w:jc w:val="left"/>
            </w:pPr>
            <w:r/>
            <w:r>
              <w:rPr>
                <w:rFonts w:ascii="Arial" w:hAnsi="Arial"/>
                <w:b w:val="0"/>
                <w:color w:val="222222"/>
                <w:sz w:val="16"/>
              </w:rPr>
              <w:t>~0.016</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Throughput ceiling</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0.100</w:t>
            </w:r>
          </w:p>
        </w:tc>
        <w:tc>
          <w:tcPr>
            <w:tcW w:type="dxa" w:w="2592"/>
            <w:vAlign w:val="center"/>
            <w:tcMar>
              <w:top w:w="90" w:type="dxa"/>
              <w:start w:w="110" w:type="dxa"/>
              <w:bottom w:w="90" w:type="dxa"/>
              <w:end w:w="110" w:type="dxa"/>
            </w:tcMar>
            <w:shd w:fill="F3F4F6"/>
          </w:tcPr>
          <w:p>
            <w:pPr>
              <w:spacing w:after="0"/>
              <w:jc w:val="left"/>
            </w:pPr>
            <w:r/>
            <w:r>
              <w:rPr>
                <w:rFonts w:ascii="Arial" w:hAnsi="Arial"/>
                <w:b w:val="0"/>
                <w:color w:val="222222"/>
                <w:sz w:val="16"/>
              </w:rPr>
              <w:t>~0.016</w:t>
            </w:r>
          </w:p>
        </w:tc>
        <w:tc>
          <w:tcPr>
            <w:tcW w:type="dxa" w:w="4896"/>
            <w:vAlign w:val="center"/>
            <w:tcMar>
              <w:top w:w="90" w:type="dxa"/>
              <w:start w:w="110" w:type="dxa"/>
              <w:bottom w:w="90" w:type="dxa"/>
              <w:end w:w="110" w:type="dxa"/>
            </w:tcMar>
            <w:shd w:fill="F3F4F6"/>
          </w:tcPr>
          <w:p>
            <w:pPr>
              <w:spacing w:after="0"/>
              <w:jc w:val="left"/>
            </w:pPr>
            <w:r/>
            <w:r>
              <w:rPr>
                <w:rFonts w:ascii="Arial" w:hAnsi="Arial"/>
                <w:b w:val="0"/>
                <w:color w:val="222222"/>
                <w:sz w:val="16"/>
              </w:rPr>
              <w:t>Throughput ceiling</w:t>
            </w:r>
          </w:p>
        </w:tc>
      </w:tr>
    </w:tbl>
    <w:p>
      <w:pPr>
        <w:pStyle w:val="Heading2"/>
      </w:pPr>
      <w:r>
        <w:t>8.1 Test and acquisition capabilities</w:t>
      </w:r>
    </w:p>
    <w:tbl>
      <w:tblPr>
        <w:tblW w:type="auto" w:w="0"/>
        <w:jc w:val="center"/>
        <w:tblLayout w:type="fixed"/>
        <w:tblLook w:firstColumn="1" w:firstRow="1" w:lastColumn="0" w:lastRow="0" w:noHBand="0" w:noVBand="1" w:val="04A0"/>
      </w:tblPr>
      <w:tblGrid>
        <w:gridCol w:w="3168"/>
        <w:gridCol w:w="6624"/>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Capability</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Configured scope</w:t>
            </w:r>
          </w:p>
        </w:tc>
      </w:tr>
      <w:tr>
        <w:tc>
          <w:tcPr>
            <w:tcW w:type="dxa" w:w="3168"/>
            <w:vAlign w:val="center"/>
            <w:tcMar>
              <w:top w:w="90" w:type="dxa"/>
              <w:start w:w="110" w:type="dxa"/>
              <w:bottom w:w="90" w:type="dxa"/>
              <w:end w:w="110" w:type="dxa"/>
            </w:tcMar>
            <w:shd w:fill="FFFFFF"/>
          </w:tcPr>
          <w:p>
            <w:pPr>
              <w:spacing w:after="0"/>
              <w:jc w:val="center"/>
            </w:pPr>
            <w:r/>
            <w:r>
              <w:rPr>
                <w:rFonts w:ascii="Arial" w:hAnsi="Arial"/>
                <w:b w:val="0"/>
                <w:color w:val="222222"/>
                <w:sz w:val="16"/>
              </w:rPr>
              <w:t>Static acquisition</w:t>
            </w:r>
          </w:p>
        </w:tc>
        <w:tc>
          <w:tcPr>
            <w:tcW w:type="dxa" w:w="6624"/>
            <w:vAlign w:val="center"/>
            <w:tcMar>
              <w:top w:w="90" w:type="dxa"/>
              <w:start w:w="110" w:type="dxa"/>
              <w:bottom w:w="90" w:type="dxa"/>
              <w:end w:w="110" w:type="dxa"/>
            </w:tcMar>
            <w:shd w:fill="FFFFFF"/>
          </w:tcPr>
          <w:p>
            <w:pPr>
              <w:spacing w:after="0"/>
              <w:jc w:val="left"/>
            </w:pPr>
            <w:r/>
            <w:r>
              <w:rPr>
                <w:rFonts w:ascii="Arial" w:hAnsi="Arial"/>
                <w:b w:val="0"/>
                <w:color w:val="222222"/>
                <w:sz w:val="16"/>
              </w:rPr>
              <w:t>50 Hz × 180 s or 100 Hz × 90 s; 9,000 records</w:t>
            </w:r>
          </w:p>
        </w:tc>
      </w:tr>
      <w:tr>
        <w:tc>
          <w:tcPr>
            <w:tcW w:type="dxa" w:w="3168"/>
            <w:vAlign w:val="center"/>
            <w:tcMar>
              <w:top w:w="90" w:type="dxa"/>
              <w:start w:w="110" w:type="dxa"/>
              <w:bottom w:w="90" w:type="dxa"/>
              <w:end w:w="110" w:type="dxa"/>
            </w:tcMar>
            <w:shd w:fill="F3F4F6"/>
          </w:tcPr>
          <w:p>
            <w:pPr>
              <w:spacing w:after="0"/>
              <w:jc w:val="center"/>
            </w:pPr>
            <w:r/>
            <w:r>
              <w:rPr>
                <w:rFonts w:ascii="Arial" w:hAnsi="Arial"/>
                <w:b w:val="0"/>
                <w:color w:val="222222"/>
                <w:sz w:val="16"/>
              </w:rPr>
              <w:t>Dynamic segment</w:t>
            </w:r>
          </w:p>
        </w:tc>
        <w:tc>
          <w:tcPr>
            <w:tcW w:type="dxa" w:w="6624"/>
            <w:vAlign w:val="center"/>
            <w:tcMar>
              <w:top w:w="90" w:type="dxa"/>
              <w:start w:w="110" w:type="dxa"/>
              <w:bottom w:w="90" w:type="dxa"/>
              <w:end w:w="110" w:type="dxa"/>
            </w:tcMar>
            <w:shd w:fill="F3F4F6"/>
          </w:tcPr>
          <w:p>
            <w:pPr>
              <w:spacing w:after="0"/>
              <w:jc w:val="left"/>
            </w:pPr>
            <w:r/>
            <w:r>
              <w:rPr>
                <w:rFonts w:ascii="Arial" w:hAnsi="Arial"/>
                <w:b w:val="0"/>
                <w:color w:val="222222"/>
                <w:sz w:val="16"/>
              </w:rPr>
              <w:t>100 Hz requested; 6,000 records per 60 s segment</w:t>
            </w:r>
          </w:p>
        </w:tc>
      </w:tr>
      <w:tr>
        <w:tc>
          <w:tcPr>
            <w:tcW w:type="dxa" w:w="3168"/>
            <w:vAlign w:val="center"/>
            <w:tcMar>
              <w:top w:w="90" w:type="dxa"/>
              <w:start w:w="110" w:type="dxa"/>
              <w:bottom w:w="90" w:type="dxa"/>
              <w:end w:w="110" w:type="dxa"/>
            </w:tcMar>
            <w:shd w:fill="FFFFFF"/>
          </w:tcPr>
          <w:p>
            <w:pPr>
              <w:spacing w:after="0"/>
              <w:jc w:val="center"/>
            </w:pPr>
            <w:r/>
            <w:r>
              <w:rPr>
                <w:rFonts w:ascii="Arial" w:hAnsi="Arial"/>
                <w:b w:val="0"/>
                <w:color w:val="222222"/>
                <w:sz w:val="16"/>
              </w:rPr>
              <w:t>Closed-loop sine tests</w:t>
            </w:r>
          </w:p>
        </w:tc>
        <w:tc>
          <w:tcPr>
            <w:tcW w:type="dxa" w:w="6624"/>
            <w:vAlign w:val="center"/>
            <w:tcMar>
              <w:top w:w="90" w:type="dxa"/>
              <w:start w:w="110" w:type="dxa"/>
              <w:bottom w:w="90" w:type="dxa"/>
              <w:end w:w="110" w:type="dxa"/>
            </w:tcMar>
            <w:shd w:fill="FFFFFF"/>
          </w:tcPr>
          <w:p>
            <w:pPr>
              <w:spacing w:after="0"/>
              <w:jc w:val="left"/>
            </w:pPr>
            <w:r/>
            <w:r>
              <w:rPr>
                <w:rFonts w:ascii="Arial" w:hAnsi="Arial"/>
                <w:b w:val="0"/>
                <w:color w:val="222222"/>
                <w:sz w:val="16"/>
              </w:rPr>
              <w:t>Approximately 0.33–2 Hz</w:t>
            </w:r>
          </w:p>
        </w:tc>
      </w:tr>
      <w:tr>
        <w:tc>
          <w:tcPr>
            <w:tcW w:type="dxa" w:w="3168"/>
            <w:vAlign w:val="center"/>
            <w:tcMar>
              <w:top w:w="90" w:type="dxa"/>
              <w:start w:w="110" w:type="dxa"/>
              <w:bottom w:w="90" w:type="dxa"/>
              <w:end w:w="110" w:type="dxa"/>
            </w:tcMar>
            <w:shd w:fill="F3F4F6"/>
          </w:tcPr>
          <w:p>
            <w:pPr>
              <w:spacing w:after="0"/>
              <w:jc w:val="center"/>
            </w:pPr>
            <w:r/>
            <w:r>
              <w:rPr>
                <w:rFonts w:ascii="Arial" w:hAnsi="Arial"/>
                <w:b w:val="0"/>
                <w:color w:val="222222"/>
                <w:sz w:val="16"/>
              </w:rPr>
              <w:t>Safety supervision</w:t>
            </w:r>
          </w:p>
        </w:tc>
        <w:tc>
          <w:tcPr>
            <w:tcW w:type="dxa" w:w="6624"/>
            <w:vAlign w:val="center"/>
            <w:tcMar>
              <w:top w:w="90" w:type="dxa"/>
              <w:start w:w="110" w:type="dxa"/>
              <w:bottom w:w="90" w:type="dxa"/>
              <w:end w:w="110" w:type="dxa"/>
            </w:tcMar>
            <w:shd w:fill="F3F4F6"/>
          </w:tcPr>
          <w:p>
            <w:pPr>
              <w:spacing w:after="0"/>
              <w:jc w:val="left"/>
            </w:pPr>
            <w:r/>
            <w:r>
              <w:rPr>
                <w:rFonts w:ascii="Arial" w:hAnsi="Arial"/>
                <w:b w:val="0"/>
                <w:color w:val="222222"/>
                <w:sz w:val="16"/>
              </w:rPr>
              <w:t>500 ms host heartbeat; 2 s target-side deadman</w:t>
            </w:r>
          </w:p>
        </w:tc>
      </w:tr>
    </w:tbl>
    <w:p>
      <w:r>
        <w:br w:type="page"/>
      </w:r>
    </w:p>
    <w:p>
      <w:pPr>
        <w:pStyle w:val="Heading1"/>
      </w:pPr>
      <w:r>
        <w:t>9. Public Deliverables and Source Boundary</w:t>
      </w:r>
    </w:p>
    <w:p>
      <w:pPr>
        <w:pStyle w:val="ListBullet"/>
      </w:pPr>
      <w:r>
        <w:t>This firmware/software FRD in PDF and DOCX formats.</w:t>
      </w:r>
    </w:p>
    <w:p>
      <w:pPr>
        <w:pStyle w:val="ListBullet"/>
      </w:pPr>
      <w:r>
        <w:t>Dual-core architecture, memory-map, and verified-specification graphics.</w:t>
      </w:r>
    </w:p>
    <w:p>
      <w:pPr>
        <w:pStyle w:val="ListBullet"/>
      </w:pPr>
      <w:r>
        <w:t>Selected owned source excerpts defining protocol, memory map, and shared-ring records.</w:t>
      </w:r>
    </w:p>
    <w:p>
      <w:pPr>
        <w:pStyle w:val="ListBullet"/>
      </w:pPr>
      <w:r>
        <w:t>Host-target demonstration video and representative GUI captures.</w:t>
      </w:r>
    </w:p>
    <w:p>
      <w:pPr>
        <w:pStyle w:val="ListBullet"/>
      </w:pPr>
      <w:r>
        <w:t>Sanitized characterization plots and configuration-specific low-speed data.</w:t>
      </w:r>
    </w:p>
    <w:p>
      <w:pPr>
        <w:pStyle w:val="ListBullet"/>
      </w:pPr>
      <w:r>
        <w:t>Complete private development archives, credentials, local paths, and duplicate historical packages excluded.</w:t>
      </w:r>
    </w:p>
    <w:p>
      <w:pPr>
        <w:pStyle w:val="Heading1"/>
      </w:pPr>
      <w:r>
        <w:t>10. Limitations and Open Validation</w:t>
      </w:r>
    </w:p>
    <w:tbl>
      <w:tblPr>
        <w:tblW w:type="auto" w:w="0"/>
        <w:jc w:val="center"/>
        <w:tblLayout w:type="fixed"/>
        <w:tblLook w:firstColumn="1" w:firstRow="1" w:lastColumn="0" w:lastRow="0" w:noHBand="0" w:noVBand="1" w:val="04A0"/>
      </w:tblPr>
      <w:tblGrid>
        <w:gridCol w:w="2304"/>
        <w:gridCol w:w="7488"/>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Item</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Controlled statement</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Integrated release binary</w:t>
            </w:r>
          </w:p>
        </w:tc>
        <w:tc>
          <w:tcPr>
            <w:tcW w:type="dxa" w:w="7488"/>
            <w:vAlign w:val="center"/>
            <w:tcMar>
              <w:top w:w="90" w:type="dxa"/>
              <w:start w:w="110" w:type="dxa"/>
              <w:bottom w:w="90" w:type="dxa"/>
              <w:end w:w="110" w:type="dxa"/>
            </w:tcMar>
            <w:shd w:fill="FFFFFF"/>
          </w:tcPr>
          <w:p>
            <w:pPr>
              <w:spacing w:after="0"/>
              <w:jc w:val="left"/>
            </w:pPr>
            <w:r/>
            <w:r>
              <w:rPr>
                <w:rFonts w:ascii="Arial" w:hAnsi="Arial"/>
                <w:b w:val="0"/>
                <w:color w:val="222222"/>
                <w:sz w:val="16"/>
              </w:rPr>
              <w:t>Architecture and application modules are source-verified; a single final merged binary is not included in the reviewed evidence package.</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Ring allocation</w:t>
            </w:r>
          </w:p>
        </w:tc>
        <w:tc>
          <w:tcPr>
            <w:tcW w:type="dxa" w:w="7488"/>
            <w:vAlign w:val="center"/>
            <w:tcMar>
              <w:top w:w="90" w:type="dxa"/>
              <w:start w:w="110" w:type="dxa"/>
              <w:bottom w:w="90" w:type="dxa"/>
              <w:end w:w="110" w:type="dxa"/>
            </w:tcMar>
            <w:shd w:fill="F3F4F6"/>
          </w:tcPr>
          <w:p>
            <w:pPr>
              <w:spacing w:after="0"/>
              <w:jc w:val="left"/>
            </w:pPr>
            <w:r/>
            <w:r>
              <w:rPr>
                <w:rFonts w:ascii="Arial" w:hAnsi="Arial"/>
                <w:b w:val="0"/>
                <w:color w:val="222222"/>
                <w:sz w:val="16"/>
              </w:rPr>
              <w:t>Configured 4,096-entry ring requires a capacity or memory-reservation correction.</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IPC latency/jitter</w:t>
            </w:r>
          </w:p>
        </w:tc>
        <w:tc>
          <w:tcPr>
            <w:tcW w:type="dxa" w:w="7488"/>
            <w:vAlign w:val="center"/>
            <w:tcMar>
              <w:top w:w="90" w:type="dxa"/>
              <w:start w:w="110" w:type="dxa"/>
              <w:bottom w:w="90" w:type="dxa"/>
              <w:end w:w="110" w:type="dxa"/>
            </w:tcMar>
            <w:shd w:fill="FFFFFF"/>
          </w:tcPr>
          <w:p>
            <w:pPr>
              <w:spacing w:after="0"/>
              <w:jc w:val="left"/>
            </w:pPr>
            <w:r/>
            <w:r>
              <w:rPr>
                <w:rFonts w:ascii="Arial" w:hAnsi="Arial"/>
                <w:b w:val="0"/>
                <w:color w:val="222222"/>
                <w:sz w:val="16"/>
              </w:rPr>
              <w:t>No instrumented end-to-end latency or worst-case jitter result is present.</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Serial throughput</w:t>
            </w:r>
          </w:p>
        </w:tc>
        <w:tc>
          <w:tcPr>
            <w:tcW w:type="dxa" w:w="7488"/>
            <w:vAlign w:val="center"/>
            <w:tcMar>
              <w:top w:w="90" w:type="dxa"/>
              <w:start w:w="110" w:type="dxa"/>
              <w:bottom w:w="90" w:type="dxa"/>
              <w:end w:w="110" w:type="dxa"/>
            </w:tcMar>
            <w:shd w:fill="F3F4F6"/>
          </w:tcPr>
          <w:p>
            <w:pPr>
              <w:spacing w:after="0"/>
              <w:jc w:val="left"/>
            </w:pPr>
            <w:r/>
            <w:r>
              <w:rPr>
                <w:rFonts w:ascii="Arial" w:hAnsi="Arial"/>
                <w:b w:val="0"/>
                <w:color w:val="222222"/>
                <w:sz w:val="16"/>
              </w:rPr>
              <w:t>100 Hz is selectable, but full ASCII rows exceed 115,200-baud sustainable throughput.</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Power</w:t>
            </w:r>
          </w:p>
        </w:tc>
        <w:tc>
          <w:tcPr>
            <w:tcW w:type="dxa" w:w="7488"/>
            <w:vAlign w:val="center"/>
            <w:tcMar>
              <w:top w:w="90" w:type="dxa"/>
              <w:start w:w="110" w:type="dxa"/>
              <w:bottom w:w="90" w:type="dxa"/>
              <w:end w:w="110" w:type="dxa"/>
            </w:tcMar>
            <w:shd w:fill="FFFFFF"/>
          </w:tcPr>
          <w:p>
            <w:pPr>
              <w:spacing w:after="0"/>
              <w:jc w:val="left"/>
            </w:pPr>
            <w:r/>
            <w:r>
              <w:rPr>
                <w:rFonts w:ascii="Arial" w:hAnsi="Arial"/>
                <w:b w:val="0"/>
                <w:color w:val="222222"/>
                <w:sz w:val="16"/>
              </w:rPr>
              <w:t>Total electrical power and peak-current measurements are not present.</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Reliability percentage</w:t>
            </w:r>
          </w:p>
        </w:tc>
        <w:tc>
          <w:tcPr>
            <w:tcW w:type="dxa" w:w="7488"/>
            <w:vAlign w:val="center"/>
            <w:tcMar>
              <w:top w:w="90" w:type="dxa"/>
              <w:start w:w="110" w:type="dxa"/>
              <w:bottom w:w="90" w:type="dxa"/>
              <w:end w:w="110" w:type="dxa"/>
            </w:tcMar>
            <w:shd w:fill="F3F4F6"/>
          </w:tcPr>
          <w:p>
            <w:pPr>
              <w:spacing w:after="0"/>
              <w:jc w:val="left"/>
            </w:pPr>
            <w:r/>
            <w:r>
              <w:rPr>
                <w:rFonts w:ascii="Arial" w:hAnsi="Arial"/>
                <w:b w:val="0"/>
                <w:color w:val="222222"/>
                <w:sz w:val="16"/>
              </w:rPr>
              <w:t>Mechanisms are implemented, but no MTBF or percentage improvement is claimed.</w:t>
            </w:r>
          </w:p>
        </w:tc>
      </w:tr>
    </w:tbl>
    <w:p>
      <w:pPr>
        <w:pStyle w:val="Heading1"/>
      </w:pPr>
      <w:r>
        <w:t>11. Attribution and Revision Control</w:t>
      </w:r>
    </w:p>
    <w:p>
      <w:pPr>
        <w:pStyle w:val="BodyText"/>
      </w:pPr>
      <w:r>
        <w:t>Herder Elektronische Systemen developed the public architecture, firmware, host software, analysis workflow, interface electronics, technical documentation, and curated case-study package represented here. No third-party affiliation or endorsement is claimed.</w:t>
      </w:r>
    </w:p>
    <w:tbl>
      <w:tblPr>
        <w:tblW w:type="auto" w:w="0"/>
        <w:jc w:val="center"/>
        <w:tblLayout w:type="fixed"/>
        <w:tblLook w:firstColumn="1" w:firstRow="1" w:lastColumn="0" w:lastRow="0" w:noHBand="0" w:noVBand="1" w:val="04A0"/>
      </w:tblPr>
      <w:tblGrid>
        <w:gridCol w:w="1008"/>
        <w:gridCol w:w="1584"/>
        <w:gridCol w:w="7200"/>
      </w:tblGrid>
      <w:tr>
        <w:tc>
          <w:tcPr>
            <w:tcW w:type="dxa" w:w="3360"/>
            <w:vAlign w:val="center"/>
            <w:tcMar>
              <w:top w:w="90" w:type="dxa"/>
              <w:start w:w="110" w:type="dxa"/>
              <w:bottom w:w="90" w:type="dxa"/>
              <w:end w:w="110" w:type="dxa"/>
            </w:tcMar>
            <w:shd w:fill="222222"/>
          </w:tcPr>
          <w:p>
            <w:pPr>
              <w:spacing w:after="0"/>
              <w:jc w:val="center"/>
            </w:pPr>
            <w:r/>
            <w:r>
              <w:rPr>
                <w:rFonts w:ascii="Arial" w:hAnsi="Arial"/>
                <w:b/>
                <w:color w:val="FFFFFF"/>
                <w:sz w:val="16"/>
              </w:rPr>
              <w:t>Rev</w:t>
            </w:r>
          </w:p>
        </w:tc>
        <w:tc>
          <w:tcPr>
            <w:tcW w:type="dxa" w:w="3360"/>
            <w:vAlign w:val="center"/>
            <w:tcMar>
              <w:top w:w="90" w:type="dxa"/>
              <w:start w:w="110" w:type="dxa"/>
              <w:bottom w:w="90" w:type="dxa"/>
              <w:end w:w="110" w:type="dxa"/>
            </w:tcMar>
            <w:shd w:fill="222222"/>
          </w:tcPr>
          <w:p>
            <w:pPr>
              <w:spacing w:after="0"/>
              <w:jc w:val="center"/>
            </w:pPr>
            <w:r/>
            <w:r>
              <w:rPr>
                <w:rFonts w:ascii="Arial" w:hAnsi="Arial"/>
                <w:b/>
                <w:color w:val="FFFFFF"/>
                <w:sz w:val="16"/>
              </w:rPr>
              <w:t>Date</w:t>
            </w:r>
          </w:p>
        </w:tc>
        <w:tc>
          <w:tcPr>
            <w:tcW w:type="dxa" w:w="3360"/>
            <w:vAlign w:val="center"/>
            <w:tcMar>
              <w:top w:w="90" w:type="dxa"/>
              <w:start w:w="110" w:type="dxa"/>
              <w:bottom w:w="90" w:type="dxa"/>
              <w:end w:w="110" w:type="dxa"/>
            </w:tcMar>
            <w:shd w:fill="222222"/>
          </w:tcPr>
          <w:p>
            <w:pPr>
              <w:spacing w:after="0"/>
              <w:jc w:val="center"/>
            </w:pPr>
            <w:r/>
            <w:r>
              <w:rPr>
                <w:rFonts w:ascii="Arial" w:hAnsi="Arial"/>
                <w:b/>
                <w:color w:val="FFFFFF"/>
                <w:sz w:val="16"/>
              </w:rPr>
              <w:t>Description</w:t>
            </w:r>
          </w:p>
        </w:tc>
      </w:tr>
      <w:tr>
        <w:tc>
          <w:tcPr>
            <w:tcW w:type="dxa" w:w="1008"/>
            <w:vAlign w:val="center"/>
            <w:tcMar>
              <w:top w:w="90" w:type="dxa"/>
              <w:start w:w="110" w:type="dxa"/>
              <w:bottom w:w="90" w:type="dxa"/>
              <w:end w:w="110" w:type="dxa"/>
            </w:tcMar>
            <w:shd w:fill="FFFFFF"/>
          </w:tcPr>
          <w:p>
            <w:pPr>
              <w:spacing w:after="0"/>
              <w:jc w:val="center"/>
            </w:pPr>
            <w:r/>
            <w:r>
              <w:rPr>
                <w:rFonts w:ascii="Arial" w:hAnsi="Arial"/>
                <w:b w:val="0"/>
                <w:color w:val="222222"/>
                <w:sz w:val="16"/>
              </w:rPr>
              <w:t>2.2</w:t>
            </w:r>
          </w:p>
        </w:tc>
        <w:tc>
          <w:tcPr>
            <w:tcW w:type="dxa" w:w="1584"/>
            <w:vAlign w:val="center"/>
            <w:tcMar>
              <w:top w:w="90" w:type="dxa"/>
              <w:start w:w="110" w:type="dxa"/>
              <w:bottom w:w="90" w:type="dxa"/>
              <w:end w:w="110" w:type="dxa"/>
            </w:tcMar>
            <w:shd w:fill="FFFFFF"/>
          </w:tcPr>
          <w:p>
            <w:pPr>
              <w:spacing w:after="0"/>
              <w:jc w:val="left"/>
            </w:pPr>
            <w:r/>
            <w:r>
              <w:rPr>
                <w:rFonts w:ascii="Arial" w:hAnsi="Arial"/>
                <w:b w:val="0"/>
                <w:color w:val="222222"/>
                <w:sz w:val="16"/>
              </w:rPr>
              <w:t>2026-08-03</w:t>
            </w:r>
          </w:p>
        </w:tc>
        <w:tc>
          <w:tcPr>
            <w:tcW w:type="dxa" w:w="7200"/>
            <w:vAlign w:val="center"/>
            <w:tcMar>
              <w:top w:w="90" w:type="dxa"/>
              <w:start w:w="110" w:type="dxa"/>
              <w:bottom w:w="90" w:type="dxa"/>
              <w:end w:w="110" w:type="dxa"/>
            </w:tcMar>
            <w:shd w:fill="FFFFFF"/>
          </w:tcPr>
          <w:p>
            <w:pPr>
              <w:spacing w:after="0"/>
              <w:jc w:val="left"/>
            </w:pPr>
            <w:r/>
            <w:r>
              <w:rPr>
                <w:rFonts w:ascii="Arial" w:hAnsi="Arial"/>
                <w:b w:val="0"/>
                <w:color w:val="222222"/>
                <w:sz w:val="16"/>
              </w:rPr>
              <w:t>Final layout-refined firmware-first release with verified STM32H747/OpenAMP architecture, memory map, IPC rates, timing constants, coherency controls, and public source excerpts.</w:t>
            </w:r>
          </w:p>
        </w:tc>
      </w:tr>
    </w:tbl>
    <w:tbl>
      <w:tblPr>
        <w:tblW w:type="auto" w:w="0"/>
        <w:jc w:val="center"/>
        <w:tblLayout w:type="fixed"/>
        <w:tblLook w:firstColumn="1" w:firstRow="1" w:lastColumn="0" w:lastRow="0" w:noHBand="0" w:noVBand="1" w:val="04A0"/>
      </w:tblPr>
      <w:tblGrid>
        <w:gridCol w:w="9504"/>
      </w:tblGrid>
      <w:tr>
        <w:tc>
          <w:tcPr>
            <w:tcW w:type="dxa" w:w="10080"/>
            <w:shd w:fill="F3F4F6"/>
            <w:tcMar>
              <w:top w:w="150" w:type="dxa"/>
              <w:start w:w="180" w:type="dxa"/>
              <w:bottom w:w="150" w:type="dxa"/>
              <w:end w:w="180" w:type="dxa"/>
            </w:tcMar>
          </w:tcPr>
          <w:p>
            <w:pPr>
              <w:spacing w:after="60"/>
            </w:pPr>
            <w:r/>
            <w:r>
              <w:rPr>
                <w:rFonts w:ascii="Arial" w:hAnsi="Arial"/>
                <w:b/>
                <w:color w:val="C8102E"/>
                <w:sz w:val="17"/>
              </w:rPr>
              <w:t>RELEASE GATE</w:t>
            </w:r>
          </w:p>
          <w:p>
            <w:pPr>
              <w:spacing w:after="0"/>
            </w:pPr>
            <w:r>
              <w:rPr>
                <w:rFonts w:ascii="Arial" w:hAnsi="Arial"/>
                <w:color w:val="222222"/>
                <w:sz w:val="19"/>
              </w:rPr>
              <w:t>Before a production release, correct the ring allocation, integrate and tag the final build, instrument IPC latency and jitter, and validate sustained host throughput.</w:t>
            </w:r>
          </w:p>
        </w:tc>
      </w:tr>
    </w:tbl>
    <w:p>
      <w:pPr>
        <w:spacing w:after="0"/>
      </w:pPr>
    </w:p>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5"/>
      </w:rPr>
      <w:t xml:space="preserve">Customer-facing technical report • Public architecture and validation evidence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7056"/>
      <w:gridCol w:w="3024"/>
    </w:tblGrid>
    <w:tr>
      <w:tc>
        <w:tcPr>
          <w:tcW w:type="dxa" w:w="5040"/>
          <w:vAlign w:val="center"/>
          <w:tcMar>
            <w:top w:w="90" w:type="dxa"/>
            <w:start w:w="110" w:type="dxa"/>
            <w:bottom w:w="90" w:type="dxa"/>
            <w:end w:w="110" w:type="dxa"/>
          </w:tcMar>
          <w:tcBorders>
            <w:bottom w:val="single" w:sz="8" w:color="C8102E"/>
          </w:tcBorders>
        </w:tcPr>
        <w:p>
          <w:pPr>
            <w:spacing w:after="0"/>
            <w:jc w:val="left"/>
          </w:pPr>
          <w:r/>
          <w:r>
            <w:rPr>
              <w:rFonts w:ascii="Arial" w:hAnsi="Arial"/>
              <w:b/>
              <w:color w:val="C8102E"/>
              <w:sz w:val="16"/>
            </w:rPr>
            <w:t>HERDER ELEKTRONISCHE SYSTEMEN</w:t>
          </w:r>
        </w:p>
      </w:tc>
      <w:tc>
        <w:tcPr>
          <w:tcW w:type="dxa" w:w="5040"/>
          <w:vAlign w:val="center"/>
          <w:tcMar>
            <w:top w:w="90" w:type="dxa"/>
            <w:start w:w="110" w:type="dxa"/>
            <w:bottom w:w="90" w:type="dxa"/>
            <w:end w:w="110" w:type="dxa"/>
          </w:tcMar>
          <w:tcBorders>
            <w:bottom w:val="single" w:sz="8" w:color="C8102E"/>
          </w:tcBorders>
        </w:tcPr>
        <w:p>
          <w:pPr>
            <w:spacing w:after="0"/>
            <w:jc w:val="right"/>
          </w:pPr>
          <w:r/>
          <w:r>
            <w:rPr>
              <w:rFonts w:ascii="Arial" w:hAnsi="Arial"/>
              <w:b/>
              <w:color w:val="555555"/>
              <w:sz w:val="16"/>
            </w:rPr>
            <w:t>ENGINEERING REPORT  |  REV 2.2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C8102E"/>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C810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2" w:lineRule="auto"/>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