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C8102E"/>
            <w:tcMar>
              <w:top w:w="620" w:type="dxa"/>
              <w:start w:w="400" w:type="dxa"/>
              <w:bottom w:w="620" w:type="dxa"/>
              <w:end w:w="400" w:type="dxa"/>
            </w:tcMar>
          </w:tcPr>
          <w:p>
            <w:pPr>
              <w:spacing w:after="360"/>
            </w:pPr>
            <w:r/>
            <w:r>
              <w:rPr>
                <w:rFonts w:ascii="Arial" w:hAnsi="Arial"/>
                <w:b/>
                <w:color w:val="FFFFFF"/>
                <w:sz w:val="54"/>
              </w:rPr>
              <w:t>PLATFORM &amp; ELECTRICAL INTEGRATION</w:t>
            </w:r>
          </w:p>
          <w:p>
            <w:pPr>
              <w:spacing w:after="360"/>
            </w:pPr>
            <w:r>
              <w:rPr>
                <w:rFonts w:ascii="Arial" w:hAnsi="Arial"/>
                <w:b/>
                <w:color w:val="FFFFFF"/>
                <w:sz w:val="30"/>
              </w:rPr>
              <w:t>Dual-Core Optical Motion Testbed Hardware Supporting the STM32H747 Architecture</w:t>
            </w:r>
          </w:p>
          <w:p>
            <w:r>
              <w:rPr>
                <w:rFonts w:ascii="Arial" w:hAnsi="Arial"/>
                <w:color w:val="FFFFFF"/>
                <w:sz w:val="20"/>
              </w:rPr>
              <w:t>Customer-facing technical report</w:t>
              <w:br/>
              <w:t>Revision 2.2 • 3 August 2026</w:t>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Prepared by</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Herder Elektronische Systemen</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Primary subject</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Mechanical platform, encoder/motor interfaces, and electrical support for dual-core embedded control</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Architecture context</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STM32H747 Cortex-M7/M4 target with OpenAMP and shared-memory IPC</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Distribution</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Customer-facing; editable fabrication and complete firmware archives excluded</w:t>
            </w:r>
          </w:p>
        </w:tc>
      </w:tr>
    </w:tbl>
    <w:tbl>
      <w:tblPr>
        <w:tblW w:type="auto" w:w="0"/>
        <w:jc w:val="center"/>
        <w:tblLayout w:type="fixed"/>
        <w:tblLook w:firstColumn="1" w:firstRow="1" w:lastColumn="0" w:lastRow="0" w:noHBand="0" w:noVBand="1" w:val="04A0"/>
      </w:tblPr>
      <w:tblGrid>
        <w:gridCol w:w="9504"/>
      </w:tblGrid>
      <w:tr>
        <w:tc>
          <w:tcPr>
            <w:tcW w:type="dxa" w:w="10080"/>
            <w:shd w:fill="F3F4F6"/>
            <w:tcMar>
              <w:top w:w="150" w:type="dxa"/>
              <w:start w:w="180" w:type="dxa"/>
              <w:bottom w:w="150" w:type="dxa"/>
              <w:end w:w="180" w:type="dxa"/>
            </w:tcMar>
          </w:tcPr>
          <w:p>
            <w:pPr>
              <w:spacing w:after="60"/>
            </w:pPr>
            <w:r/>
            <w:r>
              <w:rPr>
                <w:rFonts w:ascii="Arial" w:hAnsi="Arial"/>
                <w:b/>
                <w:color w:val="C8102E"/>
                <w:sz w:val="17"/>
              </w:rPr>
              <w:t>DOCUMENT EMPHASIS</w:t>
            </w:r>
          </w:p>
          <w:p>
            <w:pPr>
              <w:spacing w:after="0"/>
            </w:pPr>
            <w:r>
              <w:rPr>
                <w:rFonts w:ascii="Arial" w:hAnsi="Arial"/>
                <w:color w:val="222222"/>
                <w:sz w:val="19"/>
              </w:rPr>
              <w:t>The physical platform is presented as the plant and interface layer for a deep dual-core firmware system. The STM32H747 architecture governs signal flow, data acquisition, and operator interaction throughout the report.</w:t>
            </w:r>
          </w:p>
        </w:tc>
      </w:tr>
    </w:tbl>
    <w:p>
      <w:pPr>
        <w:spacing w:after="0"/>
      </w:pPr>
    </w:p>
    <w:p>
      <w:r>
        <w:br w:type="page"/>
      </w:r>
    </w:p>
    <w:p>
      <w:pPr>
        <w:pStyle w:val="Heading1"/>
      </w:pPr>
      <w:r>
        <w:t>1. Executive Summary</w:t>
      </w:r>
    </w:p>
    <w:p>
      <w:pPr>
        <w:pStyle w:val="BodyText"/>
      </w:pPr>
      <w:r>
        <w:t>The testbed combines a load-bearing rotary and translational optical platform with differential encoder feedback, STEP/DIR motion control, custom interface electronics, emergency-stop behavior, and an STM32H747 dual-core embedded controller. The electrical design exists to preserve signal integrity and deterministic target-side operation while the Cortex-M7 and Cortex-M4 divide motion data and coordination workloads.</w:t>
      </w:r>
    </w:p>
    <w:p>
      <w:pPr>
        <w:keepNext/>
        <w:jc w:val="center"/>
      </w:pPr>
      <w:r>
        <w:drawing>
          <wp:inline xmlns:a="http://schemas.openxmlformats.org/drawingml/2006/main" xmlns:pic="http://schemas.openxmlformats.org/drawingml/2006/picture">
            <wp:extent cx="6035040" cy="3560674"/>
            <wp:docPr id="1" name="Picture 1"/>
            <wp:cNvGraphicFramePr>
              <a:graphicFrameLocks noChangeAspect="1"/>
            </wp:cNvGraphicFramePr>
            <a:graphic>
              <a:graphicData uri="http://schemas.openxmlformats.org/drawingml/2006/picture">
                <pic:pic>
                  <pic:nvPicPr>
                    <pic:cNvPr id="0" name="dual_core_architecture.png"/>
                    <pic:cNvPicPr/>
                  </pic:nvPicPr>
                  <pic:blipFill>
                    <a:blip r:embed="rId11"/>
                    <a:stretch>
                      <a:fillRect/>
                    </a:stretch>
                  </pic:blipFill>
                  <pic:spPr>
                    <a:xfrm>
                      <a:off x="0" y="0"/>
                      <a:ext cx="6035040" cy="3560674"/>
                    </a:xfrm>
                    <a:prstGeom prst="rect"/>
                  </pic:spPr>
                </pic:pic>
              </a:graphicData>
            </a:graphic>
          </wp:inline>
        </w:drawing>
      </w:r>
    </w:p>
    <w:p>
      <w:pPr>
        <w:spacing w:after="120"/>
        <w:jc w:val="center"/>
      </w:pPr>
      <w:r>
        <w:rPr>
          <w:rFonts w:ascii="Arial" w:hAnsi="Arial"/>
          <w:i/>
          <w:color w:val="555555"/>
          <w:sz w:val="16"/>
        </w:rPr>
        <w:t>Figure 1. Governing dual-core system architecture and its connection to the physical platform and host software.</w:t>
      </w:r>
    </w:p>
    <w:p>
      <w:pPr>
        <w:pStyle w:val="Heading1"/>
      </w:pPr>
      <w:r>
        <w:t>2. System-Level Requirements</w:t>
      </w:r>
    </w:p>
    <w:tbl>
      <w:tblPr>
        <w:tblW w:type="auto" w:w="0"/>
        <w:jc w:val="center"/>
        <w:tblLayout w:type="fixed"/>
        <w:tblLook w:firstColumn="1" w:firstRow="1" w:lastColumn="0" w:lastRow="0" w:noHBand="0" w:noVBand="1" w:val="04A0"/>
      </w:tblPr>
      <w:tblGrid>
        <w:gridCol w:w="1224"/>
        <w:gridCol w:w="8568"/>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ID</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Requirement</w:t>
            </w:r>
          </w:p>
        </w:tc>
      </w:tr>
      <w:tr>
        <w:tc>
          <w:tcPr>
            <w:tcW w:type="dxa" w:w="1224"/>
            <w:vAlign w:val="center"/>
            <w:tcMar>
              <w:top w:w="90" w:type="dxa"/>
              <w:start w:w="110" w:type="dxa"/>
              <w:bottom w:w="90" w:type="dxa"/>
              <w:end w:w="110" w:type="dxa"/>
            </w:tcMar>
            <w:shd w:fill="FFFFFF"/>
          </w:tcPr>
          <w:p>
            <w:pPr>
              <w:spacing w:after="0"/>
              <w:jc w:val="center"/>
            </w:pPr>
            <w:r/>
            <w:r>
              <w:rPr>
                <w:rFonts w:ascii="Arial" w:hAnsi="Arial"/>
                <w:b w:val="0"/>
                <w:color w:val="222222"/>
                <w:sz w:val="17"/>
              </w:rPr>
              <w:t>SYS-01</w:t>
            </w:r>
          </w:p>
        </w:tc>
        <w:tc>
          <w:tcPr>
            <w:tcW w:type="dxa" w:w="8568"/>
            <w:vAlign w:val="center"/>
            <w:tcMar>
              <w:top w:w="90" w:type="dxa"/>
              <w:start w:w="110" w:type="dxa"/>
              <w:bottom w:w="90" w:type="dxa"/>
              <w:end w:w="110" w:type="dxa"/>
            </w:tcMar>
            <w:shd w:fill="FFFFFF"/>
          </w:tcPr>
          <w:p>
            <w:pPr>
              <w:spacing w:after="0"/>
              <w:jc w:val="left"/>
            </w:pPr>
            <w:r/>
            <w:r>
              <w:rPr>
                <w:rFonts w:ascii="Arial" w:hAnsi="Arial"/>
                <w:b w:val="0"/>
                <w:color w:val="222222"/>
                <w:sz w:val="17"/>
              </w:rPr>
              <w:t>Support independent rotation and lateral alignment of optical hardware.</w:t>
            </w:r>
          </w:p>
        </w:tc>
      </w:tr>
      <w:tr>
        <w:tc>
          <w:tcPr>
            <w:tcW w:type="dxa" w:w="1224"/>
            <w:vAlign w:val="center"/>
            <w:tcMar>
              <w:top w:w="90" w:type="dxa"/>
              <w:start w:w="110" w:type="dxa"/>
              <w:bottom w:w="90" w:type="dxa"/>
              <w:end w:w="110" w:type="dxa"/>
            </w:tcMar>
            <w:shd w:fill="F3F4F6"/>
          </w:tcPr>
          <w:p>
            <w:pPr>
              <w:spacing w:after="0"/>
              <w:jc w:val="center"/>
            </w:pPr>
            <w:r/>
            <w:r>
              <w:rPr>
                <w:rFonts w:ascii="Arial" w:hAnsi="Arial"/>
                <w:b w:val="0"/>
                <w:color w:val="222222"/>
                <w:sz w:val="17"/>
              </w:rPr>
              <w:t>SYS-02</w:t>
            </w:r>
          </w:p>
        </w:tc>
        <w:tc>
          <w:tcPr>
            <w:tcW w:type="dxa" w:w="8568"/>
            <w:vAlign w:val="center"/>
            <w:tcMar>
              <w:top w:w="90" w:type="dxa"/>
              <w:start w:w="110" w:type="dxa"/>
              <w:bottom w:w="90" w:type="dxa"/>
              <w:end w:w="110" w:type="dxa"/>
            </w:tcMar>
            <w:shd w:fill="F3F4F6"/>
          </w:tcPr>
          <w:p>
            <w:pPr>
              <w:spacing w:after="0"/>
              <w:jc w:val="left"/>
            </w:pPr>
            <w:r/>
            <w:r>
              <w:rPr>
                <w:rFonts w:ascii="Arial" w:hAnsi="Arial"/>
                <w:b w:val="0"/>
                <w:color w:val="222222"/>
                <w:sz w:val="17"/>
              </w:rPr>
              <w:t>Provide differential encoder feedback to the embedded target.</w:t>
            </w:r>
          </w:p>
        </w:tc>
      </w:tr>
      <w:tr>
        <w:tc>
          <w:tcPr>
            <w:tcW w:type="dxa" w:w="1224"/>
            <w:vAlign w:val="center"/>
            <w:tcMar>
              <w:top w:w="90" w:type="dxa"/>
              <w:start w:w="110" w:type="dxa"/>
              <w:bottom w:w="90" w:type="dxa"/>
              <w:end w:w="110" w:type="dxa"/>
            </w:tcMar>
            <w:shd w:fill="FFFFFF"/>
          </w:tcPr>
          <w:p>
            <w:pPr>
              <w:spacing w:after="0"/>
              <w:jc w:val="center"/>
            </w:pPr>
            <w:r/>
            <w:r>
              <w:rPr>
                <w:rFonts w:ascii="Arial" w:hAnsi="Arial"/>
                <w:b w:val="0"/>
                <w:color w:val="222222"/>
                <w:sz w:val="17"/>
              </w:rPr>
              <w:t>SYS-03</w:t>
            </w:r>
          </w:p>
        </w:tc>
        <w:tc>
          <w:tcPr>
            <w:tcW w:type="dxa" w:w="8568"/>
            <w:vAlign w:val="center"/>
            <w:tcMar>
              <w:top w:w="90" w:type="dxa"/>
              <w:start w:w="110" w:type="dxa"/>
              <w:bottom w:w="90" w:type="dxa"/>
              <w:end w:w="110" w:type="dxa"/>
            </w:tcMar>
            <w:shd w:fill="FFFFFF"/>
          </w:tcPr>
          <w:p>
            <w:pPr>
              <w:spacing w:after="0"/>
              <w:jc w:val="left"/>
            </w:pPr>
            <w:r/>
            <w:r>
              <w:rPr>
                <w:rFonts w:ascii="Arial" w:hAnsi="Arial"/>
                <w:b w:val="0"/>
                <w:color w:val="222222"/>
                <w:sz w:val="17"/>
              </w:rPr>
              <w:t>Provide STEP/DIR motor-drive control with a shared logic reference.</w:t>
            </w:r>
          </w:p>
        </w:tc>
      </w:tr>
      <w:tr>
        <w:tc>
          <w:tcPr>
            <w:tcW w:type="dxa" w:w="1224"/>
            <w:vAlign w:val="center"/>
            <w:tcMar>
              <w:top w:w="90" w:type="dxa"/>
              <w:start w:w="110" w:type="dxa"/>
              <w:bottom w:w="90" w:type="dxa"/>
              <w:end w:w="110" w:type="dxa"/>
            </w:tcMar>
            <w:shd w:fill="F3F4F6"/>
          </w:tcPr>
          <w:p>
            <w:pPr>
              <w:spacing w:after="0"/>
              <w:jc w:val="center"/>
            </w:pPr>
            <w:r/>
            <w:r>
              <w:rPr>
                <w:rFonts w:ascii="Arial" w:hAnsi="Arial"/>
                <w:b w:val="0"/>
                <w:color w:val="222222"/>
                <w:sz w:val="17"/>
              </w:rPr>
              <w:t>SYS-04</w:t>
            </w:r>
          </w:p>
        </w:tc>
        <w:tc>
          <w:tcPr>
            <w:tcW w:type="dxa" w:w="8568"/>
            <w:vAlign w:val="center"/>
            <w:tcMar>
              <w:top w:w="90" w:type="dxa"/>
              <w:start w:w="110" w:type="dxa"/>
              <w:bottom w:w="90" w:type="dxa"/>
              <w:end w:w="110" w:type="dxa"/>
            </w:tcMar>
            <w:shd w:fill="F3F4F6"/>
          </w:tcPr>
          <w:p>
            <w:pPr>
              <w:spacing w:after="0"/>
              <w:jc w:val="left"/>
            </w:pPr>
            <w:r/>
            <w:r>
              <w:rPr>
                <w:rFonts w:ascii="Arial" w:hAnsi="Arial"/>
                <w:b w:val="0"/>
                <w:color w:val="222222"/>
                <w:sz w:val="17"/>
              </w:rPr>
              <w:t>Keep motion timing and safety behavior on the embedded target.</w:t>
            </w:r>
          </w:p>
        </w:tc>
      </w:tr>
      <w:tr>
        <w:tc>
          <w:tcPr>
            <w:tcW w:type="dxa" w:w="1224"/>
            <w:vAlign w:val="center"/>
            <w:tcMar>
              <w:top w:w="90" w:type="dxa"/>
              <w:start w:w="110" w:type="dxa"/>
              <w:bottom w:w="90" w:type="dxa"/>
              <w:end w:w="110" w:type="dxa"/>
            </w:tcMar>
            <w:shd w:fill="FFFFFF"/>
          </w:tcPr>
          <w:p>
            <w:pPr>
              <w:spacing w:after="0"/>
              <w:jc w:val="center"/>
            </w:pPr>
            <w:r/>
            <w:r>
              <w:rPr>
                <w:rFonts w:ascii="Arial" w:hAnsi="Arial"/>
                <w:b w:val="0"/>
                <w:color w:val="222222"/>
                <w:sz w:val="17"/>
              </w:rPr>
              <w:t>SYS-05</w:t>
            </w:r>
          </w:p>
        </w:tc>
        <w:tc>
          <w:tcPr>
            <w:tcW w:type="dxa" w:w="8568"/>
            <w:vAlign w:val="center"/>
            <w:tcMar>
              <w:top w:w="90" w:type="dxa"/>
              <w:start w:w="110" w:type="dxa"/>
              <w:bottom w:w="90" w:type="dxa"/>
              <w:end w:w="110" w:type="dxa"/>
            </w:tcMar>
            <w:shd w:fill="FFFFFF"/>
          </w:tcPr>
          <w:p>
            <w:pPr>
              <w:spacing w:after="0"/>
              <w:jc w:val="left"/>
            </w:pPr>
            <w:r/>
            <w:r>
              <w:rPr>
                <w:rFonts w:ascii="Arial" w:hAnsi="Arial"/>
                <w:b w:val="0"/>
                <w:color w:val="222222"/>
                <w:sz w:val="17"/>
              </w:rPr>
              <w:t>Support dual-core data transfer without forcing high-rate records through the host link.</w:t>
            </w:r>
          </w:p>
        </w:tc>
      </w:tr>
      <w:tr>
        <w:tc>
          <w:tcPr>
            <w:tcW w:type="dxa" w:w="1224"/>
            <w:vAlign w:val="center"/>
            <w:tcMar>
              <w:top w:w="90" w:type="dxa"/>
              <w:start w:w="110" w:type="dxa"/>
              <w:bottom w:w="90" w:type="dxa"/>
              <w:end w:w="110" w:type="dxa"/>
            </w:tcMar>
            <w:shd w:fill="F3F4F6"/>
          </w:tcPr>
          <w:p>
            <w:pPr>
              <w:spacing w:after="0"/>
              <w:jc w:val="center"/>
            </w:pPr>
            <w:r/>
            <w:r>
              <w:rPr>
                <w:rFonts w:ascii="Arial" w:hAnsi="Arial"/>
                <w:b w:val="0"/>
                <w:color w:val="222222"/>
                <w:sz w:val="17"/>
              </w:rPr>
              <w:t>SYS-06</w:t>
            </w:r>
          </w:p>
        </w:tc>
        <w:tc>
          <w:tcPr>
            <w:tcW w:type="dxa" w:w="8568"/>
            <w:vAlign w:val="center"/>
            <w:tcMar>
              <w:top w:w="90" w:type="dxa"/>
              <w:start w:w="110" w:type="dxa"/>
              <w:bottom w:w="90" w:type="dxa"/>
              <w:end w:w="110" w:type="dxa"/>
            </w:tcMar>
            <w:shd w:fill="F3F4F6"/>
          </w:tcPr>
          <w:p>
            <w:pPr>
              <w:spacing w:after="0"/>
              <w:jc w:val="left"/>
            </w:pPr>
            <w:r/>
            <w:r>
              <w:rPr>
                <w:rFonts w:ascii="Arial" w:hAnsi="Arial"/>
                <w:b w:val="0"/>
                <w:color w:val="222222"/>
                <w:sz w:val="17"/>
              </w:rPr>
              <w:t>Provide emergency power removal independent of the GUI.</w:t>
            </w:r>
          </w:p>
        </w:tc>
      </w:tr>
      <w:tr>
        <w:tc>
          <w:tcPr>
            <w:tcW w:type="dxa" w:w="1224"/>
            <w:vAlign w:val="center"/>
            <w:tcMar>
              <w:top w:w="90" w:type="dxa"/>
              <w:start w:w="110" w:type="dxa"/>
              <w:bottom w:w="90" w:type="dxa"/>
              <w:end w:w="110" w:type="dxa"/>
            </w:tcMar>
            <w:shd w:fill="FFFFFF"/>
          </w:tcPr>
          <w:p>
            <w:pPr>
              <w:spacing w:after="0"/>
              <w:jc w:val="center"/>
            </w:pPr>
            <w:r/>
            <w:r>
              <w:rPr>
                <w:rFonts w:ascii="Arial" w:hAnsi="Arial"/>
                <w:b w:val="0"/>
                <w:color w:val="222222"/>
                <w:sz w:val="17"/>
              </w:rPr>
              <w:t>SYS-07</w:t>
            </w:r>
          </w:p>
        </w:tc>
        <w:tc>
          <w:tcPr>
            <w:tcW w:type="dxa" w:w="8568"/>
            <w:vAlign w:val="center"/>
            <w:tcMar>
              <w:top w:w="90" w:type="dxa"/>
              <w:start w:w="110" w:type="dxa"/>
              <w:bottom w:w="90" w:type="dxa"/>
              <w:end w:w="110" w:type="dxa"/>
            </w:tcMar>
            <w:shd w:fill="FFFFFF"/>
          </w:tcPr>
          <w:p>
            <w:pPr>
              <w:spacing w:after="0"/>
              <w:jc w:val="left"/>
            </w:pPr>
            <w:r/>
            <w:r>
              <w:rPr>
                <w:rFonts w:ascii="Arial" w:hAnsi="Arial"/>
                <w:b w:val="0"/>
                <w:color w:val="222222"/>
                <w:sz w:val="17"/>
              </w:rPr>
              <w:t>Support configuration-dependent ultra-slow and faster-scan operation.</w:t>
            </w:r>
          </w:p>
        </w:tc>
      </w:tr>
    </w:tbl>
    <w:p>
      <w:r>
        <w:br w:type="page"/>
      </w:r>
    </w:p>
    <w:p>
      <w:pPr>
        <w:pStyle w:val="Heading1"/>
      </w:pPr>
      <w:r>
        <w:t>3. Embedded Controller and Signal Architecture</w:t>
      </w:r>
    </w:p>
    <w:p>
      <w:pPr>
        <w:keepNext/>
        <w:jc w:val="center"/>
      </w:pPr>
      <w:r>
        <w:drawing>
          <wp:inline xmlns:a="http://schemas.openxmlformats.org/drawingml/2006/main" xmlns:pic="http://schemas.openxmlformats.org/drawingml/2006/picture">
            <wp:extent cx="5943600" cy="3120390"/>
            <wp:docPr id="2" name="Picture 2"/>
            <wp:cNvGraphicFramePr>
              <a:graphicFrameLocks noChangeAspect="1"/>
            </wp:cNvGraphicFramePr>
            <a:graphic>
              <a:graphicData uri="http://schemas.openxmlformats.org/drawingml/2006/picture">
                <pic:pic>
                  <pic:nvPicPr>
                    <pic:cNvPr id="0" name="dual_core_metrics.png"/>
                    <pic:cNvPicPr/>
                  </pic:nvPicPr>
                  <pic:blipFill>
                    <a:blip r:embed="rId12"/>
                    <a:stretch>
                      <a:fillRect/>
                    </a:stretch>
                  </pic:blipFill>
                  <pic:spPr>
                    <a:xfrm>
                      <a:off x="0" y="0"/>
                      <a:ext cx="5943600" cy="3120390"/>
                    </a:xfrm>
                    <a:prstGeom prst="rect"/>
                  </pic:spPr>
                </pic:pic>
              </a:graphicData>
            </a:graphic>
          </wp:inline>
        </w:drawing>
      </w:r>
    </w:p>
    <w:p>
      <w:pPr>
        <w:spacing w:after="120"/>
        <w:jc w:val="center"/>
      </w:pPr>
      <w:r>
        <w:rPr>
          <w:rFonts w:ascii="Arial" w:hAnsi="Arial"/>
          <w:i/>
          <w:color w:val="555555"/>
          <w:sz w:val="16"/>
        </w:rPr>
        <w:t>Figure 2. Verified controller and inter-core communications specifications that drive the hardware interface.</w:t>
      </w:r>
    </w:p>
    <w:p>
      <w:pPr>
        <w:pStyle w:val="BodyText"/>
      </w:pPr>
      <w:r>
        <w:t>The physical interfaces feed a 400 MHz Cortex-M7 / 200 MHz Cortex-M4 system. OpenAMP/RPMsg handles command and status messages, while a 256 KiB AXI-SRAM ring transfers 64-byte motion records at 100 Hz. The controller therefore requires stable encoder logic, deterministic STEP/DIR signaling, and a common reference between the interface PCB and motor driver.</w:t>
      </w:r>
    </w:p>
    <w:p>
      <w:pPr>
        <w:pStyle w:val="Heading2"/>
      </w:pPr>
      <w:r>
        <w:t>3.1 Hardware-facing firmware quantities</w:t>
      </w:r>
    </w:p>
    <w:tbl>
      <w:tblPr>
        <w:tblW w:type="auto" w:w="0"/>
        <w:jc w:val="center"/>
        <w:tblLayout w:type="fixed"/>
        <w:tblLook w:firstColumn="1" w:firstRow="1" w:lastColumn="0" w:lastRow="0" w:noHBand="0" w:noVBand="1" w:val="04A0"/>
      </w:tblPr>
      <w:tblGrid>
        <w:gridCol w:w="4608"/>
        <w:gridCol w:w="5184"/>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7"/>
              </w:rPr>
              <w:t>Parameter</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7"/>
              </w:rPr>
              <w:t>Verified value</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7"/>
              </w:rPr>
              <w:t>STEP pulse high time</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7"/>
              </w:rPr>
              <w:t>4 µs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7"/>
              </w:rPr>
              <w:t>Step-rate safety cap</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7"/>
              </w:rPr>
              <w:t>25,000 pulses/s</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7"/>
              </w:rPr>
              <w:t>Encoder interface</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7"/>
              </w:rPr>
              <w:t>5,000 CPR differential quadrature encoder</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7"/>
              </w:rPr>
              <w:t>Effective table resolution</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7"/>
              </w:rPr>
              <w:t>~0.001460°/count after gearing</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7"/>
              </w:rPr>
              <w:t>256-microstep command increment</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7"/>
              </w:rPr>
              <w:t>~0.000285°/pulse</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7"/>
              </w:rPr>
              <w:t>Host safety</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7"/>
              </w:rPr>
              <w:t>500 ms heartbeat and 2 s target deadman</w:t>
            </w:r>
          </w:p>
        </w:tc>
      </w:tr>
    </w:tbl>
    <w:p>
      <w:r>
        <w:br w:type="page"/>
      </w:r>
    </w:p>
    <w:p>
      <w:pPr>
        <w:pStyle w:val="Heading1"/>
      </w:pPr>
      <w:r>
        <w:t>4. Mechanical Platform</w:t>
      </w:r>
    </w:p>
    <w:p>
      <w:pPr>
        <w:keepNext/>
        <w:jc w:val="center"/>
      </w:pPr>
      <w:r>
        <w:drawing>
          <wp:inline xmlns:a="http://schemas.openxmlformats.org/drawingml/2006/main" xmlns:pic="http://schemas.openxmlformats.org/drawingml/2006/picture">
            <wp:extent cx="4206240" cy="2358945"/>
            <wp:docPr id="3" name="Picture 3"/>
            <wp:cNvGraphicFramePr>
              <a:graphicFrameLocks noChangeAspect="1"/>
            </wp:cNvGraphicFramePr>
            <a:graphic>
              <a:graphicData uri="http://schemas.openxmlformats.org/drawingml/2006/picture">
                <pic:pic>
                  <pic:nvPicPr>
                    <pic:cNvPr id="0" name="system-assembly.png"/>
                    <pic:cNvPicPr/>
                  </pic:nvPicPr>
                  <pic:blipFill>
                    <a:blip r:embed="rId13"/>
                    <a:stretch>
                      <a:fillRect/>
                    </a:stretch>
                  </pic:blipFill>
                  <pic:spPr>
                    <a:xfrm>
                      <a:off x="0" y="0"/>
                      <a:ext cx="4206240" cy="2358945"/>
                    </a:xfrm>
                    <a:prstGeom prst="rect"/>
                  </pic:spPr>
                </pic:pic>
              </a:graphicData>
            </a:graphic>
          </wp:inline>
        </w:drawing>
      </w:r>
    </w:p>
    <w:p>
      <w:pPr>
        <w:spacing w:after="120"/>
        <w:jc w:val="center"/>
      </w:pPr>
      <w:r>
        <w:rPr>
          <w:rFonts w:ascii="Arial" w:hAnsi="Arial"/>
          <w:i/>
          <w:color w:val="555555"/>
          <w:sz w:val="16"/>
        </w:rPr>
        <w:t>Figure 3. Assembled dual-axis optical motion testbed.</w:t>
      </w:r>
    </w:p>
    <w:p>
      <w:pPr>
        <w:pStyle w:val="BodyText"/>
      </w:pPr>
      <w:r>
        <w:t>The mechanical platform combines continuous rotational motion with manual lateral offset. The structure carries the optical assembly, preserves access to the embedded controller and motor interface, and supports repeatable alignment and crosstalk studies.</w:t>
      </w:r>
    </w:p>
    <w:tbl>
      <w:tblPr>
        <w:tblW w:type="auto" w:w="0"/>
        <w:jc w:val="center"/>
        <w:tblLayout w:type="fixed"/>
        <w:tblLook w:firstColumn="1" w:firstRow="1" w:lastColumn="0" w:lastRow="0" w:noHBand="0" w:noVBand="1" w:val="04A0"/>
      </w:tblPr>
      <w:tblGrid>
        <w:gridCol w:w="4608"/>
        <w:gridCol w:w="5184"/>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Feature</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Demonstrated or designed value</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7"/>
              </w:rPr>
              <w:t>Static load demonstration</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7"/>
              </w:rPr>
              <w:t>40 lb</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7"/>
              </w:rPr>
              <w:t>Lateral travel</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7"/>
              </w:rPr>
              <w:t>More than ±3 in</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7"/>
              </w:rPr>
              <w:t>Rotating-platform footprint</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7"/>
              </w:rPr>
              <w:t>Approximately 12 × 12 in</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7"/>
              </w:rPr>
              <w:t>Readable translation scale</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7"/>
              </w:rPr>
              <w:t>Approximately 1/32 in</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7"/>
              </w:rPr>
              <w:t>Rotational actuation</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7"/>
              </w:rPr>
              <w:t>Stepper drive through 24.65:1 gearing</w:t>
            </w:r>
          </w:p>
        </w:tc>
      </w:tr>
    </w:tbl>
    <w:p>
      <w:pPr>
        <w:keepNext/>
        <w:jc w:val="center"/>
      </w:pPr>
      <w:r>
        <w:drawing>
          <wp:inline xmlns:a="http://schemas.openxmlformats.org/drawingml/2006/main" xmlns:pic="http://schemas.openxmlformats.org/drawingml/2006/picture">
            <wp:extent cx="2057400" cy="2699103"/>
            <wp:docPr id="4" name="Picture 4"/>
            <wp:cNvGraphicFramePr>
              <a:graphicFrameLocks noChangeAspect="1"/>
            </wp:cNvGraphicFramePr>
            <a:graphic>
              <a:graphicData uri="http://schemas.openxmlformats.org/drawingml/2006/picture">
                <pic:pic>
                  <pic:nvPicPr>
                    <pic:cNvPr id="0" name="static-load-demonstration.jpg"/>
                    <pic:cNvPicPr/>
                  </pic:nvPicPr>
                  <pic:blipFill>
                    <a:blip r:embed="rId14"/>
                    <a:stretch>
                      <a:fillRect/>
                    </a:stretch>
                  </pic:blipFill>
                  <pic:spPr>
                    <a:xfrm>
                      <a:off x="0" y="0"/>
                      <a:ext cx="2057400" cy="2699103"/>
                    </a:xfrm>
                    <a:prstGeom prst="rect"/>
                  </pic:spPr>
                </pic:pic>
              </a:graphicData>
            </a:graphic>
          </wp:inline>
        </w:drawing>
      </w:r>
    </w:p>
    <w:p>
      <w:pPr>
        <w:spacing w:after="120"/>
        <w:jc w:val="center"/>
      </w:pPr>
      <w:r>
        <w:rPr>
          <w:rFonts w:ascii="Arial" w:hAnsi="Arial"/>
          <w:i/>
          <w:color w:val="555555"/>
          <w:sz w:val="16"/>
        </w:rPr>
        <w:t>Figure 4. Static-load demonstration on the assembled structure.</w:t>
      </w:r>
    </w:p>
    <w:p>
      <w:r>
        <w:br w:type="page"/>
      </w:r>
    </w:p>
    <w:p>
      <w:pPr>
        <w:pStyle w:val="Heading1"/>
      </w:pPr>
      <w:r>
        <w:t>5. Encoder and STEP/DIR Interface PCB</w:t>
      </w:r>
    </w:p>
    <w:p>
      <w:pPr>
        <w:pStyle w:val="BodyText"/>
      </w:pPr>
      <w:r>
        <w:t>The firm-designed interface PCB receives differential A/B encoder signals, converts them through an AM26LS32 line receiver, routes encoder feedback to the controller, and provides STEP/DIR connections to the R725 motor driver. The revised board includes a dedicated solid-copper ground plane and explicit connector labeling.</w:t>
      </w:r>
    </w:p>
    <w:p>
      <w:pPr>
        <w:keepNext/>
        <w:jc w:val="center"/>
      </w:pPr>
      <w:r>
        <w:drawing>
          <wp:inline xmlns:a="http://schemas.openxmlformats.org/drawingml/2006/main" xmlns:pic="http://schemas.openxmlformats.org/drawingml/2006/picture">
            <wp:extent cx="5760720" cy="4451465"/>
            <wp:docPr id="5" name="Picture 5"/>
            <wp:cNvGraphicFramePr>
              <a:graphicFrameLocks noChangeAspect="1"/>
            </wp:cNvGraphicFramePr>
            <a:graphic>
              <a:graphicData uri="http://schemas.openxmlformats.org/drawingml/2006/picture">
                <pic:pic>
                  <pic:nvPicPr>
                    <pic:cNvPr id="0" name="featured-schematic-preview.png"/>
                    <pic:cNvPicPr/>
                  </pic:nvPicPr>
                  <pic:blipFill>
                    <a:blip r:embed="rId15"/>
                    <a:stretch>
                      <a:fillRect/>
                    </a:stretch>
                  </pic:blipFill>
                  <pic:spPr>
                    <a:xfrm>
                      <a:off x="0" y="0"/>
                      <a:ext cx="5760720" cy="4451465"/>
                    </a:xfrm>
                    <a:prstGeom prst="rect"/>
                  </pic:spPr>
                </pic:pic>
              </a:graphicData>
            </a:graphic>
          </wp:inline>
        </w:drawing>
      </w:r>
    </w:p>
    <w:p>
      <w:pPr>
        <w:spacing w:after="120"/>
        <w:jc w:val="center"/>
      </w:pPr>
      <w:r>
        <w:rPr>
          <w:rFonts w:ascii="Arial" w:hAnsi="Arial"/>
          <w:i/>
          <w:color w:val="555555"/>
          <w:sz w:val="16"/>
        </w:rPr>
        <w:t>Figure 5. Featured encoder and STEP/DIR interface schematic.</w:t>
      </w:r>
    </w:p>
    <w:tbl>
      <w:tblPr>
        <w:tblW w:type="auto" w:w="0"/>
        <w:jc w:val="center"/>
        <w:tblLayout w:type="fixed"/>
        <w:tblLook w:firstColumn="1" w:firstRow="1" w:lastColumn="0" w:lastRow="0" w:noHBand="0" w:noVBand="1" w:val="04A0"/>
      </w:tblPr>
      <w:tblGrid>
        <w:gridCol w:w="1440"/>
        <w:gridCol w:w="8352"/>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Designator</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Function</w:t>
            </w:r>
          </w:p>
        </w:tc>
      </w:tr>
      <w:tr>
        <w:tc>
          <w:tcPr>
            <w:tcW w:type="dxa" w:w="1440"/>
            <w:vAlign w:val="center"/>
            <w:tcMar>
              <w:top w:w="90" w:type="dxa"/>
              <w:start w:w="110" w:type="dxa"/>
              <w:bottom w:w="90" w:type="dxa"/>
              <w:end w:w="110" w:type="dxa"/>
            </w:tcMar>
            <w:shd w:fill="FFFFFF"/>
          </w:tcPr>
          <w:p>
            <w:pPr>
              <w:spacing w:after="0"/>
              <w:jc w:val="center"/>
            </w:pPr>
            <w:r/>
            <w:r>
              <w:rPr>
                <w:rFonts w:ascii="Arial" w:hAnsi="Arial"/>
                <w:b w:val="0"/>
                <w:color w:val="222222"/>
                <w:sz w:val="16"/>
              </w:rPr>
              <w:t>J1</w:t>
            </w:r>
          </w:p>
        </w:tc>
        <w:tc>
          <w:tcPr>
            <w:tcW w:type="dxa" w:w="8352"/>
            <w:vAlign w:val="center"/>
            <w:tcMar>
              <w:top w:w="90" w:type="dxa"/>
              <w:start w:w="110" w:type="dxa"/>
              <w:bottom w:w="90" w:type="dxa"/>
              <w:end w:w="110" w:type="dxa"/>
            </w:tcMar>
            <w:shd w:fill="FFFFFF"/>
          </w:tcPr>
          <w:p>
            <w:pPr>
              <w:spacing w:after="0"/>
              <w:jc w:val="left"/>
            </w:pPr>
            <w:r/>
            <w:r>
              <w:rPr>
                <w:rFonts w:ascii="Arial" w:hAnsi="Arial"/>
                <w:b w:val="0"/>
                <w:color w:val="222222"/>
                <w:sz w:val="16"/>
              </w:rPr>
              <w:t>E5 differential encoder input: A±, B±, +5 V, GND</w:t>
            </w:r>
          </w:p>
        </w:tc>
      </w:tr>
      <w:tr>
        <w:tc>
          <w:tcPr>
            <w:tcW w:type="dxa" w:w="1440"/>
            <w:vAlign w:val="center"/>
            <w:tcMar>
              <w:top w:w="90" w:type="dxa"/>
              <w:start w:w="110" w:type="dxa"/>
              <w:bottom w:w="90" w:type="dxa"/>
              <w:end w:w="110" w:type="dxa"/>
            </w:tcMar>
            <w:shd w:fill="F3F4F6"/>
          </w:tcPr>
          <w:p>
            <w:pPr>
              <w:spacing w:after="0"/>
              <w:jc w:val="center"/>
            </w:pPr>
            <w:r/>
            <w:r>
              <w:rPr>
                <w:rFonts w:ascii="Arial" w:hAnsi="Arial"/>
                <w:b w:val="0"/>
                <w:color w:val="222222"/>
                <w:sz w:val="16"/>
              </w:rPr>
              <w:t>P1</w:t>
            </w:r>
          </w:p>
        </w:tc>
        <w:tc>
          <w:tcPr>
            <w:tcW w:type="dxa" w:w="8352"/>
            <w:vAlign w:val="center"/>
            <w:tcMar>
              <w:top w:w="90" w:type="dxa"/>
              <w:start w:w="110" w:type="dxa"/>
              <w:bottom w:w="90" w:type="dxa"/>
              <w:end w:w="110" w:type="dxa"/>
            </w:tcMar>
            <w:shd w:fill="F3F4F6"/>
          </w:tcPr>
          <w:p>
            <w:pPr>
              <w:spacing w:after="0"/>
              <w:jc w:val="left"/>
            </w:pPr>
            <w:r/>
            <w:r>
              <w:rPr>
                <w:rFonts w:ascii="Arial" w:hAnsi="Arial"/>
                <w:b w:val="0"/>
                <w:color w:val="222222"/>
                <w:sz w:val="16"/>
              </w:rPr>
              <w:t>Controller harness: ENC_A, ENC_B, STEP_CTRL, DIR_CTRL, +5 V, GND</w:t>
            </w:r>
          </w:p>
        </w:tc>
      </w:tr>
      <w:tr>
        <w:tc>
          <w:tcPr>
            <w:tcW w:type="dxa" w:w="1440"/>
            <w:vAlign w:val="center"/>
            <w:tcMar>
              <w:top w:w="90" w:type="dxa"/>
              <w:start w:w="110" w:type="dxa"/>
              <w:bottom w:w="90" w:type="dxa"/>
              <w:end w:w="110" w:type="dxa"/>
            </w:tcMar>
            <w:shd w:fill="FFFFFF"/>
          </w:tcPr>
          <w:p>
            <w:pPr>
              <w:spacing w:after="0"/>
              <w:jc w:val="center"/>
            </w:pPr>
            <w:r/>
            <w:r>
              <w:rPr>
                <w:rFonts w:ascii="Arial" w:hAnsi="Arial"/>
                <w:b w:val="0"/>
                <w:color w:val="222222"/>
                <w:sz w:val="16"/>
              </w:rPr>
              <w:t>J2</w:t>
            </w:r>
          </w:p>
        </w:tc>
        <w:tc>
          <w:tcPr>
            <w:tcW w:type="dxa" w:w="8352"/>
            <w:vAlign w:val="center"/>
            <w:tcMar>
              <w:top w:w="90" w:type="dxa"/>
              <w:start w:w="110" w:type="dxa"/>
              <w:bottom w:w="90" w:type="dxa"/>
              <w:end w:w="110" w:type="dxa"/>
            </w:tcMar>
            <w:shd w:fill="FFFFFF"/>
          </w:tcPr>
          <w:p>
            <w:pPr>
              <w:spacing w:after="0"/>
              <w:jc w:val="left"/>
            </w:pPr>
            <w:r/>
            <w:r>
              <w:rPr>
                <w:rFonts w:ascii="Arial" w:hAnsi="Arial"/>
                <w:b w:val="0"/>
                <w:color w:val="222222"/>
                <w:sz w:val="16"/>
              </w:rPr>
              <w:t>R725 logic interface: DIR, STEP, GND, +5 V</w:t>
            </w:r>
          </w:p>
        </w:tc>
      </w:tr>
      <w:tr>
        <w:tc>
          <w:tcPr>
            <w:tcW w:type="dxa" w:w="1440"/>
            <w:vAlign w:val="center"/>
            <w:tcMar>
              <w:top w:w="90" w:type="dxa"/>
              <w:start w:w="110" w:type="dxa"/>
              <w:bottom w:w="90" w:type="dxa"/>
              <w:end w:w="110" w:type="dxa"/>
            </w:tcMar>
            <w:shd w:fill="F3F4F6"/>
          </w:tcPr>
          <w:p>
            <w:pPr>
              <w:spacing w:after="0"/>
              <w:jc w:val="center"/>
            </w:pPr>
            <w:r/>
            <w:r>
              <w:rPr>
                <w:rFonts w:ascii="Arial" w:hAnsi="Arial"/>
                <w:b w:val="0"/>
                <w:color w:val="222222"/>
                <w:sz w:val="16"/>
              </w:rPr>
              <w:t>U3</w:t>
            </w:r>
          </w:p>
        </w:tc>
        <w:tc>
          <w:tcPr>
            <w:tcW w:type="dxa" w:w="8352"/>
            <w:vAlign w:val="center"/>
            <w:tcMar>
              <w:top w:w="90" w:type="dxa"/>
              <w:start w:w="110" w:type="dxa"/>
              <w:bottom w:w="90" w:type="dxa"/>
              <w:end w:w="110" w:type="dxa"/>
            </w:tcMar>
            <w:shd w:fill="F3F4F6"/>
          </w:tcPr>
          <w:p>
            <w:pPr>
              <w:spacing w:after="0"/>
              <w:jc w:val="left"/>
            </w:pPr>
            <w:r/>
            <w:r>
              <w:rPr>
                <w:rFonts w:ascii="Arial" w:hAnsi="Arial"/>
                <w:b w:val="0"/>
                <w:color w:val="222222"/>
                <w:sz w:val="16"/>
              </w:rPr>
              <w:t>AM26LS32 differential line receiver</w:t>
            </w:r>
          </w:p>
        </w:tc>
      </w:tr>
      <w:tr>
        <w:tc>
          <w:tcPr>
            <w:tcW w:type="dxa" w:w="1440"/>
            <w:vAlign w:val="center"/>
            <w:tcMar>
              <w:top w:w="90" w:type="dxa"/>
              <w:start w:w="110" w:type="dxa"/>
              <w:bottom w:w="90" w:type="dxa"/>
              <w:end w:w="110" w:type="dxa"/>
            </w:tcMar>
            <w:shd w:fill="FFFFFF"/>
          </w:tcPr>
          <w:p>
            <w:pPr>
              <w:spacing w:after="0"/>
              <w:jc w:val="center"/>
            </w:pPr>
            <w:r/>
            <w:r>
              <w:rPr>
                <w:rFonts w:ascii="Arial" w:hAnsi="Arial"/>
                <w:b w:val="0"/>
                <w:color w:val="222222"/>
                <w:sz w:val="16"/>
              </w:rPr>
              <w:t>U1/U2</w:t>
            </w:r>
          </w:p>
        </w:tc>
        <w:tc>
          <w:tcPr>
            <w:tcW w:type="dxa" w:w="8352"/>
            <w:vAlign w:val="center"/>
            <w:tcMar>
              <w:top w:w="90" w:type="dxa"/>
              <w:start w:w="110" w:type="dxa"/>
              <w:bottom w:w="90" w:type="dxa"/>
              <w:end w:w="110" w:type="dxa"/>
            </w:tcMar>
            <w:shd w:fill="FFFFFF"/>
          </w:tcPr>
          <w:p>
            <w:pPr>
              <w:spacing w:after="0"/>
              <w:jc w:val="left"/>
            </w:pPr>
            <w:r/>
            <w:r>
              <w:rPr>
                <w:rFonts w:ascii="Arial" w:hAnsi="Arial"/>
                <w:b w:val="0"/>
                <w:color w:val="222222"/>
                <w:sz w:val="16"/>
              </w:rPr>
              <w:t>NPN interface stages for STEP/DIR control</w:t>
            </w:r>
          </w:p>
        </w:tc>
      </w:tr>
    </w:tbl>
    <w:p>
      <w:r>
        <w:br w:type="page"/>
      </w:r>
    </w:p>
    <w:p>
      <w:pPr>
        <w:pStyle w:val="Heading1"/>
      </w:pPr>
      <w:r>
        <w:t>6. PCB Layout and Return-Path Design</w:t>
      </w:r>
    </w:p>
    <w:p>
      <w:pPr>
        <w:keepNext/>
        <w:jc w:val="center"/>
      </w:pPr>
      <w:r>
        <w:drawing>
          <wp:inline xmlns:a="http://schemas.openxmlformats.org/drawingml/2006/main" xmlns:pic="http://schemas.openxmlformats.org/drawingml/2006/picture">
            <wp:extent cx="5303520" cy="5830612"/>
            <wp:docPr id="6" name="Picture 6"/>
            <wp:cNvGraphicFramePr>
              <a:graphicFrameLocks noChangeAspect="1"/>
            </wp:cNvGraphicFramePr>
            <a:graphic>
              <a:graphicData uri="http://schemas.openxmlformats.org/drawingml/2006/picture">
                <pic:pic>
                  <pic:nvPicPr>
                    <pic:cNvPr id="0" name="pcb-routed-layer.png"/>
                    <pic:cNvPicPr/>
                  </pic:nvPicPr>
                  <pic:blipFill>
                    <a:blip r:embed="rId16"/>
                    <a:stretch>
                      <a:fillRect/>
                    </a:stretch>
                  </pic:blipFill>
                  <pic:spPr>
                    <a:xfrm>
                      <a:off x="0" y="0"/>
                      <a:ext cx="5303520" cy="5830612"/>
                    </a:xfrm>
                    <a:prstGeom prst="rect"/>
                  </pic:spPr>
                </pic:pic>
              </a:graphicData>
            </a:graphic>
          </wp:inline>
        </w:drawing>
      </w:r>
    </w:p>
    <w:p>
      <w:pPr>
        <w:spacing w:after="120"/>
        <w:jc w:val="center"/>
      </w:pPr>
      <w:r>
        <w:rPr>
          <w:rFonts w:ascii="Arial" w:hAnsi="Arial"/>
          <w:i/>
          <w:color w:val="555555"/>
          <w:sz w:val="16"/>
        </w:rPr>
        <w:t>Figure 6. Routed signal and power layer.</w:t>
      </w:r>
    </w:p>
    <w:p>
      <w:pPr>
        <w:keepNext/>
        <w:jc w:val="center"/>
      </w:pPr>
      <w:r>
        <w:drawing>
          <wp:inline xmlns:a="http://schemas.openxmlformats.org/drawingml/2006/main" xmlns:pic="http://schemas.openxmlformats.org/drawingml/2006/picture">
            <wp:extent cx="5303520" cy="5895266"/>
            <wp:docPr id="7" name="Picture 7"/>
            <wp:cNvGraphicFramePr>
              <a:graphicFrameLocks noChangeAspect="1"/>
            </wp:cNvGraphicFramePr>
            <a:graphic>
              <a:graphicData uri="http://schemas.openxmlformats.org/drawingml/2006/picture">
                <pic:pic>
                  <pic:nvPicPr>
                    <pic:cNvPr id="0" name="pcb-solid-ground-plane.png"/>
                    <pic:cNvPicPr/>
                  </pic:nvPicPr>
                  <pic:blipFill>
                    <a:blip r:embed="rId17"/>
                    <a:stretch>
                      <a:fillRect/>
                    </a:stretch>
                  </pic:blipFill>
                  <pic:spPr>
                    <a:xfrm>
                      <a:off x="0" y="0"/>
                      <a:ext cx="5303520" cy="5895266"/>
                    </a:xfrm>
                    <a:prstGeom prst="rect"/>
                  </pic:spPr>
                </pic:pic>
              </a:graphicData>
            </a:graphic>
          </wp:inline>
        </w:drawing>
      </w:r>
    </w:p>
    <w:p>
      <w:pPr>
        <w:spacing w:after="120"/>
        <w:jc w:val="center"/>
      </w:pPr>
      <w:r>
        <w:rPr>
          <w:rFonts w:ascii="Arial" w:hAnsi="Arial"/>
          <w:i/>
          <w:color w:val="555555"/>
          <w:sz w:val="16"/>
        </w:rPr>
        <w:t>Figure 7. Dedicated solid-copper ground-reference layer.</w:t>
      </w:r>
    </w:p>
    <w:p>
      <w:pPr>
        <w:pStyle w:val="BodyText"/>
      </w:pPr>
      <w:r>
        <w:t>The ground plane provides a continuous logic reference for the differential receiver, controller harness, and motor-driver interface. This replaces the earlier prototype routing approach and better supports the dual-core target’s encoder acquisition and deterministic pulse-generation requirements.</w:t>
      </w:r>
    </w:p>
    <w:p>
      <w:pPr>
        <w:pStyle w:val="Heading2"/>
      </w:pPr>
      <w:r>
        <w:t>6.1 Public release checks</w:t>
      </w:r>
    </w:p>
    <w:p>
      <w:pPr>
        <w:pStyle w:val="ListBullet"/>
      </w:pPr>
      <w:r>
        <w:t>Connector polarity and pin-1 indicators verified.</w:t>
      </w:r>
    </w:p>
    <w:p>
      <w:pPr>
        <w:pStyle w:val="ListBullet"/>
      </w:pPr>
      <w:r>
        <w:t>Power and ground nets labeled across external interfaces.</w:t>
      </w:r>
    </w:p>
    <w:p>
      <w:pPr>
        <w:pStyle w:val="ListBullet"/>
      </w:pPr>
      <w:r>
        <w:t>Trace widths and clearances reviewed for logic-level operation.</w:t>
      </w:r>
    </w:p>
    <w:p>
      <w:pPr>
        <w:pStyle w:val="ListBullet"/>
      </w:pPr>
      <w:r>
        <w:t>3D access and mechanical clearance reviewed.</w:t>
      </w:r>
    </w:p>
    <w:p>
      <w:pPr>
        <w:pStyle w:val="ListBullet"/>
      </w:pPr>
      <w:r>
        <w:t>Editable manufacturing source and complete fabrication package retained as controlled assets.</w:t>
      </w:r>
    </w:p>
    <w:p>
      <w:r>
        <w:br w:type="page"/>
      </w:r>
    </w:p>
    <w:p>
      <w:pPr>
        <w:pStyle w:val="Heading1"/>
      </w:pPr>
      <w:r>
        <w:t>7. Electrical/Embedded Integration</w:t>
      </w:r>
    </w:p>
    <w:p>
      <w:pPr>
        <w:keepNext/>
        <w:jc w:val="center"/>
      </w:pPr>
      <w:r>
        <w:drawing>
          <wp:inline xmlns:a="http://schemas.openxmlformats.org/drawingml/2006/main" xmlns:pic="http://schemas.openxmlformats.org/drawingml/2006/picture">
            <wp:extent cx="5120640" cy="4623774"/>
            <wp:docPr id="8" name="Picture 8"/>
            <wp:cNvGraphicFramePr>
              <a:graphicFrameLocks noChangeAspect="1"/>
            </wp:cNvGraphicFramePr>
            <a:graphic>
              <a:graphicData uri="http://schemas.openxmlformats.org/drawingml/2006/picture">
                <pic:pic>
                  <pic:nvPicPr>
                    <pic:cNvPr id="0" name="pcb-3d-angle.png"/>
                    <pic:cNvPicPr/>
                  </pic:nvPicPr>
                  <pic:blipFill>
                    <a:blip r:embed="rId18"/>
                    <a:stretch>
                      <a:fillRect/>
                    </a:stretch>
                  </pic:blipFill>
                  <pic:spPr>
                    <a:xfrm>
                      <a:off x="0" y="0"/>
                      <a:ext cx="5120640" cy="4623774"/>
                    </a:xfrm>
                    <a:prstGeom prst="rect"/>
                  </pic:spPr>
                </pic:pic>
              </a:graphicData>
            </a:graphic>
          </wp:inline>
        </w:drawing>
      </w:r>
    </w:p>
    <w:p>
      <w:pPr>
        <w:spacing w:after="120"/>
        <w:jc w:val="center"/>
      </w:pPr>
      <w:r>
        <w:rPr>
          <w:rFonts w:ascii="Arial" w:hAnsi="Arial"/>
          <w:i/>
          <w:color w:val="555555"/>
          <w:sz w:val="16"/>
        </w:rPr>
        <w:t>Figure 8. Populated 3D view of the interface board.</w:t>
      </w:r>
    </w:p>
    <w:p>
      <w:pPr>
        <w:pStyle w:val="BodyText"/>
      </w:pPr>
      <w:r>
        <w:t>The board closes the physical path between the encoder, controller, and motor driver. The controller converts encoder events into timestamped motion records, places those records into the AXI shared-memory ring, and uses target-side pulse timing to command motion independently of the host GUI.</w:t>
      </w:r>
    </w:p>
    <w:tbl>
      <w:tblPr>
        <w:tblW w:type="auto" w:w="0"/>
        <w:jc w:val="center"/>
        <w:tblLayout w:type="fixed"/>
        <w:tblLook w:firstColumn="1" w:firstRow="1" w:lastColumn="0" w:lastRow="0" w:noHBand="0" w:noVBand="1" w:val="04A0"/>
      </w:tblPr>
      <w:tblGrid>
        <w:gridCol w:w="2448"/>
        <w:gridCol w:w="7344"/>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Path</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Implementation</w:t>
            </w:r>
          </w:p>
        </w:tc>
      </w:tr>
      <w:tr>
        <w:tc>
          <w:tcPr>
            <w:tcW w:type="dxa" w:w="2448"/>
            <w:vAlign w:val="center"/>
            <w:tcMar>
              <w:top w:w="90" w:type="dxa"/>
              <w:start w:w="110" w:type="dxa"/>
              <w:bottom w:w="90" w:type="dxa"/>
              <w:end w:w="110" w:type="dxa"/>
            </w:tcMar>
            <w:shd w:fill="FFFFFF"/>
          </w:tcPr>
          <w:p>
            <w:pPr>
              <w:spacing w:after="0"/>
              <w:jc w:val="center"/>
            </w:pPr>
            <w:r/>
            <w:r>
              <w:rPr>
                <w:rFonts w:ascii="Arial" w:hAnsi="Arial"/>
                <w:b w:val="0"/>
                <w:color w:val="222222"/>
                <w:sz w:val="17"/>
              </w:rPr>
              <w:t>Encoder path</w:t>
            </w:r>
          </w:p>
        </w:tc>
        <w:tc>
          <w:tcPr>
            <w:tcW w:type="dxa" w:w="7344"/>
            <w:vAlign w:val="center"/>
            <w:tcMar>
              <w:top w:w="90" w:type="dxa"/>
              <w:start w:w="110" w:type="dxa"/>
              <w:bottom w:w="90" w:type="dxa"/>
              <w:end w:w="110" w:type="dxa"/>
            </w:tcMar>
            <w:shd w:fill="FFFFFF"/>
          </w:tcPr>
          <w:p>
            <w:pPr>
              <w:spacing w:after="0"/>
              <w:jc w:val="left"/>
            </w:pPr>
            <w:r/>
            <w:r>
              <w:rPr>
                <w:rFonts w:ascii="Arial" w:hAnsi="Arial"/>
                <w:b w:val="0"/>
                <w:color w:val="222222"/>
                <w:sz w:val="17"/>
              </w:rPr>
              <w:t>Differential A/B → AM26LS32 → controller interrupt inputs</w:t>
            </w:r>
          </w:p>
        </w:tc>
      </w:tr>
      <w:tr>
        <w:tc>
          <w:tcPr>
            <w:tcW w:type="dxa" w:w="2448"/>
            <w:vAlign w:val="center"/>
            <w:tcMar>
              <w:top w:w="90" w:type="dxa"/>
              <w:start w:w="110" w:type="dxa"/>
              <w:bottom w:w="90" w:type="dxa"/>
              <w:end w:w="110" w:type="dxa"/>
            </w:tcMar>
            <w:shd w:fill="F3F4F6"/>
          </w:tcPr>
          <w:p>
            <w:pPr>
              <w:spacing w:after="0"/>
              <w:jc w:val="center"/>
            </w:pPr>
            <w:r/>
            <w:r>
              <w:rPr>
                <w:rFonts w:ascii="Arial" w:hAnsi="Arial"/>
                <w:b w:val="0"/>
                <w:color w:val="222222"/>
                <w:sz w:val="17"/>
              </w:rPr>
              <w:t>Motion command path</w:t>
            </w:r>
          </w:p>
        </w:tc>
        <w:tc>
          <w:tcPr>
            <w:tcW w:type="dxa" w:w="7344"/>
            <w:vAlign w:val="center"/>
            <w:tcMar>
              <w:top w:w="90" w:type="dxa"/>
              <w:start w:w="110" w:type="dxa"/>
              <w:bottom w:w="90" w:type="dxa"/>
              <w:end w:w="110" w:type="dxa"/>
            </w:tcMar>
            <w:shd w:fill="F3F4F6"/>
          </w:tcPr>
          <w:p>
            <w:pPr>
              <w:spacing w:after="0"/>
              <w:jc w:val="left"/>
            </w:pPr>
            <w:r/>
            <w:r>
              <w:rPr>
                <w:rFonts w:ascii="Arial" w:hAnsi="Arial"/>
                <w:b w:val="0"/>
                <w:color w:val="222222"/>
                <w:sz w:val="17"/>
              </w:rPr>
              <w:t>Cortex-M7 target logic → STEP/DIR interface → R725 driver</w:t>
            </w:r>
          </w:p>
        </w:tc>
      </w:tr>
      <w:tr>
        <w:tc>
          <w:tcPr>
            <w:tcW w:type="dxa" w:w="2448"/>
            <w:vAlign w:val="center"/>
            <w:tcMar>
              <w:top w:w="90" w:type="dxa"/>
              <w:start w:w="110" w:type="dxa"/>
              <w:bottom w:w="90" w:type="dxa"/>
              <w:end w:w="110" w:type="dxa"/>
            </w:tcMar>
            <w:shd w:fill="FFFFFF"/>
          </w:tcPr>
          <w:p>
            <w:pPr>
              <w:spacing w:after="0"/>
              <w:jc w:val="center"/>
            </w:pPr>
            <w:r/>
            <w:r>
              <w:rPr>
                <w:rFonts w:ascii="Arial" w:hAnsi="Arial"/>
                <w:b w:val="0"/>
                <w:color w:val="222222"/>
                <w:sz w:val="17"/>
              </w:rPr>
              <w:t>Inter-core data path</w:t>
            </w:r>
          </w:p>
        </w:tc>
        <w:tc>
          <w:tcPr>
            <w:tcW w:type="dxa" w:w="7344"/>
            <w:vAlign w:val="center"/>
            <w:tcMar>
              <w:top w:w="90" w:type="dxa"/>
              <w:start w:w="110" w:type="dxa"/>
              <w:bottom w:w="90" w:type="dxa"/>
              <w:end w:w="110" w:type="dxa"/>
            </w:tcMar>
            <w:shd w:fill="FFFFFF"/>
          </w:tcPr>
          <w:p>
            <w:pPr>
              <w:spacing w:after="0"/>
              <w:jc w:val="left"/>
            </w:pPr>
            <w:r/>
            <w:r>
              <w:rPr>
                <w:rFonts w:ascii="Arial" w:hAnsi="Arial"/>
                <w:b w:val="0"/>
                <w:color w:val="222222"/>
                <w:sz w:val="17"/>
              </w:rPr>
              <w:t>M7 producer → AXI SRAM ring → M4 consumer</w:t>
            </w:r>
          </w:p>
        </w:tc>
      </w:tr>
      <w:tr>
        <w:tc>
          <w:tcPr>
            <w:tcW w:type="dxa" w:w="2448"/>
            <w:vAlign w:val="center"/>
            <w:tcMar>
              <w:top w:w="90" w:type="dxa"/>
              <w:start w:w="110" w:type="dxa"/>
              <w:bottom w:w="90" w:type="dxa"/>
              <w:end w:w="110" w:type="dxa"/>
            </w:tcMar>
            <w:shd w:fill="F3F4F6"/>
          </w:tcPr>
          <w:p>
            <w:pPr>
              <w:spacing w:after="0"/>
              <w:jc w:val="center"/>
            </w:pPr>
            <w:r/>
            <w:r>
              <w:rPr>
                <w:rFonts w:ascii="Arial" w:hAnsi="Arial"/>
                <w:b w:val="0"/>
                <w:color w:val="222222"/>
                <w:sz w:val="17"/>
              </w:rPr>
              <w:t>Control/status path</w:t>
            </w:r>
          </w:p>
        </w:tc>
        <w:tc>
          <w:tcPr>
            <w:tcW w:type="dxa" w:w="7344"/>
            <w:vAlign w:val="center"/>
            <w:tcMar>
              <w:top w:w="90" w:type="dxa"/>
              <w:start w:w="110" w:type="dxa"/>
              <w:bottom w:w="90" w:type="dxa"/>
              <w:end w:w="110" w:type="dxa"/>
            </w:tcMar>
            <w:shd w:fill="F3F4F6"/>
          </w:tcPr>
          <w:p>
            <w:pPr>
              <w:spacing w:after="0"/>
              <w:jc w:val="left"/>
            </w:pPr>
            <w:r/>
            <w:r>
              <w:rPr>
                <w:rFonts w:ascii="Arial" w:hAnsi="Arial"/>
                <w:b w:val="0"/>
                <w:color w:val="222222"/>
                <w:sz w:val="17"/>
              </w:rPr>
              <w:t>OpenAMP/RPMsg + HSEM mailbox</w:t>
            </w:r>
          </w:p>
        </w:tc>
      </w:tr>
      <w:tr>
        <w:tc>
          <w:tcPr>
            <w:tcW w:type="dxa" w:w="2448"/>
            <w:vAlign w:val="center"/>
            <w:tcMar>
              <w:top w:w="90" w:type="dxa"/>
              <w:start w:w="110" w:type="dxa"/>
              <w:bottom w:w="90" w:type="dxa"/>
              <w:end w:w="110" w:type="dxa"/>
            </w:tcMar>
            <w:shd w:fill="FFFFFF"/>
          </w:tcPr>
          <w:p>
            <w:pPr>
              <w:spacing w:after="0"/>
              <w:jc w:val="center"/>
            </w:pPr>
            <w:r/>
            <w:r>
              <w:rPr>
                <w:rFonts w:ascii="Arial" w:hAnsi="Arial"/>
                <w:b w:val="0"/>
                <w:color w:val="222222"/>
                <w:sz w:val="17"/>
              </w:rPr>
              <w:t>Host path</w:t>
            </w:r>
          </w:p>
        </w:tc>
        <w:tc>
          <w:tcPr>
            <w:tcW w:type="dxa" w:w="7344"/>
            <w:vAlign w:val="center"/>
            <w:tcMar>
              <w:top w:w="90" w:type="dxa"/>
              <w:start w:w="110" w:type="dxa"/>
              <w:bottom w:w="90" w:type="dxa"/>
              <w:end w:w="110" w:type="dxa"/>
            </w:tcMar>
            <w:shd w:fill="FFFFFF"/>
          </w:tcPr>
          <w:p>
            <w:pPr>
              <w:spacing w:after="0"/>
              <w:jc w:val="left"/>
            </w:pPr>
            <w:r/>
            <w:r>
              <w:rPr>
                <w:rFonts w:ascii="Arial" w:hAnsi="Arial"/>
                <w:b w:val="0"/>
                <w:color w:val="222222"/>
                <w:sz w:val="17"/>
              </w:rPr>
              <w:t>115,200-baud serial for commands, telemetry, and logging</w:t>
            </w:r>
          </w:p>
        </w:tc>
      </w:tr>
    </w:tbl>
    <w:p>
      <w:r>
        <w:br w:type="page"/>
      </w:r>
    </w:p>
    <w:p>
      <w:pPr>
        <w:pStyle w:val="Heading1"/>
      </w:pPr>
      <w:r>
        <w:t>8. Configuration-Specific Motion Capability</w:t>
      </w:r>
    </w:p>
    <w:p>
      <w:pPr>
        <w:pStyle w:val="BodyText"/>
      </w:pPr>
      <w:r>
        <w:t>The hardware can support multiple speed configurations. The 256-microstep configuration prioritizes ultra-low command increments and should not be represented as the universal high-speed mode. Higher-speed operation requires a lower microstep setting, a different pulse-rate limit, or revised drivetrain scaling.</w:t>
      </w:r>
    </w:p>
    <w:p>
      <w:pPr>
        <w:keepNext/>
        <w:jc w:val="center"/>
      </w:pPr>
      <w:r>
        <w:drawing>
          <wp:inline xmlns:a="http://schemas.openxmlformats.org/drawingml/2006/main" xmlns:pic="http://schemas.openxmlformats.org/drawingml/2006/picture">
            <wp:extent cx="5303520" cy="2983230"/>
            <wp:docPr id="9" name="Picture 9"/>
            <wp:cNvGraphicFramePr>
              <a:graphicFrameLocks noChangeAspect="1"/>
            </wp:cNvGraphicFramePr>
            <a:graphic>
              <a:graphicData uri="http://schemas.openxmlformats.org/drawingml/2006/picture">
                <pic:pic>
                  <pic:nvPicPr>
                    <pic:cNvPr id="0" name="256-microstep-low-speed-summary.png"/>
                    <pic:cNvPicPr/>
                  </pic:nvPicPr>
                  <pic:blipFill>
                    <a:blip r:embed="rId19"/>
                    <a:stretch>
                      <a:fillRect/>
                    </a:stretch>
                  </pic:blipFill>
                  <pic:spPr>
                    <a:xfrm>
                      <a:off x="0" y="0"/>
                      <a:ext cx="5303520" cy="2983230"/>
                    </a:xfrm>
                    <a:prstGeom prst="rect"/>
                  </pic:spPr>
                </pic:pic>
              </a:graphicData>
            </a:graphic>
          </wp:inline>
        </w:drawing>
      </w:r>
    </w:p>
    <w:p>
      <w:pPr>
        <w:spacing w:after="120"/>
        <w:jc w:val="center"/>
      </w:pPr>
      <w:r>
        <w:rPr>
          <w:rFonts w:ascii="Arial" w:hAnsi="Arial"/>
          <w:i/>
          <w:color w:val="555555"/>
          <w:sz w:val="16"/>
        </w:rPr>
        <w:t>Figure 9. Low-speed results for the 256-microstep configuration.</w:t>
      </w:r>
    </w:p>
    <w:tbl>
      <w:tblPr>
        <w:tblW w:type="auto" w:w="0"/>
        <w:jc w:val="center"/>
        <w:tblLayout w:type="fixed"/>
        <w:tblLook w:firstColumn="1" w:firstRow="1" w:lastColumn="0" w:lastRow="0" w:noHBand="0" w:noVBand="1" w:val="04A0"/>
      </w:tblPr>
      <w:tblGrid>
        <w:gridCol w:w="4320"/>
        <w:gridCol w:w="5472"/>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Quantity</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Value / interpretation</w:t>
            </w:r>
          </w:p>
        </w:tc>
      </w:tr>
      <w:tr>
        <w:tc>
          <w:tcPr>
            <w:tcW w:type="dxa" w:w="4320"/>
            <w:vAlign w:val="center"/>
            <w:tcMar>
              <w:top w:w="90" w:type="dxa"/>
              <w:start w:w="110" w:type="dxa"/>
              <w:bottom w:w="90" w:type="dxa"/>
              <w:end w:w="110" w:type="dxa"/>
            </w:tcMar>
            <w:shd w:fill="FFFFFF"/>
          </w:tcPr>
          <w:p>
            <w:pPr>
              <w:spacing w:after="0"/>
              <w:jc w:val="center"/>
            </w:pPr>
            <w:r/>
            <w:r>
              <w:rPr>
                <w:rFonts w:ascii="Arial" w:hAnsi="Arial"/>
                <w:b w:val="0"/>
                <w:color w:val="222222"/>
                <w:sz w:val="16"/>
              </w:rPr>
              <w:t>Pulses/table revolution</w:t>
            </w:r>
          </w:p>
        </w:tc>
        <w:tc>
          <w:tcPr>
            <w:tcW w:type="dxa" w:w="5472"/>
            <w:vAlign w:val="center"/>
            <w:tcMar>
              <w:top w:w="90" w:type="dxa"/>
              <w:start w:w="110" w:type="dxa"/>
              <w:bottom w:w="90" w:type="dxa"/>
              <w:end w:w="110" w:type="dxa"/>
            </w:tcMar>
            <w:shd w:fill="FFFFFF"/>
          </w:tcPr>
          <w:p>
            <w:pPr>
              <w:spacing w:after="0"/>
              <w:jc w:val="left"/>
            </w:pPr>
            <w:r/>
            <w:r>
              <w:rPr>
                <w:rFonts w:ascii="Arial" w:hAnsi="Arial"/>
                <w:b w:val="0"/>
                <w:color w:val="222222"/>
                <w:sz w:val="16"/>
              </w:rPr>
              <w:t>1,262,080</w:t>
            </w:r>
          </w:p>
        </w:tc>
      </w:tr>
      <w:tr>
        <w:tc>
          <w:tcPr>
            <w:tcW w:type="dxa" w:w="4320"/>
            <w:vAlign w:val="center"/>
            <w:tcMar>
              <w:top w:w="90" w:type="dxa"/>
              <w:start w:w="110" w:type="dxa"/>
              <w:bottom w:w="90" w:type="dxa"/>
              <w:end w:w="110" w:type="dxa"/>
            </w:tcMar>
            <w:shd w:fill="F3F4F6"/>
          </w:tcPr>
          <w:p>
            <w:pPr>
              <w:spacing w:after="0"/>
              <w:jc w:val="center"/>
            </w:pPr>
            <w:r/>
            <w:r>
              <w:rPr>
                <w:rFonts w:ascii="Arial" w:hAnsi="Arial"/>
                <w:b w:val="0"/>
                <w:color w:val="222222"/>
                <w:sz w:val="16"/>
              </w:rPr>
              <w:t>Pulses/table degree</w:t>
            </w:r>
          </w:p>
        </w:tc>
        <w:tc>
          <w:tcPr>
            <w:tcW w:type="dxa" w:w="5472"/>
            <w:vAlign w:val="center"/>
            <w:tcMar>
              <w:top w:w="90" w:type="dxa"/>
              <w:start w:w="110" w:type="dxa"/>
              <w:bottom w:w="90" w:type="dxa"/>
              <w:end w:w="110" w:type="dxa"/>
            </w:tcMar>
            <w:shd w:fill="F3F4F6"/>
          </w:tcPr>
          <w:p>
            <w:pPr>
              <w:spacing w:after="0"/>
              <w:jc w:val="left"/>
            </w:pPr>
            <w:r/>
            <w:r>
              <w:rPr>
                <w:rFonts w:ascii="Arial" w:hAnsi="Arial"/>
                <w:b w:val="0"/>
                <w:color w:val="222222"/>
                <w:sz w:val="16"/>
              </w:rPr>
              <w:t>3,505.78</w:t>
            </w:r>
          </w:p>
        </w:tc>
      </w:tr>
      <w:tr>
        <w:tc>
          <w:tcPr>
            <w:tcW w:type="dxa" w:w="4320"/>
            <w:vAlign w:val="center"/>
            <w:tcMar>
              <w:top w:w="90" w:type="dxa"/>
              <w:start w:w="110" w:type="dxa"/>
              <w:bottom w:w="90" w:type="dxa"/>
              <w:end w:w="110" w:type="dxa"/>
            </w:tcMar>
            <w:shd w:fill="FFFFFF"/>
          </w:tcPr>
          <w:p>
            <w:pPr>
              <w:spacing w:after="0"/>
              <w:jc w:val="center"/>
            </w:pPr>
            <w:r/>
            <w:r>
              <w:rPr>
                <w:rFonts w:ascii="Arial" w:hAnsi="Arial"/>
                <w:b w:val="0"/>
                <w:color w:val="222222"/>
                <w:sz w:val="16"/>
              </w:rPr>
              <w:t>Command increment</w:t>
            </w:r>
          </w:p>
        </w:tc>
        <w:tc>
          <w:tcPr>
            <w:tcW w:type="dxa" w:w="5472"/>
            <w:vAlign w:val="center"/>
            <w:tcMar>
              <w:top w:w="90" w:type="dxa"/>
              <w:start w:w="110" w:type="dxa"/>
              <w:bottom w:w="90" w:type="dxa"/>
              <w:end w:w="110" w:type="dxa"/>
            </w:tcMar>
            <w:shd w:fill="FFFFFF"/>
          </w:tcPr>
          <w:p>
            <w:pPr>
              <w:spacing w:after="0"/>
              <w:jc w:val="left"/>
            </w:pPr>
            <w:r/>
            <w:r>
              <w:rPr>
                <w:rFonts w:ascii="Arial" w:hAnsi="Arial"/>
                <w:b w:val="0"/>
                <w:color w:val="222222"/>
                <w:sz w:val="16"/>
              </w:rPr>
              <w:t>~0.000285°/pulse</w:t>
            </w:r>
          </w:p>
        </w:tc>
      </w:tr>
      <w:tr>
        <w:tc>
          <w:tcPr>
            <w:tcW w:type="dxa" w:w="4320"/>
            <w:vAlign w:val="center"/>
            <w:tcMar>
              <w:top w:w="90" w:type="dxa"/>
              <w:start w:w="110" w:type="dxa"/>
              <w:bottom w:w="90" w:type="dxa"/>
              <w:end w:w="110" w:type="dxa"/>
            </w:tcMar>
            <w:shd w:fill="F3F4F6"/>
          </w:tcPr>
          <w:p>
            <w:pPr>
              <w:spacing w:after="0"/>
              <w:jc w:val="center"/>
            </w:pPr>
            <w:r/>
            <w:r>
              <w:rPr>
                <w:rFonts w:ascii="Arial" w:hAnsi="Arial"/>
                <w:b w:val="0"/>
                <w:color w:val="222222"/>
                <w:sz w:val="16"/>
              </w:rPr>
              <w:t>25 kHz firmware cap</w:t>
            </w:r>
          </w:p>
        </w:tc>
        <w:tc>
          <w:tcPr>
            <w:tcW w:type="dxa" w:w="5472"/>
            <w:vAlign w:val="center"/>
            <w:tcMar>
              <w:top w:w="90" w:type="dxa"/>
              <w:start w:w="110" w:type="dxa"/>
              <w:bottom w:w="90" w:type="dxa"/>
              <w:end w:w="110" w:type="dxa"/>
            </w:tcMar>
            <w:shd w:fill="F3F4F6"/>
          </w:tcPr>
          <w:p>
            <w:pPr>
              <w:spacing w:after="0"/>
              <w:jc w:val="left"/>
            </w:pPr>
            <w:r/>
            <w:r>
              <w:rPr>
                <w:rFonts w:ascii="Arial" w:hAnsi="Arial"/>
                <w:b w:val="0"/>
                <w:color w:val="222222"/>
                <w:sz w:val="16"/>
              </w:rPr>
              <w:t>~7.13°/s theoretical pulse-rate limit</w:t>
            </w:r>
          </w:p>
        </w:tc>
      </w:tr>
      <w:tr>
        <w:tc>
          <w:tcPr>
            <w:tcW w:type="dxa" w:w="4320"/>
            <w:vAlign w:val="center"/>
            <w:tcMar>
              <w:top w:w="90" w:type="dxa"/>
              <w:start w:w="110" w:type="dxa"/>
              <w:bottom w:w="90" w:type="dxa"/>
              <w:end w:w="110" w:type="dxa"/>
            </w:tcMar>
            <w:shd w:fill="FFFFFF"/>
          </w:tcPr>
          <w:p>
            <w:pPr>
              <w:spacing w:after="0"/>
              <w:jc w:val="center"/>
            </w:pPr>
            <w:r/>
            <w:r>
              <w:rPr>
                <w:rFonts w:ascii="Arial" w:hAnsi="Arial"/>
                <w:b w:val="0"/>
                <w:color w:val="222222"/>
                <w:sz w:val="16"/>
              </w:rPr>
              <w:t>Demonstrated useful low-speed range</w:t>
            </w:r>
          </w:p>
        </w:tc>
        <w:tc>
          <w:tcPr>
            <w:tcW w:type="dxa" w:w="5472"/>
            <w:vAlign w:val="center"/>
            <w:tcMar>
              <w:top w:w="90" w:type="dxa"/>
              <w:start w:w="110" w:type="dxa"/>
              <w:bottom w:w="90" w:type="dxa"/>
              <w:end w:w="110" w:type="dxa"/>
            </w:tcMar>
            <w:shd w:fill="FFFFFF"/>
          </w:tcPr>
          <w:p>
            <w:pPr>
              <w:spacing w:after="0"/>
              <w:jc w:val="left"/>
            </w:pPr>
            <w:r/>
            <w:r>
              <w:rPr>
                <w:rFonts w:ascii="Arial" w:hAnsi="Arial"/>
                <w:b w:val="0"/>
                <w:color w:val="222222"/>
                <w:sz w:val="16"/>
              </w:rPr>
              <w:t>~0.002–0.010°/s</w:t>
            </w:r>
          </w:p>
        </w:tc>
      </w:tr>
      <w:tr>
        <w:tc>
          <w:tcPr>
            <w:tcW w:type="dxa" w:w="4320"/>
            <w:vAlign w:val="center"/>
            <w:tcMar>
              <w:top w:w="90" w:type="dxa"/>
              <w:start w:w="110" w:type="dxa"/>
              <w:bottom w:w="90" w:type="dxa"/>
              <w:end w:w="110" w:type="dxa"/>
            </w:tcMar>
            <w:shd w:fill="F3F4F6"/>
          </w:tcPr>
          <w:p>
            <w:pPr>
              <w:spacing w:after="0"/>
              <w:jc w:val="center"/>
            </w:pPr>
            <w:r/>
            <w:r>
              <w:rPr>
                <w:rFonts w:ascii="Arial" w:hAnsi="Arial"/>
                <w:b w:val="0"/>
                <w:color w:val="222222"/>
                <w:sz w:val="16"/>
              </w:rPr>
              <w:t>Observed 256-microstep plateau</w:t>
            </w:r>
          </w:p>
        </w:tc>
        <w:tc>
          <w:tcPr>
            <w:tcW w:type="dxa" w:w="5472"/>
            <w:vAlign w:val="center"/>
            <w:tcMar>
              <w:top w:w="90" w:type="dxa"/>
              <w:start w:w="110" w:type="dxa"/>
              <w:bottom w:w="90" w:type="dxa"/>
              <w:end w:w="110" w:type="dxa"/>
            </w:tcMar>
            <w:shd w:fill="F3F4F6"/>
          </w:tcPr>
          <w:p>
            <w:pPr>
              <w:spacing w:after="0"/>
              <w:jc w:val="left"/>
            </w:pPr>
            <w:r/>
            <w:r>
              <w:rPr>
                <w:rFonts w:ascii="Arial" w:hAnsi="Arial"/>
                <w:b w:val="0"/>
                <w:color w:val="222222"/>
                <w:sz w:val="16"/>
              </w:rPr>
              <w:t>~0.016°/s in reviewed tests</w:t>
            </w:r>
          </w:p>
        </w:tc>
      </w:tr>
    </w:tbl>
    <w:p>
      <w:r>
        <w:br w:type="page"/>
      </w:r>
    </w:p>
    <w:p>
      <w:pPr>
        <w:pStyle w:val="Heading1"/>
      </w:pPr>
      <w:r>
        <w:t>9. Verification Evidence</w:t>
      </w:r>
    </w:p>
    <w:p>
      <w:pPr>
        <w:keepNext/>
        <w:jc w:val="center"/>
      </w:pPr>
      <w:r>
        <w:drawing>
          <wp:inline xmlns:a="http://schemas.openxmlformats.org/drawingml/2006/main" xmlns:pic="http://schemas.openxmlformats.org/drawingml/2006/picture">
            <wp:extent cx="5577840" cy="4521375"/>
            <wp:docPr id="10" name="Picture 10"/>
            <wp:cNvGraphicFramePr>
              <a:graphicFrameLocks noChangeAspect="1"/>
            </wp:cNvGraphicFramePr>
            <a:graphic>
              <a:graphicData uri="http://schemas.openxmlformats.org/drawingml/2006/picture">
                <pic:pic>
                  <pic:nvPicPr>
                    <pic:cNvPr id="0" name="rotation-rate-demonstration.png"/>
                    <pic:cNvPicPr/>
                  </pic:nvPicPr>
                  <pic:blipFill>
                    <a:blip r:embed="rId20"/>
                    <a:stretch>
                      <a:fillRect/>
                    </a:stretch>
                  </pic:blipFill>
                  <pic:spPr>
                    <a:xfrm>
                      <a:off x="0" y="0"/>
                      <a:ext cx="5577840" cy="4521375"/>
                    </a:xfrm>
                    <a:prstGeom prst="rect"/>
                  </pic:spPr>
                </pic:pic>
              </a:graphicData>
            </a:graphic>
          </wp:inline>
        </w:drawing>
      </w:r>
    </w:p>
    <w:p>
      <w:pPr>
        <w:spacing w:after="120"/>
        <w:jc w:val="center"/>
      </w:pPr>
      <w:r>
        <w:rPr>
          <w:rFonts w:ascii="Arial" w:hAnsi="Arial"/>
          <w:i/>
          <w:color w:val="555555"/>
          <w:sz w:val="16"/>
        </w:rPr>
        <w:t>Figure 10. Historical faster-speed rotation-rate demonstration from a separate operating configuration.</w:t>
      </w:r>
    </w:p>
    <w:p>
      <w:pPr>
        <w:pStyle w:val="BodyText"/>
      </w:pPr>
      <w:r>
        <w:t>The physical system demonstrates load support, translation, rotation, differential feedback, and operator-visible motion. Firmware-side evidence adds timestamped records, dual-core health/status, target-side deadman behavior, and host visualization. These elements collectively show a complete instrument platform rather than an isolated PCB or mechanical assembly.</w:t>
      </w:r>
    </w:p>
    <w:p>
      <w:pPr>
        <w:pStyle w:val="Heading1"/>
      </w:pPr>
      <w:r>
        <w:t>10. Public Deliverables</w:t>
      </w:r>
    </w:p>
    <w:p>
      <w:pPr>
        <w:pStyle w:val="ListBullet"/>
      </w:pPr>
      <w:r>
        <w:t>Platform and Electrical Integration FRD.</w:t>
      </w:r>
    </w:p>
    <w:p>
      <w:pPr>
        <w:pStyle w:val="ListBullet"/>
      </w:pPr>
      <w:r>
        <w:t>Dual-Core Firmware and Host Software FRD.</w:t>
      </w:r>
    </w:p>
    <w:p>
      <w:pPr>
        <w:pStyle w:val="ListBullet"/>
      </w:pPr>
      <w:r>
        <w:t>Featured interface schematic and PCB renders.</w:t>
      </w:r>
    </w:p>
    <w:p>
      <w:pPr>
        <w:pStyle w:val="ListBullet"/>
      </w:pPr>
      <w:r>
        <w:t>System, load, and motion demonstration media.</w:t>
      </w:r>
    </w:p>
    <w:p>
      <w:pPr>
        <w:pStyle w:val="ListBullet"/>
      </w:pPr>
      <w:r>
        <w:t>Dual-core architecture and memory-map graphics.</w:t>
      </w:r>
    </w:p>
    <w:p>
      <w:pPr>
        <w:pStyle w:val="ListBullet"/>
      </w:pPr>
      <w:r>
        <w:t>Selected firmware source excerpts and sanitized results.</w:t>
      </w:r>
    </w:p>
    <w:p>
      <w:r>
        <w:br w:type="page"/>
      </w:r>
    </w:p>
    <w:p>
      <w:pPr>
        <w:pStyle w:val="Heading1"/>
      </w:pPr>
      <w:r>
        <w:t>11. Limitations and Open Validation</w:t>
      </w:r>
    </w:p>
    <w:tbl>
      <w:tblPr>
        <w:tblW w:type="auto" w:w="0"/>
        <w:jc w:val="center"/>
        <w:tblLayout w:type="fixed"/>
        <w:tblLook w:firstColumn="1" w:firstRow="1" w:lastColumn="0" w:lastRow="0" w:noHBand="0" w:noVBand="1" w:val="04A0"/>
      </w:tblPr>
      <w:tblGrid>
        <w:gridCol w:w="2304"/>
        <w:gridCol w:w="7488"/>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Item</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Controlled statement</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Production qualification</w:t>
            </w:r>
          </w:p>
        </w:tc>
        <w:tc>
          <w:tcPr>
            <w:tcW w:type="dxa" w:w="7488"/>
            <w:vAlign w:val="center"/>
            <w:tcMar>
              <w:top w:w="90" w:type="dxa"/>
              <w:start w:w="110" w:type="dxa"/>
              <w:bottom w:w="90" w:type="dxa"/>
              <w:end w:w="110" w:type="dxa"/>
            </w:tcMar>
            <w:shd w:fill="FFFFFF"/>
          </w:tcPr>
          <w:p>
            <w:pPr>
              <w:spacing w:after="0"/>
              <w:jc w:val="left"/>
            </w:pPr>
            <w:r/>
            <w:r>
              <w:rPr>
                <w:rFonts w:ascii="Arial" w:hAnsi="Arial"/>
                <w:b w:val="0"/>
                <w:color w:val="222222"/>
                <w:sz w:val="16"/>
              </w:rPr>
              <w:t>Prototype platform; no formal shock, vibration, thermal, EMC, or long-duration reliability certification.</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Power measurements</w:t>
            </w:r>
          </w:p>
        </w:tc>
        <w:tc>
          <w:tcPr>
            <w:tcW w:type="dxa" w:w="7488"/>
            <w:vAlign w:val="center"/>
            <w:tcMar>
              <w:top w:w="90" w:type="dxa"/>
              <w:start w:w="110" w:type="dxa"/>
              <w:bottom w:w="90" w:type="dxa"/>
              <w:end w:w="110" w:type="dxa"/>
            </w:tcMar>
            <w:shd w:fill="F3F4F6"/>
          </w:tcPr>
          <w:p>
            <w:pPr>
              <w:spacing w:after="0"/>
              <w:jc w:val="left"/>
            </w:pPr>
            <w:r/>
            <w:r>
              <w:rPr>
                <w:rFonts w:ascii="Arial" w:hAnsi="Arial"/>
                <w:b w:val="0"/>
                <w:color w:val="222222"/>
                <w:sz w:val="16"/>
              </w:rPr>
              <w:t>System-level idle, steady-state, and peak electrical power are not present.</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Integrated build</w:t>
            </w:r>
          </w:p>
        </w:tc>
        <w:tc>
          <w:tcPr>
            <w:tcW w:type="dxa" w:w="7488"/>
            <w:vAlign w:val="center"/>
            <w:tcMar>
              <w:top w:w="90" w:type="dxa"/>
              <w:start w:w="110" w:type="dxa"/>
              <w:bottom w:w="90" w:type="dxa"/>
              <w:end w:w="110" w:type="dxa"/>
            </w:tcMar>
            <w:shd w:fill="FFFFFF"/>
          </w:tcPr>
          <w:p>
            <w:pPr>
              <w:spacing w:after="0"/>
              <w:jc w:val="left"/>
            </w:pPr>
            <w:r/>
            <w:r>
              <w:rPr>
                <w:rFonts w:ascii="Arial" w:hAnsi="Arial"/>
                <w:b w:val="0"/>
                <w:color w:val="222222"/>
                <w:sz w:val="16"/>
              </w:rPr>
              <w:t>Reviewed evidence does not include one tagged release binary combining every firmware module.</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Ring allocation</w:t>
            </w:r>
          </w:p>
        </w:tc>
        <w:tc>
          <w:tcPr>
            <w:tcW w:type="dxa" w:w="7488"/>
            <w:vAlign w:val="center"/>
            <w:tcMar>
              <w:top w:w="90" w:type="dxa"/>
              <w:start w:w="110" w:type="dxa"/>
              <w:bottom w:w="90" w:type="dxa"/>
              <w:end w:w="110" w:type="dxa"/>
            </w:tcMar>
            <w:shd w:fill="F3F4F6"/>
          </w:tcPr>
          <w:p>
            <w:pPr>
              <w:spacing w:after="0"/>
              <w:jc w:val="left"/>
            </w:pPr>
            <w:r/>
            <w:r>
              <w:rPr>
                <w:rFonts w:ascii="Arial" w:hAnsi="Arial"/>
                <w:b w:val="0"/>
                <w:color w:val="222222"/>
                <w:sz w:val="16"/>
              </w:rPr>
              <w:t>4,096-entry shared ring requires correction or a larger reserved region.</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Speed envelope</w:t>
            </w:r>
          </w:p>
        </w:tc>
        <w:tc>
          <w:tcPr>
            <w:tcW w:type="dxa" w:w="7488"/>
            <w:vAlign w:val="center"/>
            <w:tcMar>
              <w:top w:w="90" w:type="dxa"/>
              <w:start w:w="110" w:type="dxa"/>
              <w:bottom w:w="90" w:type="dxa"/>
              <w:end w:w="110" w:type="dxa"/>
            </w:tcMar>
            <w:shd w:fill="FFFFFF"/>
          </w:tcPr>
          <w:p>
            <w:pPr>
              <w:spacing w:after="0"/>
              <w:jc w:val="left"/>
            </w:pPr>
            <w:r/>
            <w:r>
              <w:rPr>
                <w:rFonts w:ascii="Arial" w:hAnsi="Arial"/>
                <w:b w:val="0"/>
                <w:color w:val="222222"/>
                <w:sz w:val="16"/>
              </w:rPr>
              <w:t>Operating range is configuration dependent; ultra-slow and faster-speed modes must remain separately identified.</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Metrology</w:t>
            </w:r>
          </w:p>
        </w:tc>
        <w:tc>
          <w:tcPr>
            <w:tcW w:type="dxa" w:w="7488"/>
            <w:vAlign w:val="center"/>
            <w:tcMar>
              <w:top w:w="90" w:type="dxa"/>
              <w:start w:w="110" w:type="dxa"/>
              <w:bottom w:w="90" w:type="dxa"/>
              <w:end w:w="110" w:type="dxa"/>
            </w:tcMar>
            <w:shd w:fill="F3F4F6"/>
          </w:tcPr>
          <w:p>
            <w:pPr>
              <w:spacing w:after="0"/>
              <w:jc w:val="left"/>
            </w:pPr>
            <w:r/>
            <w:r>
              <w:rPr>
                <w:rFonts w:ascii="Arial" w:hAnsi="Arial"/>
                <w:b w:val="0"/>
                <w:color w:val="222222"/>
                <w:sz w:val="16"/>
              </w:rPr>
              <w:t>Motion-platform characterization does not certify downstream optical-system performance.</w:t>
            </w:r>
          </w:p>
        </w:tc>
      </w:tr>
    </w:tbl>
    <w:p>
      <w:pPr>
        <w:pStyle w:val="Heading1"/>
      </w:pPr>
      <w:r>
        <w:t>12. Attribution and Revision Control</w:t>
      </w:r>
    </w:p>
    <w:p>
      <w:pPr>
        <w:pStyle w:val="BodyText"/>
      </w:pPr>
      <w:r>
        <w:t>Herder Elektronische Systemen developed the public system architecture, interface PCB, embedded firmware, host software, test workflows, documentation, and curated case-study package represented here. No third-party affiliation or endorsement is claimed.</w:t>
      </w:r>
    </w:p>
    <w:tbl>
      <w:tblPr>
        <w:tblW w:type="auto" w:w="0"/>
        <w:jc w:val="center"/>
        <w:tblLayout w:type="fixed"/>
        <w:tblLook w:firstColumn="1" w:firstRow="1" w:lastColumn="0" w:lastRow="0" w:noHBand="0" w:noVBand="1" w:val="04A0"/>
      </w:tblPr>
      <w:tblGrid>
        <w:gridCol w:w="1008"/>
        <w:gridCol w:w="1584"/>
        <w:gridCol w:w="7200"/>
      </w:tblGrid>
      <w:tr>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Rev</w:t>
            </w:r>
          </w:p>
        </w:tc>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Date</w:t>
            </w:r>
          </w:p>
        </w:tc>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Description</w:t>
            </w:r>
          </w:p>
        </w:tc>
      </w:tr>
      <w:tr>
        <w:tc>
          <w:tcPr>
            <w:tcW w:type="dxa" w:w="1008"/>
            <w:vAlign w:val="center"/>
            <w:tcMar>
              <w:top w:w="90" w:type="dxa"/>
              <w:start w:w="110" w:type="dxa"/>
              <w:bottom w:w="90" w:type="dxa"/>
              <w:end w:w="110" w:type="dxa"/>
            </w:tcMar>
            <w:shd w:fill="FFFFFF"/>
          </w:tcPr>
          <w:p>
            <w:pPr>
              <w:spacing w:after="0"/>
              <w:jc w:val="center"/>
            </w:pPr>
            <w:r/>
            <w:r>
              <w:rPr>
                <w:rFonts w:ascii="Arial" w:hAnsi="Arial"/>
                <w:b w:val="0"/>
                <w:color w:val="222222"/>
                <w:sz w:val="16"/>
              </w:rPr>
              <w:t>2.2</w:t>
            </w:r>
          </w:p>
        </w:tc>
        <w:tc>
          <w:tcPr>
            <w:tcW w:type="dxa" w:w="1584"/>
            <w:vAlign w:val="center"/>
            <w:tcMar>
              <w:top w:w="90" w:type="dxa"/>
              <w:start w:w="110" w:type="dxa"/>
              <w:bottom w:w="90" w:type="dxa"/>
              <w:end w:w="110" w:type="dxa"/>
            </w:tcMar>
            <w:shd w:fill="FFFFFF"/>
          </w:tcPr>
          <w:p>
            <w:pPr>
              <w:spacing w:after="0"/>
              <w:jc w:val="left"/>
            </w:pPr>
            <w:r/>
            <w:r>
              <w:rPr>
                <w:rFonts w:ascii="Arial" w:hAnsi="Arial"/>
                <w:b w:val="0"/>
                <w:color w:val="222222"/>
                <w:sz w:val="16"/>
              </w:rPr>
              <w:t>2026-08-03</w:t>
            </w:r>
          </w:p>
        </w:tc>
        <w:tc>
          <w:tcPr>
            <w:tcW w:type="dxa" w:w="7200"/>
            <w:vAlign w:val="center"/>
            <w:tcMar>
              <w:top w:w="90" w:type="dxa"/>
              <w:start w:w="110" w:type="dxa"/>
              <w:bottom w:w="90" w:type="dxa"/>
              <w:end w:w="110" w:type="dxa"/>
            </w:tcMar>
            <w:shd w:fill="FFFFFF"/>
          </w:tcPr>
          <w:p>
            <w:pPr>
              <w:spacing w:after="0"/>
              <w:jc w:val="left"/>
            </w:pPr>
            <w:r/>
            <w:r>
              <w:rPr>
                <w:rFonts w:ascii="Arial" w:hAnsi="Arial"/>
                <w:b w:val="0"/>
                <w:color w:val="222222"/>
                <w:sz w:val="16"/>
              </w:rPr>
              <w:t>Final dual-core-led release connecting the mechanical and electrical platform directly to the STM32H747/OpenAMP architecture and verified timing quantities.</w:t>
            </w:r>
          </w:p>
        </w:tc>
      </w:tr>
    </w:tbl>
    <w:tbl>
      <w:tblPr>
        <w:tblW w:type="auto" w:w="0"/>
        <w:jc w:val="center"/>
        <w:tblLayout w:type="fixed"/>
        <w:tblLook w:firstColumn="1" w:firstRow="1" w:lastColumn="0" w:lastRow="0" w:noHBand="0" w:noVBand="1" w:val="04A0"/>
      </w:tblPr>
      <w:tblGrid>
        <w:gridCol w:w="9504"/>
      </w:tblGrid>
      <w:tr>
        <w:tc>
          <w:tcPr>
            <w:tcW w:type="dxa" w:w="10080"/>
            <w:shd w:fill="F3F4F6"/>
            <w:tcMar>
              <w:top w:w="150" w:type="dxa"/>
              <w:start w:w="180" w:type="dxa"/>
              <w:bottom w:w="150" w:type="dxa"/>
              <w:end w:w="180" w:type="dxa"/>
            </w:tcMar>
          </w:tcPr>
          <w:p>
            <w:pPr>
              <w:spacing w:after="60"/>
            </w:pPr>
            <w:r/>
            <w:r>
              <w:rPr>
                <w:rFonts w:ascii="Arial" w:hAnsi="Arial"/>
                <w:b/>
                <w:color w:val="C8102E"/>
                <w:sz w:val="17"/>
              </w:rPr>
              <w:t>RELEASE GATE</w:t>
            </w:r>
          </w:p>
          <w:p>
            <w:pPr>
              <w:spacing w:after="0"/>
            </w:pPr>
            <w:r>
              <w:rPr>
                <w:rFonts w:ascii="Arial" w:hAnsi="Arial"/>
                <w:color w:val="222222"/>
                <w:sz w:val="19"/>
              </w:rPr>
              <w:t>Before manufacturing or production deployment, complete electrical power measurements, correct the ring reservation, tag the integrated firmware release, and perform environmental and EMC validation.</w:t>
            </w:r>
          </w:p>
        </w:tc>
      </w:tr>
    </w:tbl>
    <w:p>
      <w:pPr>
        <w:spacing w:after="0"/>
      </w:pP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5"/>
      </w:rPr>
      <w:t xml:space="preserve">Customer-facing technical report • Public architecture and validation evidence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056"/>
      <w:gridCol w:w="3024"/>
    </w:tblGrid>
    <w:tr>
      <w:tc>
        <w:tcPr>
          <w:tcW w:type="dxa" w:w="5040"/>
          <w:vAlign w:val="center"/>
          <w:tcMar>
            <w:top w:w="90" w:type="dxa"/>
            <w:start w:w="110" w:type="dxa"/>
            <w:bottom w:w="90" w:type="dxa"/>
            <w:end w:w="110" w:type="dxa"/>
          </w:tcMar>
          <w:tcBorders>
            <w:bottom w:val="single" w:sz="8" w:color="C8102E"/>
          </w:tcBorders>
        </w:tcPr>
        <w:p>
          <w:pPr>
            <w:spacing w:after="0"/>
            <w:jc w:val="left"/>
          </w:pPr>
          <w:r/>
          <w:r>
            <w:rPr>
              <w:rFonts w:ascii="Arial" w:hAnsi="Arial"/>
              <w:b/>
              <w:color w:val="C8102E"/>
              <w:sz w:val="16"/>
            </w:rPr>
            <w:t>HERDER ELEKTRONISCHE SYSTEMEN</w:t>
          </w:r>
        </w:p>
      </w:tc>
      <w:tc>
        <w:tcPr>
          <w:tcW w:type="dxa" w:w="5040"/>
          <w:vAlign w:val="center"/>
          <w:tcMar>
            <w:top w:w="90" w:type="dxa"/>
            <w:start w:w="110" w:type="dxa"/>
            <w:bottom w:w="90" w:type="dxa"/>
            <w:end w:w="110" w:type="dxa"/>
          </w:tcMar>
          <w:tcBorders>
            <w:bottom w:val="single" w:sz="8" w:color="C8102E"/>
          </w:tcBorders>
        </w:tcPr>
        <w:p>
          <w:pPr>
            <w:spacing w:after="0"/>
            <w:jc w:val="right"/>
          </w:pPr>
          <w:r/>
          <w:r>
            <w:rPr>
              <w:rFonts w:ascii="Arial" w:hAnsi="Arial"/>
              <w:b/>
              <w:color w:val="555555"/>
              <w:sz w:val="16"/>
            </w:rPr>
            <w:t>ENGINEERING REPORT  |  REV 2.2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C8102E"/>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C810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