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C8102E"/>
            <w:tcMar>
              <w:top w:w="620" w:type="dxa"/>
              <w:start w:w="400" w:type="dxa"/>
              <w:bottom w:w="620" w:type="dxa"/>
              <w:end w:w="400" w:type="dxa"/>
            </w:tcMar>
          </w:tcPr>
          <w:p>
            <w:pPr>
              <w:spacing w:after="360"/>
            </w:pPr>
            <w:r/>
            <w:r>
              <w:rPr>
                <w:rFonts w:ascii="Arial" w:hAnsi="Arial"/>
                <w:b/>
                <w:color w:val="FFFFFF"/>
                <w:sz w:val="54"/>
              </w:rPr>
              <w:t>DUAL-CORE FIRMWARE, HOST SOFTWARE &amp; RESULTS</w:t>
            </w:r>
          </w:p>
          <w:p>
            <w:pPr>
              <w:spacing w:after="360"/>
            </w:pPr>
            <w:r>
              <w:rPr>
                <w:rFonts w:ascii="Arial" w:hAnsi="Arial"/>
                <w:b/>
                <w:color w:val="FFFFFF"/>
                <w:sz w:val="30"/>
              </w:rPr>
              <w:t>STM32H747 MotionIPC Architecture, Live GUI, Telemetry, and Characterization</w:t>
            </w:r>
          </w:p>
          <w:p>
            <w:r>
              <w:rPr>
                <w:rFonts w:ascii="Arial" w:hAnsi="Arial"/>
                <w:color w:val="FFFFFF"/>
                <w:sz w:val="20"/>
              </w:rPr>
              <w:t>Customer-facing technical report</w:t>
              <w:br/>
              <w:t>Revision 2.4 • 3 August 2026</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Prepared by</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Herder Elektronische Systemen</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Primary subject</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Dual-core firmware, host GUI, telemetry, logging, and measured system behavior</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Evidence basis</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MotionIPC source, motion firmware, GUI video, plots, logs, slide reviews, and technical reports</w:t>
            </w:r>
          </w:p>
        </w:tc>
      </w:tr>
      <w:tr>
        <w:tc>
          <w:tcPr>
            <w:tcW w:type="dxa" w:w="5040"/>
            <w:vAlign w:val="center"/>
            <w:tcMar>
              <w:top w:w="90" w:type="dxa"/>
              <w:start w:w="110" w:type="dxa"/>
              <w:bottom w:w="90" w:type="dxa"/>
              <w:end w:w="110" w:type="dxa"/>
            </w:tcMar>
            <w:shd w:fill="222222"/>
          </w:tcPr>
          <w:p>
            <w:pPr>
              <w:spacing w:after="0"/>
              <w:jc w:val="left"/>
            </w:pPr>
            <w:r/>
            <w:r>
              <w:rPr>
                <w:rFonts w:ascii="Arial" w:hAnsi="Arial"/>
                <w:b/>
                <w:color w:val="FFFFFF"/>
                <w:sz w:val="18"/>
              </w:rPr>
              <w:t>Distribution</w:t>
            </w:r>
          </w:p>
        </w:tc>
        <w:tc>
          <w:tcPr>
            <w:tcW w:type="dxa" w:w="5040"/>
            <w:vAlign w:val="center"/>
            <w:tcMar>
              <w:top w:w="90" w:type="dxa"/>
              <w:start w:w="110" w:type="dxa"/>
              <w:bottom w:w="90" w:type="dxa"/>
              <w:end w:w="110" w:type="dxa"/>
            </w:tcMar>
            <w:shd w:fill="F3F4F6"/>
          </w:tcPr>
          <w:p>
            <w:pPr>
              <w:spacing w:after="0"/>
              <w:jc w:val="left"/>
            </w:pPr>
            <w:r/>
            <w:r>
              <w:rPr>
                <w:rFonts w:ascii="Arial" w:hAnsi="Arial"/>
                <w:b w:val="0"/>
                <w:color w:val="222222"/>
                <w:sz w:val="18"/>
              </w:rPr>
              <w:t>Customer-facing; selected source excerpts and measured evidence included</w:t>
            </w:r>
          </w:p>
        </w:tc>
      </w:tr>
    </w:tbl>
    <w:tbl>
      <w:tblPr>
        <w:tblW w:type="auto" w:w="0"/>
        <w:jc w:val="center"/>
        <w:tblLayout w:type="fixed"/>
        <w:tblLook w:firstColumn="1" w:firstRow="1" w:lastColumn="0" w:lastRow="0" w:noHBand="0" w:noVBand="1" w:val="04A0"/>
      </w:tblPr>
      <w:tblGrid>
        <w:gridCol w:w="9504"/>
      </w:tblGrid>
      <w:tr>
        <w:tc>
          <w:tcPr>
            <w:tcW w:type="dxa" w:w="10080"/>
            <w:shd w:fill="F3F4F6"/>
            <w:tcMar>
              <w:top w:w="150" w:type="dxa"/>
              <w:start w:w="180" w:type="dxa"/>
              <w:bottom w:w="150" w:type="dxa"/>
              <w:end w:w="180" w:type="dxa"/>
            </w:tcMar>
          </w:tcPr>
          <w:p>
            <w:pPr>
              <w:spacing w:after="60"/>
            </w:pPr>
            <w:r/>
            <w:r>
              <w:rPr>
                <w:rFonts w:ascii="Arial" w:hAnsi="Arial"/>
                <w:b/>
                <w:color w:val="C8102E"/>
                <w:sz w:val="17"/>
              </w:rPr>
              <w:t>DOCUMENT PURPOSE</w:t>
            </w:r>
          </w:p>
          <w:p>
            <w:pPr>
              <w:spacing w:after="0"/>
            </w:pPr>
            <w:r>
              <w:rPr>
                <w:rFonts w:ascii="Arial" w:hAnsi="Arial"/>
                <w:color w:val="222222"/>
                <w:sz w:val="19"/>
              </w:rPr>
              <w:t>This report presents the complete software side of the project: deep dual-core firmware, live operator software, data integrity, safety behavior, and measured results from the physical platform.</w:t>
            </w:r>
          </w:p>
        </w:tc>
      </w:tr>
    </w:tbl>
    <w:p>
      <w:pPr>
        <w:spacing w:after="0"/>
      </w:pPr>
    </w:p>
    <w:p>
      <w:r>
        <w:br w:type="page"/>
      </w:r>
    </w:p>
    <w:p>
      <w:pPr>
        <w:pStyle w:val="Heading1"/>
      </w:pPr>
      <w:r>
        <w:t>1. System Outcome</w:t>
      </w:r>
    </w:p>
    <w:p>
      <w:pPr>
        <w:pStyle w:val="BodyText"/>
      </w:pPr>
      <w:r>
        <w:t>The completed system combines a custom STM32H747 dual-core IPC architecture with target-side motion control, encoder acquisition, host supervision, live visualization, structured logging, automated workflows, and postprocessing. The 400 MHz Cortex-M7 and 200 MHz Cortex-M4 communicate through OpenAMP/RPMsg for control traffic and a custom AXI-SRAM ring for motion records. The desktop application exposes the resulting system as an operable laboratory instrument rather than a firmware demonstration.</w:t>
      </w:r>
    </w:p>
    <w:p>
      <w:pPr>
        <w:keepNext/>
        <w:jc w:val="center"/>
      </w:pPr>
      <w:r>
        <w:drawing>
          <wp:inline xmlns:a="http://schemas.openxmlformats.org/drawingml/2006/main" xmlns:pic="http://schemas.openxmlformats.org/drawingml/2006/picture">
            <wp:extent cx="5897880" cy="3215760"/>
            <wp:docPr id="1" name="Picture 1"/>
            <wp:cNvGraphicFramePr>
              <a:graphicFrameLocks noChangeAspect="1"/>
            </wp:cNvGraphicFramePr>
            <a:graphic>
              <a:graphicData uri="http://schemas.openxmlformats.org/drawingml/2006/picture">
                <pic:pic>
                  <pic:nvPicPr>
                    <pic:cNvPr id="0" name="gui-overview.png"/>
                    <pic:cNvPicPr/>
                  </pic:nvPicPr>
                  <pic:blipFill>
                    <a:blip r:embed="rId11"/>
                    <a:stretch>
                      <a:fillRect/>
                    </a:stretch>
                  </pic:blipFill>
                  <pic:spPr>
                    <a:xfrm>
                      <a:off x="0" y="0"/>
                      <a:ext cx="5897880" cy="3215760"/>
                    </a:xfrm>
                    <a:prstGeom prst="rect"/>
                  </pic:spPr>
                </pic:pic>
              </a:graphicData>
            </a:graphic>
          </wp:inline>
        </w:drawing>
      </w:r>
    </w:p>
    <w:p>
      <w:pPr>
        <w:spacing w:after="120"/>
        <w:jc w:val="center"/>
      </w:pPr>
      <w:r>
        <w:rPr>
          <w:rFonts w:ascii="Arial" w:hAnsi="Arial"/>
          <w:i/>
          <w:color w:val="555555"/>
          <w:sz w:val="16"/>
        </w:rPr>
        <w:t>Figure 1. Operator-facing host application with connection controls, test selection, status, and live telemetry.</w:t>
      </w:r>
    </w:p>
    <w:tbl>
      <w:tblPr>
        <w:tblW w:type="auto" w:w="0"/>
        <w:jc w:val="center"/>
        <w:tblLayout w:type="fixed"/>
        <w:tblLook w:firstColumn="1" w:firstRow="1" w:lastColumn="0" w:lastRow="0" w:noHBand="0" w:noVBand="1" w:val="04A0"/>
      </w:tblPr>
      <w:tblGrid>
        <w:gridCol w:w="9504"/>
      </w:tblGrid>
      <w:tr>
        <w:tc>
          <w:tcPr>
            <w:tcW w:type="dxa" w:w="10080"/>
            <w:shd w:fill="EAF2F8"/>
            <w:tcMar>
              <w:top w:w="150" w:type="dxa"/>
              <w:start w:w="180" w:type="dxa"/>
              <w:bottom w:w="150" w:type="dxa"/>
              <w:end w:w="180" w:type="dxa"/>
            </w:tcMar>
          </w:tcPr>
          <w:p>
            <w:pPr>
              <w:spacing w:after="60"/>
            </w:pPr>
            <w:r/>
            <w:r>
              <w:rPr>
                <w:rFonts w:ascii="Arial" w:hAnsi="Arial"/>
                <w:b/>
                <w:color w:val="C8102E"/>
                <w:sz w:val="17"/>
              </w:rPr>
              <w:t>CUSTOMER-VISIBLE RESULT</w:t>
            </w:r>
          </w:p>
          <w:p>
            <w:pPr>
              <w:spacing w:after="0"/>
            </w:pPr>
            <w:r>
              <w:rPr>
                <w:rFonts w:ascii="Arial" w:hAnsi="Arial"/>
                <w:color w:val="222222"/>
                <w:sz w:val="19"/>
              </w:rPr>
              <w:t>An operator can connect the target, select a test, monitor command and encoder behavior, record timestamped data, recover interrupted runs, and launch analysis without controlling real-time motion from the PC.</w:t>
            </w:r>
          </w:p>
        </w:tc>
      </w:tr>
    </w:tbl>
    <w:p>
      <w:pPr>
        <w:spacing w:after="0"/>
      </w:pPr>
    </w:p>
    <w:p>
      <w:r>
        <w:br w:type="page"/>
      </w:r>
    </w:p>
    <w:p>
      <w:pPr>
        <w:pStyle w:val="Heading1"/>
      </w:pPr>
      <w:r>
        <w:t>2. Dual-Core Architecture</w:t>
      </w:r>
    </w:p>
    <w:p>
      <w:pPr>
        <w:keepNext/>
        <w:jc w:val="center"/>
      </w:pPr>
      <w:r>
        <w:drawing>
          <wp:inline xmlns:a="http://schemas.openxmlformats.org/drawingml/2006/main" xmlns:pic="http://schemas.openxmlformats.org/drawingml/2006/picture">
            <wp:extent cx="5989320" cy="3493770"/>
            <wp:docPr id="2" name="Picture 2"/>
            <wp:cNvGraphicFramePr>
              <a:graphicFrameLocks noChangeAspect="1"/>
            </wp:cNvGraphicFramePr>
            <a:graphic>
              <a:graphicData uri="http://schemas.openxmlformats.org/drawingml/2006/picture">
                <pic:pic>
                  <pic:nvPicPr>
                    <pic:cNvPr id="0" name="dual_core_architecture.png"/>
                    <pic:cNvPicPr/>
                  </pic:nvPicPr>
                  <pic:blipFill>
                    <a:blip r:embed="rId12"/>
                    <a:stretch>
                      <a:fillRect/>
                    </a:stretch>
                  </pic:blipFill>
                  <pic:spPr>
                    <a:xfrm>
                      <a:off x="0" y="0"/>
                      <a:ext cx="5989320" cy="3493770"/>
                    </a:xfrm>
                    <a:prstGeom prst="rect"/>
                  </pic:spPr>
                </pic:pic>
              </a:graphicData>
            </a:graphic>
          </wp:inline>
        </w:drawing>
      </w:r>
    </w:p>
    <w:p>
      <w:pPr>
        <w:spacing w:after="120"/>
        <w:jc w:val="center"/>
      </w:pPr>
      <w:r>
        <w:rPr>
          <w:rFonts w:ascii="Arial" w:hAnsi="Arial"/>
          <w:i/>
          <w:color w:val="555555"/>
          <w:sz w:val="16"/>
        </w:rPr>
        <w:t>Figure 2. STM32H747 architecture separating the OpenAMP/RPMsg control plane from the AXI-SRAM motion-data path.</w:t>
      </w:r>
    </w:p>
    <w:p>
      <w:pPr>
        <w:keepNext/>
        <w:jc w:val="center"/>
      </w:pPr>
      <w:r>
        <w:drawing>
          <wp:inline xmlns:a="http://schemas.openxmlformats.org/drawingml/2006/main" xmlns:pic="http://schemas.openxmlformats.org/drawingml/2006/picture">
            <wp:extent cx="5897880" cy="3096387"/>
            <wp:docPr id="3" name="Picture 3"/>
            <wp:cNvGraphicFramePr>
              <a:graphicFrameLocks noChangeAspect="1"/>
            </wp:cNvGraphicFramePr>
            <a:graphic>
              <a:graphicData uri="http://schemas.openxmlformats.org/drawingml/2006/picture">
                <pic:pic>
                  <pic:nvPicPr>
                    <pic:cNvPr id="0" name="dual_core_metrics.png"/>
                    <pic:cNvPicPr/>
                  </pic:nvPicPr>
                  <pic:blipFill>
                    <a:blip r:embed="rId13"/>
                    <a:stretch>
                      <a:fillRect/>
                    </a:stretch>
                  </pic:blipFill>
                  <pic:spPr>
                    <a:xfrm>
                      <a:off x="0" y="0"/>
                      <a:ext cx="5897880" cy="3096387"/>
                    </a:xfrm>
                    <a:prstGeom prst="rect"/>
                  </pic:spPr>
                </pic:pic>
              </a:graphicData>
            </a:graphic>
          </wp:inline>
        </w:drawing>
      </w:r>
    </w:p>
    <w:p>
      <w:pPr>
        <w:spacing w:after="120"/>
        <w:jc w:val="center"/>
      </w:pPr>
      <w:r>
        <w:rPr>
          <w:rFonts w:ascii="Arial" w:hAnsi="Arial"/>
          <w:i/>
          <w:color w:val="555555"/>
          <w:sz w:val="16"/>
        </w:rPr>
        <w:t>Figure 3. Source-verified processor, IPC, buffering, and service-cadence specifications.</w:t>
      </w:r>
    </w:p>
    <w:p>
      <w:r>
        <w:br w:type="page"/>
      </w:r>
    </w:p>
    <w:p>
      <w:pPr>
        <w:pStyle w:val="Heading2"/>
      </w:pPr>
      <w:r>
        <w:t>2.1 Verified implementation table</w:t>
      </w:r>
    </w:p>
    <w:tbl>
      <w:tblPr>
        <w:tblW w:type="auto" w:w="0"/>
        <w:jc w:val="center"/>
        <w:tblLayout w:type="fixed"/>
        <w:tblLook w:firstColumn="1" w:firstRow="1" w:lastColumn="0" w:lastRow="0" w:noHBand="0" w:noVBand="1" w:val="04A0"/>
      </w:tblPr>
      <w:tblGrid>
        <w:gridCol w:w="2376"/>
        <w:gridCol w:w="7416"/>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7"/>
              </w:rPr>
              <w:t>Verified implementation</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Cores</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400 MHz Cortex-M7 + 200 MHz Cortex-M4</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Control IPC</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OpenAMP/RPMsg; 44-byte application messages</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Data IPC</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256 KiB AXI-SRAM producer/consumer ring</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Motion record</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64 bytes, cache-line aligned</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Record rate</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100 Hz; 6.4 kB/s internal throughput</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7"/>
              </w:rPr>
              <w:t>Consumer service</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7"/>
              </w:rPr>
              <w:t>Up to 128 records per M4 service pass</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7"/>
              </w:rPr>
              <w:t>Health cadence</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7"/>
              </w:rPr>
              <w:t>1 Hz per-core heartbeat; 4 Hz ring-status requests</w:t>
            </w:r>
          </w:p>
        </w:tc>
      </w:tr>
    </w:tbl>
    <w:p>
      <w:r>
        <w:br w:type="page"/>
      </w:r>
    </w:p>
    <w:p>
      <w:pPr>
        <w:pStyle w:val="Heading1"/>
      </w:pPr>
      <w:r>
        <w:t>3. Core Ownership and Boot Sequence</w:t>
      </w:r>
    </w:p>
    <w:tbl>
      <w:tblPr>
        <w:tblW w:type="auto" w:w="0"/>
        <w:jc w:val="center"/>
        <w:tblLayout w:type="fixed"/>
        <w:tblLook w:firstColumn="1" w:firstRow="1" w:lastColumn="0" w:lastRow="0" w:noHBand="0" w:noVBand="1" w:val="04A0"/>
      </w:tblPr>
      <w:tblGrid>
        <w:gridCol w:w="4896"/>
        <w:gridCol w:w="4896"/>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Cortex-M7 ownership</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Cortex-M4 ownership</w:t>
            </w:r>
          </w:p>
        </w:tc>
      </w:tr>
      <w:tr>
        <w:tc>
          <w:tcPr>
            <w:tcW w:type="dxa" w:w="4896"/>
            <w:vAlign w:val="center"/>
            <w:tcMar>
              <w:top w:w="90" w:type="dxa"/>
              <w:start w:w="110" w:type="dxa"/>
              <w:bottom w:w="90" w:type="dxa"/>
              <w:end w:w="110" w:type="dxa"/>
            </w:tcMar>
            <w:shd w:fill="FFFFFF"/>
          </w:tcPr>
          <w:p>
            <w:pPr>
              <w:spacing w:after="0"/>
              <w:jc w:val="center"/>
            </w:pPr>
            <w:r/>
            <w:r>
              <w:rPr>
                <w:rFonts w:ascii="Arial" w:hAnsi="Arial"/>
                <w:b w:val="0"/>
                <w:color w:val="222222"/>
                <w:sz w:val="16"/>
              </w:rPr>
              <w:t>MPU/cache setup and HSEM release</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Wake from STOP and initialize remote core</w:t>
            </w:r>
          </w:p>
        </w:tc>
      </w:tr>
      <w:tr>
        <w:tc>
          <w:tcPr>
            <w:tcW w:type="dxa" w:w="4896"/>
            <w:vAlign w:val="center"/>
            <w:tcMar>
              <w:top w:w="90" w:type="dxa"/>
              <w:start w:w="110" w:type="dxa"/>
              <w:bottom w:w="90" w:type="dxa"/>
              <w:end w:w="110" w:type="dxa"/>
            </w:tcMar>
            <w:shd w:fill="F3F4F6"/>
          </w:tcPr>
          <w:p>
            <w:pPr>
              <w:spacing w:after="0"/>
              <w:jc w:val="center"/>
            </w:pPr>
            <w:r/>
            <w:r>
              <w:rPr>
                <w:rFonts w:ascii="Arial" w:hAnsi="Arial"/>
                <w:b w:val="0"/>
                <w:color w:val="222222"/>
                <w:sz w:val="16"/>
              </w:rPr>
              <w:t>OpenAMP master and RPMsg endpoint</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OpenAMP remote and RPMsg endpoint</w:t>
            </w:r>
          </w:p>
        </w:tc>
      </w:tr>
      <w:tr>
        <w:tc>
          <w:tcPr>
            <w:tcW w:type="dxa" w:w="4896"/>
            <w:vAlign w:val="center"/>
            <w:tcMar>
              <w:top w:w="90" w:type="dxa"/>
              <w:start w:w="110" w:type="dxa"/>
              <w:bottom w:w="90" w:type="dxa"/>
              <w:end w:w="110" w:type="dxa"/>
            </w:tcMar>
            <w:shd w:fill="FFFFFF"/>
          </w:tcPr>
          <w:p>
            <w:pPr>
              <w:spacing w:after="0"/>
              <w:jc w:val="center"/>
            </w:pPr>
            <w:r/>
            <w:r>
              <w:rPr>
                <w:rFonts w:ascii="Arial" w:hAnsi="Arial"/>
                <w:b w:val="0"/>
                <w:color w:val="222222"/>
                <w:sz w:val="16"/>
              </w:rPr>
              <w:t>Shared-ring producer and sequence source</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Shared-ring consumer</w:t>
            </w:r>
          </w:p>
        </w:tc>
      </w:tr>
      <w:tr>
        <w:tc>
          <w:tcPr>
            <w:tcW w:type="dxa" w:w="4896"/>
            <w:vAlign w:val="center"/>
            <w:tcMar>
              <w:top w:w="90" w:type="dxa"/>
              <w:start w:w="110" w:type="dxa"/>
              <w:bottom w:w="90" w:type="dxa"/>
              <w:end w:w="110" w:type="dxa"/>
            </w:tcMar>
            <w:shd w:fill="F3F4F6"/>
          </w:tcPr>
          <w:p>
            <w:pPr>
              <w:spacing w:after="0"/>
              <w:jc w:val="center"/>
            </w:pPr>
            <w:r/>
            <w:r>
              <w:rPr>
                <w:rFonts w:ascii="Arial" w:hAnsi="Arial"/>
                <w:b w:val="0"/>
                <w:color w:val="222222"/>
                <w:sz w:val="16"/>
              </w:rPr>
              <w:t>Motion record production</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Bounded 128-record processing bursts</w:t>
            </w:r>
          </w:p>
        </w:tc>
      </w:tr>
      <w:tr>
        <w:tc>
          <w:tcPr>
            <w:tcW w:type="dxa" w:w="4896"/>
            <w:vAlign w:val="center"/>
            <w:tcMar>
              <w:top w:w="90" w:type="dxa"/>
              <w:start w:w="110" w:type="dxa"/>
              <w:bottom w:w="90" w:type="dxa"/>
              <w:end w:w="110" w:type="dxa"/>
            </w:tcMar>
            <w:shd w:fill="FFFFFF"/>
          </w:tcPr>
          <w:p>
            <w:pPr>
              <w:spacing w:after="0"/>
              <w:jc w:val="center"/>
            </w:pPr>
            <w:r/>
            <w:r>
              <w:rPr>
                <w:rFonts w:ascii="Arial" w:hAnsi="Arial"/>
                <w:b w:val="0"/>
                <w:color w:val="222222"/>
                <w:sz w:val="16"/>
              </w:rPr>
              <w:t>Heartbeat and status requests</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Gap, drop, heartbeat, and fault reports</w:t>
            </w:r>
          </w:p>
        </w:tc>
      </w:tr>
    </w:tbl>
    <w:p>
      <w:pPr>
        <w:pStyle w:val="Heading2"/>
      </w:pPr>
      <w:r>
        <w:t>3.1 Startup flow</w:t>
      </w:r>
    </w:p>
    <w:tbl>
      <w:tblPr>
        <w:tblW w:type="auto" w:w="0"/>
        <w:jc w:val="center"/>
        <w:tblLayout w:type="fixed"/>
        <w:tblLook w:firstColumn="1" w:firstRow="1" w:lastColumn="0" w:lastRow="0" w:noHBand="0" w:noVBand="1" w:val="04A0"/>
      </w:tblPr>
      <w:tblGrid>
        <w:gridCol w:w="864"/>
        <w:gridCol w:w="4464"/>
        <w:gridCol w:w="4464"/>
      </w:tblGrid>
      <w:tr>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Stage</w:t>
            </w:r>
          </w:p>
        </w:tc>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M7</w:t>
            </w:r>
          </w:p>
        </w:tc>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M4</w:t>
            </w:r>
          </w:p>
        </w:tc>
      </w:tr>
      <w:tr>
        <w:tc>
          <w:tcPr>
            <w:tcW w:type="dxa" w:w="864"/>
            <w:vAlign w:val="center"/>
            <w:tcMar>
              <w:top w:w="90" w:type="dxa"/>
              <w:start w:w="110" w:type="dxa"/>
              <w:bottom w:w="90" w:type="dxa"/>
              <w:end w:w="110" w:type="dxa"/>
            </w:tcMar>
            <w:shd w:fill="FFFFFF"/>
          </w:tcPr>
          <w:p>
            <w:pPr>
              <w:spacing w:after="0"/>
              <w:jc w:val="center"/>
            </w:pPr>
            <w:r/>
            <w:r>
              <w:rPr>
                <w:rFonts w:ascii="Arial" w:hAnsi="Arial"/>
                <w:b w:val="0"/>
                <w:color w:val="222222"/>
                <w:sz w:val="16"/>
              </w:rPr>
              <w:t>1</w:t>
            </w:r>
          </w:p>
        </w:tc>
        <w:tc>
          <w:tcPr>
            <w:tcW w:type="dxa" w:w="4464"/>
            <w:vAlign w:val="center"/>
            <w:tcMar>
              <w:top w:w="90" w:type="dxa"/>
              <w:start w:w="110" w:type="dxa"/>
              <w:bottom w:w="90" w:type="dxa"/>
              <w:end w:w="110" w:type="dxa"/>
            </w:tcMar>
            <w:shd w:fill="FFFFFF"/>
          </w:tcPr>
          <w:p>
            <w:pPr>
              <w:spacing w:after="0"/>
              <w:jc w:val="left"/>
            </w:pPr>
            <w:r/>
            <w:r>
              <w:rPr>
                <w:rFonts w:ascii="Arial" w:hAnsi="Arial"/>
                <w:b w:val="0"/>
                <w:color w:val="222222"/>
                <w:sz w:val="16"/>
              </w:rPr>
              <w:t>Configure memory policy and clocks</w:t>
            </w:r>
          </w:p>
        </w:tc>
        <w:tc>
          <w:tcPr>
            <w:tcW w:type="dxa" w:w="4464"/>
            <w:vAlign w:val="center"/>
            <w:tcMar>
              <w:top w:w="90" w:type="dxa"/>
              <w:start w:w="110" w:type="dxa"/>
              <w:bottom w:w="90" w:type="dxa"/>
              <w:end w:w="110" w:type="dxa"/>
            </w:tcMar>
            <w:shd w:fill="FFFFFF"/>
          </w:tcPr>
          <w:p>
            <w:pPr>
              <w:spacing w:after="0"/>
              <w:jc w:val="left"/>
            </w:pPr>
            <w:r/>
            <w:r>
              <w:rPr>
                <w:rFonts w:ascii="Arial" w:hAnsi="Arial"/>
                <w:b w:val="0"/>
                <w:color w:val="222222"/>
                <w:sz w:val="16"/>
              </w:rPr>
              <w:t>Wait in STOP mode</w:t>
            </w:r>
          </w:p>
        </w:tc>
      </w:tr>
      <w:tr>
        <w:tc>
          <w:tcPr>
            <w:tcW w:type="dxa" w:w="864"/>
            <w:vAlign w:val="center"/>
            <w:tcMar>
              <w:top w:w="90" w:type="dxa"/>
              <w:start w:w="110" w:type="dxa"/>
              <w:bottom w:w="90" w:type="dxa"/>
              <w:end w:w="110" w:type="dxa"/>
            </w:tcMar>
            <w:shd w:fill="F3F4F6"/>
          </w:tcPr>
          <w:p>
            <w:pPr>
              <w:spacing w:after="0"/>
              <w:jc w:val="center"/>
            </w:pPr>
            <w:r/>
            <w:r>
              <w:rPr>
                <w:rFonts w:ascii="Arial" w:hAnsi="Arial"/>
                <w:b w:val="0"/>
                <w:color w:val="222222"/>
                <w:sz w:val="16"/>
              </w:rPr>
              <w:t>2</w:t>
            </w:r>
          </w:p>
        </w:tc>
        <w:tc>
          <w:tcPr>
            <w:tcW w:type="dxa" w:w="4464"/>
            <w:vAlign w:val="center"/>
            <w:tcMar>
              <w:top w:w="90" w:type="dxa"/>
              <w:start w:w="110" w:type="dxa"/>
              <w:bottom w:w="90" w:type="dxa"/>
              <w:end w:w="110" w:type="dxa"/>
            </w:tcMar>
            <w:shd w:fill="F3F4F6"/>
          </w:tcPr>
          <w:p>
            <w:pPr>
              <w:spacing w:after="0"/>
              <w:jc w:val="left"/>
            </w:pPr>
            <w:r/>
            <w:r>
              <w:rPr>
                <w:rFonts w:ascii="Arial" w:hAnsi="Arial"/>
                <w:b w:val="0"/>
                <w:color w:val="222222"/>
                <w:sz w:val="16"/>
              </w:rPr>
              <w:t>Release HSEM0</w:t>
            </w:r>
          </w:p>
        </w:tc>
        <w:tc>
          <w:tcPr>
            <w:tcW w:type="dxa" w:w="4464"/>
            <w:vAlign w:val="center"/>
            <w:tcMar>
              <w:top w:w="90" w:type="dxa"/>
              <w:start w:w="110" w:type="dxa"/>
              <w:bottom w:w="90" w:type="dxa"/>
              <w:end w:w="110" w:type="dxa"/>
            </w:tcMar>
            <w:shd w:fill="F3F4F6"/>
          </w:tcPr>
          <w:p>
            <w:pPr>
              <w:spacing w:after="0"/>
              <w:jc w:val="left"/>
            </w:pPr>
            <w:r/>
            <w:r>
              <w:rPr>
                <w:rFonts w:ascii="Arial" w:hAnsi="Arial"/>
                <w:b w:val="0"/>
                <w:color w:val="222222"/>
                <w:sz w:val="16"/>
              </w:rPr>
              <w:t>Wake on HSEM event</w:t>
            </w:r>
          </w:p>
        </w:tc>
      </w:tr>
      <w:tr>
        <w:tc>
          <w:tcPr>
            <w:tcW w:type="dxa" w:w="864"/>
            <w:vAlign w:val="center"/>
            <w:tcMar>
              <w:top w:w="90" w:type="dxa"/>
              <w:start w:w="110" w:type="dxa"/>
              <w:bottom w:w="90" w:type="dxa"/>
              <w:end w:w="110" w:type="dxa"/>
            </w:tcMar>
            <w:shd w:fill="FFFFFF"/>
          </w:tcPr>
          <w:p>
            <w:pPr>
              <w:spacing w:after="0"/>
              <w:jc w:val="center"/>
            </w:pPr>
            <w:r/>
            <w:r>
              <w:rPr>
                <w:rFonts w:ascii="Arial" w:hAnsi="Arial"/>
                <w:b w:val="0"/>
                <w:color w:val="222222"/>
                <w:sz w:val="16"/>
              </w:rPr>
              <w:t>3</w:t>
            </w:r>
          </w:p>
        </w:tc>
        <w:tc>
          <w:tcPr>
            <w:tcW w:type="dxa" w:w="4464"/>
            <w:vAlign w:val="center"/>
            <w:tcMar>
              <w:top w:w="90" w:type="dxa"/>
              <w:start w:w="110" w:type="dxa"/>
              <w:bottom w:w="90" w:type="dxa"/>
              <w:end w:w="110" w:type="dxa"/>
            </w:tcMar>
            <w:shd w:fill="FFFFFF"/>
          </w:tcPr>
          <w:p>
            <w:pPr>
              <w:spacing w:after="0"/>
              <w:jc w:val="left"/>
            </w:pPr>
            <w:r/>
            <w:r>
              <w:rPr>
                <w:rFonts w:ascii="Arial" w:hAnsi="Arial"/>
                <w:b w:val="0"/>
                <w:color w:val="222222"/>
                <w:sz w:val="16"/>
              </w:rPr>
              <w:t>Initialize producer</w:t>
            </w:r>
          </w:p>
        </w:tc>
        <w:tc>
          <w:tcPr>
            <w:tcW w:type="dxa" w:w="4464"/>
            <w:vAlign w:val="center"/>
            <w:tcMar>
              <w:top w:w="90" w:type="dxa"/>
              <w:start w:w="110" w:type="dxa"/>
              <w:bottom w:w="90" w:type="dxa"/>
              <w:end w:w="110" w:type="dxa"/>
            </w:tcMar>
            <w:shd w:fill="FFFFFF"/>
          </w:tcPr>
          <w:p>
            <w:pPr>
              <w:spacing w:after="0"/>
              <w:jc w:val="left"/>
            </w:pPr>
            <w:r/>
            <w:r>
              <w:rPr>
                <w:rFonts w:ascii="Arial" w:hAnsi="Arial"/>
                <w:b w:val="0"/>
                <w:color w:val="222222"/>
                <w:sz w:val="16"/>
              </w:rPr>
              <w:t>Initialize consumer</w:t>
            </w:r>
          </w:p>
        </w:tc>
      </w:tr>
      <w:tr>
        <w:tc>
          <w:tcPr>
            <w:tcW w:type="dxa" w:w="864"/>
            <w:vAlign w:val="center"/>
            <w:tcMar>
              <w:top w:w="90" w:type="dxa"/>
              <w:start w:w="110" w:type="dxa"/>
              <w:bottom w:w="90" w:type="dxa"/>
              <w:end w:w="110" w:type="dxa"/>
            </w:tcMar>
            <w:shd w:fill="F3F4F6"/>
          </w:tcPr>
          <w:p>
            <w:pPr>
              <w:spacing w:after="0"/>
              <w:jc w:val="center"/>
            </w:pPr>
            <w:r/>
            <w:r>
              <w:rPr>
                <w:rFonts w:ascii="Arial" w:hAnsi="Arial"/>
                <w:b w:val="0"/>
                <w:color w:val="222222"/>
                <w:sz w:val="16"/>
              </w:rPr>
              <w:t>4</w:t>
            </w:r>
          </w:p>
        </w:tc>
        <w:tc>
          <w:tcPr>
            <w:tcW w:type="dxa" w:w="4464"/>
            <w:vAlign w:val="center"/>
            <w:tcMar>
              <w:top w:w="90" w:type="dxa"/>
              <w:start w:w="110" w:type="dxa"/>
              <w:bottom w:w="90" w:type="dxa"/>
              <w:end w:w="110" w:type="dxa"/>
            </w:tcMar>
            <w:shd w:fill="F3F4F6"/>
          </w:tcPr>
          <w:p>
            <w:pPr>
              <w:spacing w:after="0"/>
              <w:jc w:val="left"/>
            </w:pPr>
            <w:r/>
            <w:r>
              <w:rPr>
                <w:rFonts w:ascii="Arial" w:hAnsi="Arial"/>
                <w:b w:val="0"/>
                <w:color w:val="222222"/>
                <w:sz w:val="16"/>
              </w:rPr>
              <w:t>Create OpenAMP master endpoint</w:t>
            </w:r>
          </w:p>
        </w:tc>
        <w:tc>
          <w:tcPr>
            <w:tcW w:type="dxa" w:w="4464"/>
            <w:vAlign w:val="center"/>
            <w:tcMar>
              <w:top w:w="90" w:type="dxa"/>
              <w:start w:w="110" w:type="dxa"/>
              <w:bottom w:w="90" w:type="dxa"/>
              <w:end w:w="110" w:type="dxa"/>
            </w:tcMar>
            <w:shd w:fill="F3F4F6"/>
          </w:tcPr>
          <w:p>
            <w:pPr>
              <w:spacing w:after="0"/>
              <w:jc w:val="left"/>
            </w:pPr>
            <w:r/>
            <w:r>
              <w:rPr>
                <w:rFonts w:ascii="Arial" w:hAnsi="Arial"/>
                <w:b w:val="0"/>
                <w:color w:val="222222"/>
                <w:sz w:val="16"/>
              </w:rPr>
              <w:t>Create OpenAMP remote endpoint</w:t>
            </w:r>
          </w:p>
        </w:tc>
      </w:tr>
      <w:tr>
        <w:tc>
          <w:tcPr>
            <w:tcW w:type="dxa" w:w="864"/>
            <w:vAlign w:val="center"/>
            <w:tcMar>
              <w:top w:w="90" w:type="dxa"/>
              <w:start w:w="110" w:type="dxa"/>
              <w:bottom w:w="90" w:type="dxa"/>
              <w:end w:w="110" w:type="dxa"/>
            </w:tcMar>
            <w:shd w:fill="FFFFFF"/>
          </w:tcPr>
          <w:p>
            <w:pPr>
              <w:spacing w:after="0"/>
              <w:jc w:val="center"/>
            </w:pPr>
            <w:r/>
            <w:r>
              <w:rPr>
                <w:rFonts w:ascii="Arial" w:hAnsi="Arial"/>
                <w:b w:val="0"/>
                <w:color w:val="222222"/>
                <w:sz w:val="16"/>
              </w:rPr>
              <w:t>5</w:t>
            </w:r>
          </w:p>
        </w:tc>
        <w:tc>
          <w:tcPr>
            <w:tcW w:type="dxa" w:w="4464"/>
            <w:vAlign w:val="center"/>
            <w:tcMar>
              <w:top w:w="90" w:type="dxa"/>
              <w:start w:w="110" w:type="dxa"/>
              <w:bottom w:w="90" w:type="dxa"/>
              <w:end w:w="110" w:type="dxa"/>
            </w:tcMar>
            <w:shd w:fill="FFFFFF"/>
          </w:tcPr>
          <w:p>
            <w:pPr>
              <w:spacing w:after="0"/>
              <w:jc w:val="left"/>
            </w:pPr>
            <w:r/>
            <w:r>
              <w:rPr>
                <w:rFonts w:ascii="Arial" w:hAnsi="Arial"/>
                <w:b w:val="0"/>
                <w:color w:val="222222"/>
                <w:sz w:val="16"/>
              </w:rPr>
              <w:t>Produce records and service messages</w:t>
            </w:r>
          </w:p>
        </w:tc>
        <w:tc>
          <w:tcPr>
            <w:tcW w:type="dxa" w:w="4464"/>
            <w:vAlign w:val="center"/>
            <w:tcMar>
              <w:top w:w="90" w:type="dxa"/>
              <w:start w:w="110" w:type="dxa"/>
              <w:bottom w:w="90" w:type="dxa"/>
              <w:end w:w="110" w:type="dxa"/>
            </w:tcMar>
            <w:shd w:fill="FFFFFF"/>
          </w:tcPr>
          <w:p>
            <w:pPr>
              <w:spacing w:after="0"/>
              <w:jc w:val="left"/>
            </w:pPr>
            <w:r/>
            <w:r>
              <w:rPr>
                <w:rFonts w:ascii="Arial" w:hAnsi="Arial"/>
                <w:b w:val="0"/>
                <w:color w:val="222222"/>
                <w:sz w:val="16"/>
              </w:rPr>
              <w:t>Consume records and service messages</w:t>
            </w:r>
          </w:p>
        </w:tc>
      </w:tr>
    </w:tbl>
    <w:p>
      <w:pPr>
        <w:keepNext/>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motionipc_memory_map.png"/>
                    <pic:cNvPicPr/>
                  </pic:nvPicPr>
                  <pic:blipFill>
                    <a:blip r:embed="rId14"/>
                    <a:stretch>
                      <a:fillRect/>
                    </a:stretch>
                  </pic:blipFill>
                  <pic:spPr>
                    <a:xfrm>
                      <a:off x="0" y="0"/>
                      <a:ext cx="5852160" cy="3291840"/>
                    </a:xfrm>
                    <a:prstGeom prst="rect"/>
                  </pic:spPr>
                </pic:pic>
              </a:graphicData>
            </a:graphic>
          </wp:inline>
        </w:drawing>
      </w:r>
    </w:p>
    <w:p>
      <w:pPr>
        <w:spacing w:after="120"/>
        <w:jc w:val="center"/>
      </w:pPr>
      <w:r>
        <w:rPr>
          <w:rFonts w:ascii="Arial" w:hAnsi="Arial"/>
          <w:i/>
          <w:color w:val="555555"/>
          <w:sz w:val="16"/>
        </w:rPr>
        <w:t>Figure 4. Shared-memory map and the identified ring-capacity correction.</w:t>
      </w:r>
    </w:p>
    <w:p>
      <w:r>
        <w:br w:type="page"/>
      </w:r>
    </w:p>
    <w:p>
      <w:pPr>
        <w:pStyle w:val="Heading1"/>
      </w:pPr>
      <w:r>
        <w:t>4. IPC Protocol, Data Integrity, and Reliability</w:t>
      </w:r>
    </w:p>
    <w:tbl>
      <w:tblPr>
        <w:tblW w:type="auto" w:w="0"/>
        <w:jc w:val="center"/>
        <w:tblLayout w:type="fixed"/>
        <w:tblLook w:firstColumn="1" w:firstRow="1" w:lastColumn="0" w:lastRow="0" w:noHBand="0" w:noVBand="1" w:val="04A0"/>
      </w:tblPr>
      <w:tblGrid>
        <w:gridCol w:w="2376"/>
        <w:gridCol w:w="7416"/>
      </w:tblGrid>
      <w:tr>
        <w:tc>
          <w:tcPr>
            <w:tcW w:type="dxa" w:w="5040"/>
            <w:vAlign w:val="center"/>
            <w:tcMar>
              <w:top w:w="90" w:type="dxa"/>
              <w:start w:w="110" w:type="dxa"/>
              <w:bottom w:w="90" w:type="dxa"/>
              <w:end w:w="110" w:type="dxa"/>
            </w:tcMar>
            <w:shd w:fill="2E7D32"/>
          </w:tcPr>
          <w:p>
            <w:pPr>
              <w:spacing w:after="0"/>
              <w:jc w:val="center"/>
            </w:pPr>
            <w:r/>
            <w:r>
              <w:rPr>
                <w:rFonts w:ascii="Arial" w:hAnsi="Arial"/>
                <w:b/>
                <w:color w:val="FFFFFF"/>
                <w:sz w:val="16"/>
              </w:rPr>
              <w:t>Mechanism</w:t>
            </w:r>
          </w:p>
        </w:tc>
        <w:tc>
          <w:tcPr>
            <w:tcW w:type="dxa" w:w="5040"/>
            <w:vAlign w:val="center"/>
            <w:tcMar>
              <w:top w:w="90" w:type="dxa"/>
              <w:start w:w="110" w:type="dxa"/>
              <w:bottom w:w="90" w:type="dxa"/>
              <w:end w:w="110" w:type="dxa"/>
            </w:tcMar>
            <w:shd w:fill="2E7D32"/>
          </w:tcPr>
          <w:p>
            <w:pPr>
              <w:spacing w:after="0"/>
              <w:jc w:val="center"/>
            </w:pPr>
            <w:r/>
            <w:r>
              <w:rPr>
                <w:rFonts w:ascii="Arial" w:hAnsi="Arial"/>
                <w:b/>
                <w:color w:val="FFFFFF"/>
                <w:sz w:val="16"/>
              </w:rPr>
              <w:t>Implementation outcome</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6"/>
              </w:rPr>
              <w:t>Sequence continuity</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6"/>
              </w:rPr>
              <w:t>Monotonic sequence numbers and CM4 gap counting expose missing records.</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6"/>
              </w:rPr>
              <w:t>Overflow visibility</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6"/>
              </w:rPr>
              <w:t>Producer-side drop counter reports a full ring instead of silently overwriting data.</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6"/>
              </w:rPr>
              <w:t>Independent liveness</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6"/>
              </w:rPr>
              <w:t>Separate M7/M4 heartbeat counters distinguish core-local failures.</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6"/>
              </w:rPr>
              <w:t>Fault propagation</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6"/>
              </w:rPr>
              <w:t>RPMsg fault messages and per-core flags carry diagnostic state.</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6"/>
              </w:rPr>
              <w:t>Bounded workload</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6"/>
              </w:rPr>
              <w:t>M4 consumes no more than 128 records per pass to preserve OpenAMP service.</w:t>
            </w:r>
          </w:p>
        </w:tc>
      </w:tr>
      <w:tr>
        <w:tc>
          <w:tcPr>
            <w:tcW w:type="dxa" w:w="2376"/>
            <w:vAlign w:val="center"/>
            <w:tcMar>
              <w:top w:w="90" w:type="dxa"/>
              <w:start w:w="110" w:type="dxa"/>
              <w:bottom w:w="90" w:type="dxa"/>
              <w:end w:w="110" w:type="dxa"/>
            </w:tcMar>
            <w:shd w:fill="F3F4F6"/>
          </w:tcPr>
          <w:p>
            <w:pPr>
              <w:spacing w:after="0"/>
              <w:jc w:val="center"/>
            </w:pPr>
            <w:r/>
            <w:r>
              <w:rPr>
                <w:rFonts w:ascii="Arial" w:hAnsi="Arial"/>
                <w:b w:val="0"/>
                <w:color w:val="222222"/>
                <w:sz w:val="16"/>
              </w:rPr>
              <w:t>Memory ordering</w:t>
            </w:r>
          </w:p>
        </w:tc>
        <w:tc>
          <w:tcPr>
            <w:tcW w:type="dxa" w:w="7416"/>
            <w:vAlign w:val="center"/>
            <w:tcMar>
              <w:top w:w="90" w:type="dxa"/>
              <w:start w:w="110" w:type="dxa"/>
              <w:bottom w:w="90" w:type="dxa"/>
              <w:end w:w="110" w:type="dxa"/>
            </w:tcMar>
            <w:shd w:fill="F3F4F6"/>
          </w:tcPr>
          <w:p>
            <w:pPr>
              <w:spacing w:after="0"/>
              <w:jc w:val="left"/>
            </w:pPr>
            <w:r/>
            <w:r>
              <w:rPr>
                <w:rFonts w:ascii="Arial" w:hAnsi="Arial"/>
                <w:b w:val="0"/>
                <w:color w:val="222222"/>
                <w:sz w:val="16"/>
              </w:rPr>
              <w:t>Barriers protect producer/consumer state transitions.</w:t>
            </w:r>
          </w:p>
        </w:tc>
      </w:tr>
      <w:tr>
        <w:tc>
          <w:tcPr>
            <w:tcW w:type="dxa" w:w="2376"/>
            <w:vAlign w:val="center"/>
            <w:tcMar>
              <w:top w:w="90" w:type="dxa"/>
              <w:start w:w="110" w:type="dxa"/>
              <w:bottom w:w="90" w:type="dxa"/>
              <w:end w:w="110" w:type="dxa"/>
            </w:tcMar>
            <w:shd w:fill="FFFFFF"/>
          </w:tcPr>
          <w:p>
            <w:pPr>
              <w:spacing w:after="0"/>
              <w:jc w:val="center"/>
            </w:pPr>
            <w:r/>
            <w:r>
              <w:rPr>
                <w:rFonts w:ascii="Arial" w:hAnsi="Arial"/>
                <w:b w:val="0"/>
                <w:color w:val="222222"/>
                <w:sz w:val="16"/>
              </w:rPr>
              <w:t>Cache coherency</w:t>
            </w:r>
          </w:p>
        </w:tc>
        <w:tc>
          <w:tcPr>
            <w:tcW w:type="dxa" w:w="7416"/>
            <w:vAlign w:val="center"/>
            <w:tcMar>
              <w:top w:w="90" w:type="dxa"/>
              <w:start w:w="110" w:type="dxa"/>
              <w:bottom w:w="90" w:type="dxa"/>
              <w:end w:w="110" w:type="dxa"/>
            </w:tcMar>
            <w:shd w:fill="FFFFFF"/>
          </w:tcPr>
          <w:p>
            <w:pPr>
              <w:spacing w:after="0"/>
              <w:jc w:val="left"/>
            </w:pPr>
            <w:r/>
            <w:r>
              <w:rPr>
                <w:rFonts w:ascii="Arial" w:hAnsi="Arial"/>
                <w:b w:val="0"/>
                <w:color w:val="222222"/>
                <w:sz w:val="16"/>
              </w:rPr>
              <w:t>M7 MPU marks the AXI ring non-cacheable.</w:t>
            </w:r>
          </w:p>
        </w:tc>
      </w:tr>
    </w:tbl>
    <w:tbl>
      <w:tblPr>
        <w:tblW w:type="auto" w:w="0"/>
        <w:jc w:val="center"/>
        <w:tblLayout w:type="fixed"/>
        <w:tblLook w:firstColumn="1" w:firstRow="1" w:lastColumn="0" w:lastRow="0" w:noHBand="0" w:noVBand="1" w:val="04A0"/>
      </w:tblPr>
      <w:tblGrid>
        <w:gridCol w:w="9504"/>
      </w:tblGrid>
      <w:tr>
        <w:tc>
          <w:tcPr>
            <w:tcW w:type="dxa" w:w="10080"/>
            <w:shd w:fill="FFF3E0"/>
            <w:tcMar>
              <w:top w:w="150" w:type="dxa"/>
              <w:start w:w="180" w:type="dxa"/>
              <w:bottom w:w="150" w:type="dxa"/>
              <w:end w:w="180" w:type="dxa"/>
            </w:tcMar>
          </w:tcPr>
          <w:p>
            <w:pPr>
              <w:spacing w:after="60"/>
            </w:pPr>
            <w:r/>
            <w:r>
              <w:rPr>
                <w:rFonts w:ascii="Arial" w:hAnsi="Arial"/>
                <w:b/>
                <w:color w:val="C8102E"/>
                <w:sz w:val="17"/>
              </w:rPr>
              <w:t>REVIEW FINDING</w:t>
            </w:r>
          </w:p>
          <w:p>
            <w:pPr>
              <w:spacing w:after="0"/>
            </w:pPr>
            <w:r>
              <w:rPr>
                <w:rFonts w:ascii="Arial" w:hAnsi="Arial"/>
                <w:color w:val="222222"/>
                <w:sz w:val="19"/>
              </w:rPr>
              <w:t>The configured 4,096 × 64-byte sample array fills the 256 KiB allocation before metadata is counted. A production release should use 4,095 entries or enlarge the region.</w:t>
            </w:r>
          </w:p>
        </w:tc>
      </w:tr>
    </w:tbl>
    <w:p>
      <w:pPr>
        <w:spacing w:after="0"/>
      </w:pPr>
    </w:p>
    <w:p>
      <w:pPr>
        <w:pStyle w:val="Heading2"/>
      </w:pPr>
      <w:r>
        <w:t>4.1 Motion record contents</w:t>
      </w:r>
    </w:p>
    <w:tbl>
      <w:tblPr>
        <w:tblW w:type="auto" w:w="0"/>
        <w:jc w:val="center"/>
        <w:tblLayout w:type="fixed"/>
        <w:tblLook w:firstColumn="1" w:firstRow="1" w:lastColumn="0" w:lastRow="0" w:noHBand="0" w:noVBand="1" w:val="04A0"/>
      </w:tblPr>
      <w:tblGrid>
        <w:gridCol w:w="2880"/>
        <w:gridCol w:w="6912"/>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Field group</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Contents</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Identity and time</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Sequence number and microsecond timestamp</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Motion state</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Encoder count, position, commanded speed, measured speed, tracking error</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Execution state</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Target state, flags, and status fields</w:t>
            </w:r>
          </w:p>
        </w:tc>
      </w:tr>
    </w:tbl>
    <w:p>
      <w:r>
        <w:br w:type="page"/>
      </w:r>
    </w:p>
    <w:p>
      <w:pPr>
        <w:pStyle w:val="Heading1"/>
      </w:pPr>
      <w:r>
        <w:t>5. Target Motion Firmware</w:t>
      </w:r>
    </w:p>
    <w:p>
      <w:pPr>
        <w:pStyle w:val="BodyText"/>
      </w:pPr>
      <w:r>
        <w:t>Real-time pulse generation, encoder capture, test progression, and deadman behavior remain on the embedded target. The host requests actions and records results but does not schedule motion.</w:t>
      </w:r>
    </w:p>
    <w:tbl>
      <w:tblPr>
        <w:tblW w:type="auto" w:w="0"/>
        <w:jc w:val="center"/>
        <w:tblLayout w:type="fixed"/>
        <w:tblLook w:firstColumn="1" w:firstRow="1" w:lastColumn="0" w:lastRow="0" w:noHBand="0" w:noVBand="1" w:val="04A0"/>
      </w:tblPr>
      <w:tblGrid>
        <w:gridCol w:w="4608"/>
        <w:gridCol w:w="518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Control or safety item</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Verified value</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STEP pulse high time</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4 µs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Step-rate safety cap</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25,000 pulses/s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Maximum pulse backlog</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25 pulses/pass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Loop-overrun warning</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25 ms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Speed-estimation window</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500 ms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Host heartbeat</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500 ms</w:t>
            </w:r>
          </w:p>
        </w:tc>
      </w:tr>
      <w:tr>
        <w:tc>
          <w:tcPr>
            <w:tcW w:type="dxa" w:w="4608"/>
            <w:vAlign w:val="center"/>
            <w:tcMar>
              <w:top w:w="90" w:type="dxa"/>
              <w:start w:w="110" w:type="dxa"/>
              <w:bottom w:w="90" w:type="dxa"/>
              <w:end w:w="110" w:type="dxa"/>
            </w:tcMar>
            <w:shd w:fill="FFFFFF"/>
          </w:tcPr>
          <w:p>
            <w:pPr>
              <w:spacing w:after="0"/>
              <w:jc w:val="center"/>
            </w:pPr>
            <w:r/>
            <w:r>
              <w:rPr>
                <w:rFonts w:ascii="Arial" w:hAnsi="Arial"/>
                <w:b w:val="0"/>
                <w:color w:val="222222"/>
                <w:sz w:val="16"/>
              </w:rPr>
              <w:t>Target deadman timeout</w:t>
            </w:r>
          </w:p>
        </w:tc>
        <w:tc>
          <w:tcPr>
            <w:tcW w:type="dxa" w:w="5184"/>
            <w:vAlign w:val="center"/>
            <w:tcMar>
              <w:top w:w="90" w:type="dxa"/>
              <w:start w:w="110" w:type="dxa"/>
              <w:bottom w:w="90" w:type="dxa"/>
              <w:end w:w="110" w:type="dxa"/>
            </w:tcMar>
            <w:shd w:fill="FFFFFF"/>
          </w:tcPr>
          <w:p>
            <w:pPr>
              <w:spacing w:after="0"/>
              <w:jc w:val="left"/>
            </w:pPr>
            <w:r/>
            <w:r>
              <w:rPr>
                <w:rFonts w:ascii="Arial" w:hAnsi="Arial"/>
                <w:b w:val="0"/>
                <w:color w:val="222222"/>
                <w:sz w:val="16"/>
              </w:rPr>
              <w:t>2,000 ms</w:t>
            </w:r>
          </w:p>
        </w:tc>
      </w:tr>
      <w:tr>
        <w:tc>
          <w:tcPr>
            <w:tcW w:type="dxa" w:w="4608"/>
            <w:vAlign w:val="center"/>
            <w:tcMar>
              <w:top w:w="90" w:type="dxa"/>
              <w:start w:w="110" w:type="dxa"/>
              <w:bottom w:w="90" w:type="dxa"/>
              <w:end w:w="110" w:type="dxa"/>
            </w:tcMar>
            <w:shd w:fill="F3F4F6"/>
          </w:tcPr>
          <w:p>
            <w:pPr>
              <w:spacing w:after="0"/>
              <w:jc w:val="center"/>
            </w:pPr>
            <w:r/>
            <w:r>
              <w:rPr>
                <w:rFonts w:ascii="Arial" w:hAnsi="Arial"/>
                <w:b w:val="0"/>
                <w:color w:val="222222"/>
                <w:sz w:val="16"/>
              </w:rPr>
              <w:t>Position correction</w:t>
            </w:r>
          </w:p>
        </w:tc>
        <w:tc>
          <w:tcPr>
            <w:tcW w:type="dxa" w:w="5184"/>
            <w:vAlign w:val="center"/>
            <w:tcMar>
              <w:top w:w="90" w:type="dxa"/>
              <w:start w:w="110" w:type="dxa"/>
              <w:bottom w:w="90" w:type="dxa"/>
              <w:end w:w="110" w:type="dxa"/>
            </w:tcMar>
            <w:shd w:fill="F3F4F6"/>
          </w:tcPr>
          <w:p>
            <w:pPr>
              <w:spacing w:after="0"/>
              <w:jc w:val="left"/>
            </w:pPr>
            <w:r/>
            <w:r>
              <w:rPr>
                <w:rFonts w:ascii="Arial" w:hAnsi="Arial"/>
                <w:b w:val="0"/>
                <w:color w:val="222222"/>
                <w:sz w:val="16"/>
              </w:rPr>
              <w:t>20 pulse-Hz/degree; 250 Hz absolute cap; 5% relative cap</w:t>
            </w:r>
          </w:p>
        </w:tc>
      </w:tr>
    </w:tbl>
    <w:p>
      <w:pPr>
        <w:pStyle w:val="Heading2"/>
      </w:pPr>
      <w:r>
        <w:t>5.1 Encoder and drive scaling</w:t>
      </w:r>
    </w:p>
    <w:tbl>
      <w:tblPr>
        <w:tblW w:type="auto" w:w="0"/>
        <w:jc w:val="center"/>
        <w:tblLayout w:type="fixed"/>
        <w:tblLook w:firstColumn="1" w:firstRow="1" w:lastColumn="0" w:lastRow="0" w:noHBand="0" w:noVBand="1" w:val="04A0"/>
      </w:tblPr>
      <w:tblGrid>
        <w:gridCol w:w="4680"/>
        <w:gridCol w:w="5112"/>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Parameter</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Value</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Gear ratio</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24.65:1</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256-microstep pulses/table revolution</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1,262,080</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Command increment</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~0.000285°/pulse</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Encoder CPR</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5,000</w:t>
            </w:r>
          </w:p>
        </w:tc>
      </w:tr>
      <w:tr>
        <w:tc>
          <w:tcPr>
            <w:tcW w:type="dxa" w:w="4680"/>
            <w:vAlign w:val="center"/>
            <w:tcMar>
              <w:top w:w="90" w:type="dxa"/>
              <w:start w:w="110" w:type="dxa"/>
              <w:bottom w:w="90" w:type="dxa"/>
              <w:end w:w="110" w:type="dxa"/>
            </w:tcMar>
            <w:shd w:fill="FFFFFF"/>
          </w:tcPr>
          <w:p>
            <w:pPr>
              <w:spacing w:after="0"/>
              <w:jc w:val="center"/>
            </w:pPr>
            <w:r/>
            <w:r>
              <w:rPr>
                <w:rFonts w:ascii="Arial" w:hAnsi="Arial"/>
                <w:b w:val="0"/>
                <w:color w:val="222222"/>
                <w:sz w:val="16"/>
              </w:rPr>
              <w:t>Effective table counts/revolution</w:t>
            </w:r>
          </w:p>
        </w:tc>
        <w:tc>
          <w:tcPr>
            <w:tcW w:type="dxa" w:w="5112"/>
            <w:vAlign w:val="center"/>
            <w:tcMar>
              <w:top w:w="90" w:type="dxa"/>
              <w:start w:w="110" w:type="dxa"/>
              <w:bottom w:w="90" w:type="dxa"/>
              <w:end w:w="110" w:type="dxa"/>
            </w:tcMar>
            <w:shd w:fill="FFFFFF"/>
          </w:tcPr>
          <w:p>
            <w:pPr>
              <w:spacing w:after="0"/>
              <w:jc w:val="left"/>
            </w:pPr>
            <w:r/>
            <w:r>
              <w:rPr>
                <w:rFonts w:ascii="Arial" w:hAnsi="Arial"/>
                <w:b w:val="0"/>
                <w:color w:val="222222"/>
                <w:sz w:val="16"/>
              </w:rPr>
              <w:t>246,500</w:t>
            </w:r>
          </w:p>
        </w:tc>
      </w:tr>
      <w:tr>
        <w:tc>
          <w:tcPr>
            <w:tcW w:type="dxa" w:w="4680"/>
            <w:vAlign w:val="center"/>
            <w:tcMar>
              <w:top w:w="90" w:type="dxa"/>
              <w:start w:w="110" w:type="dxa"/>
              <w:bottom w:w="90" w:type="dxa"/>
              <w:end w:w="110" w:type="dxa"/>
            </w:tcMar>
            <w:shd w:fill="F3F4F6"/>
          </w:tcPr>
          <w:p>
            <w:pPr>
              <w:spacing w:after="0"/>
              <w:jc w:val="center"/>
            </w:pPr>
            <w:r/>
            <w:r>
              <w:rPr>
                <w:rFonts w:ascii="Arial" w:hAnsi="Arial"/>
                <w:b w:val="0"/>
                <w:color w:val="222222"/>
                <w:sz w:val="16"/>
              </w:rPr>
              <w:t>Measured increment</w:t>
            </w:r>
          </w:p>
        </w:tc>
        <w:tc>
          <w:tcPr>
            <w:tcW w:type="dxa" w:w="5112"/>
            <w:vAlign w:val="center"/>
            <w:tcMar>
              <w:top w:w="90" w:type="dxa"/>
              <w:start w:w="110" w:type="dxa"/>
              <w:bottom w:w="90" w:type="dxa"/>
              <w:end w:w="110" w:type="dxa"/>
            </w:tcMar>
            <w:shd w:fill="F3F4F6"/>
          </w:tcPr>
          <w:p>
            <w:pPr>
              <w:spacing w:after="0"/>
              <w:jc w:val="left"/>
            </w:pPr>
            <w:r/>
            <w:r>
              <w:rPr>
                <w:rFonts w:ascii="Arial" w:hAnsi="Arial"/>
                <w:b w:val="0"/>
                <w:color w:val="222222"/>
                <w:sz w:val="16"/>
              </w:rPr>
              <w:t>~0.001460°/count</w:t>
            </w:r>
          </w:p>
        </w:tc>
      </w:tr>
    </w:tbl>
    <w:p>
      <w:r>
        <w:br w:type="page"/>
      </w:r>
    </w:p>
    <w:p>
      <w:pPr>
        <w:pStyle w:val="Heading1"/>
      </w:pPr>
      <w:r>
        <w:t>6. Host GUI and Live Operation</w:t>
      </w:r>
    </w:p>
    <w:p>
      <w:pPr>
        <w:keepNext/>
        <w:jc w:val="center"/>
      </w:pPr>
      <w:r>
        <w:drawing>
          <wp:inline xmlns:a="http://schemas.openxmlformats.org/drawingml/2006/main" xmlns:pic="http://schemas.openxmlformats.org/drawingml/2006/picture">
            <wp:extent cx="5897880" cy="3215760"/>
            <wp:docPr id="5" name="Picture 5"/>
            <wp:cNvGraphicFramePr>
              <a:graphicFrameLocks noChangeAspect="1"/>
            </wp:cNvGraphicFramePr>
            <a:graphic>
              <a:graphicData uri="http://schemas.openxmlformats.org/drawingml/2006/picture">
                <pic:pic>
                  <pic:nvPicPr>
                    <pic:cNvPr id="0" name="gui-active-test.png"/>
                    <pic:cNvPicPr/>
                  </pic:nvPicPr>
                  <pic:blipFill>
                    <a:blip r:embed="rId15"/>
                    <a:stretch>
                      <a:fillRect/>
                    </a:stretch>
                  </pic:blipFill>
                  <pic:spPr>
                    <a:xfrm>
                      <a:off x="0" y="0"/>
                      <a:ext cx="5897880" cy="3215760"/>
                    </a:xfrm>
                    <a:prstGeom prst="rect"/>
                  </pic:spPr>
                </pic:pic>
              </a:graphicData>
            </a:graphic>
          </wp:inline>
        </w:drawing>
      </w:r>
    </w:p>
    <w:p>
      <w:pPr>
        <w:spacing w:after="120"/>
        <w:jc w:val="center"/>
      </w:pPr>
      <w:r>
        <w:rPr>
          <w:rFonts w:ascii="Arial" w:hAnsi="Arial"/>
          <w:i/>
          <w:color w:val="555555"/>
          <w:sz w:val="16"/>
        </w:rPr>
        <w:t>Figure 5. Active host-target test showing live command, measured motion, encoder position/rate, status, and logging state.</w:t>
      </w:r>
    </w:p>
    <w:p>
      <w:pPr>
        <w:pStyle w:val="BodyText"/>
      </w:pPr>
      <w:r>
        <w:t>The GUI integrates connection management, command execution, test selection, live plots, file naming, logging state, and operator feedback. It provides one working surface for the embedded target rather than requiring separate serial terminals and analysis scripts.</w:t>
      </w:r>
    </w:p>
    <w:p>
      <w:pPr>
        <w:pStyle w:val="ListBullet"/>
      </w:pPr>
      <w:r>
        <w:t>Live command-versus-measured speed and encoder-position plots.</w:t>
      </w:r>
    </w:p>
    <w:p>
      <w:pPr>
        <w:pStyle w:val="ListBullet"/>
      </w:pPr>
      <w:r>
        <w:t>Raw encoder-rate visualization for diagnosing quantization and event timing.</w:t>
      </w:r>
    </w:p>
    <w:p>
      <w:pPr>
        <w:pStyle w:val="ListBullet"/>
      </w:pPr>
      <w:r>
        <w:t>Target status, test progression, connection state, and completion markers.</w:t>
      </w:r>
    </w:p>
    <w:p>
      <w:pPr>
        <w:pStyle w:val="ListBullet"/>
      </w:pPr>
      <w:r>
        <w:t>Automated filename generation, CSV capture, and separate metadata/comment retention.</w:t>
      </w:r>
    </w:p>
    <w:p>
      <w:pPr>
        <w:pStyle w:val="ListBullet"/>
      </w:pPr>
      <w:r>
        <w:t>Launch and supervision of tracking, static, step, Allan, and sine-response workflows.</w:t>
      </w:r>
    </w:p>
    <w:tbl>
      <w:tblPr>
        <w:tblW w:type="auto" w:w="0"/>
        <w:jc w:val="center"/>
        <w:tblLayout w:type="fixed"/>
        <w:tblLook w:firstColumn="1" w:firstRow="1" w:lastColumn="0" w:lastRow="0" w:noHBand="0" w:noVBand="1" w:val="04A0"/>
      </w:tblPr>
      <w:tblGrid>
        <w:gridCol w:w="9504"/>
      </w:tblGrid>
      <w:tr>
        <w:tc>
          <w:tcPr>
            <w:tcW w:type="dxa" w:w="10080"/>
            <w:shd w:fill="EAF2F8"/>
            <w:tcMar>
              <w:top w:w="150" w:type="dxa"/>
              <w:start w:w="180" w:type="dxa"/>
              <w:bottom w:w="150" w:type="dxa"/>
              <w:end w:w="180" w:type="dxa"/>
            </w:tcMar>
          </w:tcPr>
          <w:p>
            <w:pPr>
              <w:spacing w:after="60"/>
            </w:pPr>
            <w:r/>
            <w:r>
              <w:rPr>
                <w:rFonts w:ascii="Arial" w:hAnsi="Arial"/>
                <w:b/>
                <w:color w:val="C8102E"/>
                <w:sz w:val="17"/>
              </w:rPr>
              <w:t>DEMONSTRATION ASSET</w:t>
            </w:r>
          </w:p>
          <w:p>
            <w:pPr>
              <w:spacing w:after="0"/>
            </w:pPr>
            <w:r>
              <w:rPr>
                <w:rFonts w:ascii="Arial" w:hAnsi="Arial"/>
                <w:color w:val="222222"/>
                <w:sz w:val="19"/>
              </w:rPr>
              <w:t>The repository includes the host-target interface video showing a scripted physical test progressing through positive and negative motion while telemetry and plots update live.</w:t>
            </w:r>
          </w:p>
        </w:tc>
      </w:tr>
    </w:tbl>
    <w:p>
      <w:pPr>
        <w:spacing w:after="0"/>
      </w:pPr>
    </w:p>
    <w:p>
      <w:r>
        <w:br w:type="page"/>
      </w:r>
    </w:p>
    <w:p>
      <w:pPr>
        <w:pStyle w:val="Heading1"/>
      </w:pPr>
      <w:r>
        <w:t>7. Telemetry, Logging, and Recovery</w:t>
      </w:r>
    </w:p>
    <w:tbl>
      <w:tblPr>
        <w:tblW w:type="auto" w:w="0"/>
        <w:jc w:val="center"/>
        <w:tblLayout w:type="fixed"/>
        <w:tblLook w:firstColumn="1" w:firstRow="1" w:lastColumn="0" w:lastRow="0" w:noHBand="0" w:noVBand="1" w:val="04A0"/>
      </w:tblPr>
      <w:tblGrid>
        <w:gridCol w:w="2880"/>
        <w:gridCol w:w="6912"/>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Capability</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Implementation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Host transport</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115,200-baud serial</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Selectable output</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10, 20, 50, or 100 Hz requests</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Record schema</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24 timestamped CSV fields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Validation</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Header and row-width checks; malformed-row detection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Run completion</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Test-specific completion markers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Metadata</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Controller comments and run context stored separately</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Recovery</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Partial-run preservation after serial interruption</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Safety</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500 ms heartbeat and 2 s target deadman</w:t>
            </w:r>
          </w:p>
        </w:tc>
      </w:tr>
    </w:tbl>
    <w:p>
      <w:pPr>
        <w:pStyle w:val="Heading2"/>
      </w:pPr>
      <w:r>
        <w:t>7.1 Bandwidth result</w:t>
      </w:r>
    </w:p>
    <w:p>
      <w:pPr>
        <w:pStyle w:val="BodyText"/>
      </w:pPr>
      <w:r>
        <w:t>A 115,200-baud 8-N-1 link provides an idealized 11,520 payload bytes/s. Representative 24-field ASCII rows can approach 189 bytes, limiting sustained full-record output to roughly 50–60 rows/s. The 100 Hz selection therefore identifies the need for shorter records, binary framing, or a faster external transport; the internal shared-memory path remains independent of this bottleneck.</w:t>
      </w:r>
    </w:p>
    <w:tbl>
      <w:tblPr>
        <w:tblW w:type="auto" w:w="0"/>
        <w:jc w:val="center"/>
        <w:tblLayout w:type="fixed"/>
        <w:tblLook w:firstColumn="1" w:firstRow="1" w:lastColumn="0" w:lastRow="0" w:noHBand="0" w:noVBand="1" w:val="04A0"/>
      </w:tblPr>
      <w:tblGrid>
        <w:gridCol w:w="9504"/>
      </w:tblGrid>
      <w:tr>
        <w:tc>
          <w:tcPr>
            <w:tcW w:type="dxa" w:w="10080"/>
            <w:shd w:fill="E8F5E9"/>
            <w:tcMar>
              <w:top w:w="150" w:type="dxa"/>
              <w:start w:w="180" w:type="dxa"/>
              <w:bottom w:w="150" w:type="dxa"/>
              <w:end w:w="180" w:type="dxa"/>
            </w:tcMar>
          </w:tcPr>
          <w:p>
            <w:pPr>
              <w:spacing w:after="60"/>
            </w:pPr>
            <w:r/>
            <w:r>
              <w:rPr>
                <w:rFonts w:ascii="Arial" w:hAnsi="Arial"/>
                <w:b/>
                <w:color w:val="C8102E"/>
                <w:sz w:val="17"/>
              </w:rPr>
              <w:t>ARCHITECTURE BENEFIT</w:t>
            </w:r>
          </w:p>
          <w:p>
            <w:pPr>
              <w:spacing w:after="0"/>
            </w:pPr>
            <w:r>
              <w:rPr>
                <w:rFonts w:ascii="Arial" w:hAnsi="Arial"/>
                <w:color w:val="222222"/>
                <w:sz w:val="19"/>
              </w:rPr>
              <w:t>High-rate inter-core motion data uses AXI SRAM rather than the external serial link. The host interface can evolve without redesigning the M7–M4 data plane.</w:t>
            </w:r>
          </w:p>
        </w:tc>
      </w:tr>
    </w:tbl>
    <w:p>
      <w:pPr>
        <w:spacing w:after="0"/>
      </w:pPr>
    </w:p>
    <w:p>
      <w:r>
        <w:br w:type="page"/>
      </w:r>
    </w:p>
    <w:p>
      <w:pPr>
        <w:pStyle w:val="Heading1"/>
      </w:pPr>
      <w:r>
        <w:t>8. Automated Test Workflow</w:t>
      </w:r>
    </w:p>
    <w:p>
      <w:pPr>
        <w:keepNext/>
        <w:jc w:val="center"/>
      </w:pPr>
      <w:r>
        <w:drawing>
          <wp:inline xmlns:a="http://schemas.openxmlformats.org/drawingml/2006/main" xmlns:pic="http://schemas.openxmlformats.org/drawingml/2006/picture">
            <wp:extent cx="5715000" cy="3038884"/>
            <wp:docPr id="6" name="Picture 6"/>
            <wp:cNvGraphicFramePr>
              <a:graphicFrameLocks noChangeAspect="1"/>
            </wp:cNvGraphicFramePr>
            <a:graphic>
              <a:graphicData uri="http://schemas.openxmlformats.org/drawingml/2006/picture">
                <pic:pic>
                  <pic:nvPicPr>
                    <pic:cNvPr id="0" name="representative-test-sequences.png"/>
                    <pic:cNvPicPr/>
                  </pic:nvPicPr>
                  <pic:blipFill>
                    <a:blip r:embed="rId16"/>
                    <a:stretch>
                      <a:fillRect/>
                    </a:stretch>
                  </pic:blipFill>
                  <pic:spPr>
                    <a:xfrm>
                      <a:off x="0" y="0"/>
                      <a:ext cx="5715000" cy="3038884"/>
                    </a:xfrm>
                    <a:prstGeom prst="rect"/>
                  </pic:spPr>
                </pic:pic>
              </a:graphicData>
            </a:graphic>
          </wp:inline>
        </w:drawing>
      </w:r>
    </w:p>
    <w:p>
      <w:pPr>
        <w:spacing w:after="120"/>
        <w:jc w:val="center"/>
      </w:pPr>
      <w:r>
        <w:rPr>
          <w:rFonts w:ascii="Arial" w:hAnsi="Arial"/>
          <w:i/>
          <w:color w:val="555555"/>
          <w:sz w:val="16"/>
        </w:rPr>
        <w:t>Figure 6. Representative scripted test sequences generated and recorded through the target/host workflow.</w:t>
      </w:r>
    </w:p>
    <w:tbl>
      <w:tblPr>
        <w:tblW w:type="auto" w:w="0"/>
        <w:jc w:val="center"/>
        <w:tblLayout w:type="fixed"/>
        <w:tblLook w:firstColumn="1" w:firstRow="1" w:lastColumn="0" w:lastRow="0" w:noHBand="0" w:noVBand="1" w:val="04A0"/>
      </w:tblPr>
      <w:tblGrid>
        <w:gridCol w:w="2880"/>
        <w:gridCol w:w="6912"/>
      </w:tblGrid>
      <w:tr>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Workflow</w:t>
            </w:r>
          </w:p>
        </w:tc>
        <w:tc>
          <w:tcPr>
            <w:tcW w:type="dxa" w:w="5040"/>
            <w:vAlign w:val="center"/>
            <w:tcMar>
              <w:top w:w="90" w:type="dxa"/>
              <w:start w:w="110" w:type="dxa"/>
              <w:bottom w:w="90" w:type="dxa"/>
              <w:end w:w="110" w:type="dxa"/>
            </w:tcMar>
            <w:shd w:fill="1F4E79"/>
          </w:tcPr>
          <w:p>
            <w:pPr>
              <w:spacing w:after="0"/>
              <w:jc w:val="center"/>
            </w:pPr>
            <w:r/>
            <w:r>
              <w:rPr>
                <w:rFonts w:ascii="Arial" w:hAnsi="Arial"/>
                <w:b/>
                <w:color w:val="FFFFFF"/>
                <w:sz w:val="16"/>
              </w:rPr>
              <w:t>Configured execution</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Static hold</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50 Hz × 180 s or 100 Hz × 90 s; 9,000 records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Dynamic tracking</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100 Hz requested; 6,000 records per 60 s segment</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Step response</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Scripted command steps with rise, overshoot, settling, RMS, and peak-error analysis</w:t>
            </w:r>
          </w:p>
        </w:tc>
      </w:tr>
      <w:tr>
        <w:tc>
          <w:tcPr>
            <w:tcW w:type="dxa" w:w="2880"/>
            <w:vAlign w:val="center"/>
            <w:tcMar>
              <w:top w:w="90" w:type="dxa"/>
              <w:start w:w="110" w:type="dxa"/>
              <w:bottom w:w="90" w:type="dxa"/>
              <w:end w:w="110" w:type="dxa"/>
            </w:tcMar>
            <w:shd w:fill="F3F4F6"/>
          </w:tcPr>
          <w:p>
            <w:pPr>
              <w:spacing w:after="0"/>
              <w:jc w:val="center"/>
            </w:pPr>
            <w:r/>
            <w:r>
              <w:rPr>
                <w:rFonts w:ascii="Arial" w:hAnsi="Arial"/>
                <w:b w:val="0"/>
                <w:color w:val="222222"/>
                <w:sz w:val="16"/>
              </w:rPr>
              <w:t>Allan analysis</w:t>
            </w:r>
          </w:p>
        </w:tc>
        <w:tc>
          <w:tcPr>
            <w:tcW w:type="dxa" w:w="6912"/>
            <w:vAlign w:val="center"/>
            <w:tcMar>
              <w:top w:w="90" w:type="dxa"/>
              <w:start w:w="110" w:type="dxa"/>
              <w:bottom w:w="90" w:type="dxa"/>
              <w:end w:w="110" w:type="dxa"/>
            </w:tcMar>
            <w:shd w:fill="F3F4F6"/>
          </w:tcPr>
          <w:p>
            <w:pPr>
              <w:spacing w:after="0"/>
              <w:jc w:val="left"/>
            </w:pPr>
            <w:r/>
            <w:r>
              <w:rPr>
                <w:rFonts w:ascii="Arial" w:hAnsi="Arial"/>
                <w:b w:val="0"/>
                <w:color w:val="222222"/>
                <w:sz w:val="16"/>
              </w:rPr>
              <w:t>Static position and dynamic residual workflows</w:t>
            </w:r>
          </w:p>
        </w:tc>
      </w:tr>
      <w:tr>
        <w:tc>
          <w:tcPr>
            <w:tcW w:type="dxa" w:w="2880"/>
            <w:vAlign w:val="center"/>
            <w:tcMar>
              <w:top w:w="90" w:type="dxa"/>
              <w:start w:w="110" w:type="dxa"/>
              <w:bottom w:w="90" w:type="dxa"/>
              <w:end w:w="110" w:type="dxa"/>
            </w:tcMar>
            <w:shd w:fill="FFFFFF"/>
          </w:tcPr>
          <w:p>
            <w:pPr>
              <w:spacing w:after="0"/>
              <w:jc w:val="center"/>
            </w:pPr>
            <w:r/>
            <w:r>
              <w:rPr>
                <w:rFonts w:ascii="Arial" w:hAnsi="Arial"/>
                <w:b w:val="0"/>
                <w:color w:val="222222"/>
                <w:sz w:val="16"/>
              </w:rPr>
              <w:t>Sine response</w:t>
            </w:r>
          </w:p>
        </w:tc>
        <w:tc>
          <w:tcPr>
            <w:tcW w:type="dxa" w:w="6912"/>
            <w:vAlign w:val="center"/>
            <w:tcMar>
              <w:top w:w="90" w:type="dxa"/>
              <w:start w:w="110" w:type="dxa"/>
              <w:bottom w:w="90" w:type="dxa"/>
              <w:end w:w="110" w:type="dxa"/>
            </w:tcMar>
            <w:shd w:fill="FFFFFF"/>
          </w:tcPr>
          <w:p>
            <w:pPr>
              <w:spacing w:after="0"/>
              <w:jc w:val="left"/>
            </w:pPr>
            <w:r/>
            <w:r>
              <w:rPr>
                <w:rFonts w:ascii="Arial" w:hAnsi="Arial"/>
                <w:b w:val="0"/>
                <w:color w:val="222222"/>
                <w:sz w:val="16"/>
              </w:rPr>
              <w:t>Closed-loop command/actual response over approximately 0.33–2 Hz</w:t>
            </w:r>
          </w:p>
        </w:tc>
      </w:tr>
    </w:tbl>
    <w:p>
      <w:pPr>
        <w:pStyle w:val="BodyText"/>
      </w:pPr>
      <w:r>
        <w:t>Target-side sequencing keeps timing deterministic while the host application supervises, logs, validates, and postprocesses the resulting data.</w:t>
      </w:r>
    </w:p>
    <w:p>
      <w:r>
        <w:br w:type="page"/>
      </w:r>
    </w:p>
    <w:p>
      <w:pPr>
        <w:pStyle w:val="Heading1"/>
      </w:pPr>
      <w:r>
        <w:t>9. Low-Speed Tracking Results</w:t>
      </w:r>
    </w:p>
    <w:p>
      <w:pPr>
        <w:keepNext/>
        <w:jc w:val="center"/>
      </w:pPr>
      <w:r>
        <w:drawing>
          <wp:inline xmlns:a="http://schemas.openxmlformats.org/drawingml/2006/main" xmlns:pic="http://schemas.openxmlformats.org/drawingml/2006/picture">
            <wp:extent cx="5623560" cy="3163252"/>
            <wp:docPr id="7" name="Picture 7"/>
            <wp:cNvGraphicFramePr>
              <a:graphicFrameLocks noChangeAspect="1"/>
            </wp:cNvGraphicFramePr>
            <a:graphic>
              <a:graphicData uri="http://schemas.openxmlformats.org/drawingml/2006/picture">
                <pic:pic>
                  <pic:nvPicPr>
                    <pic:cNvPr id="0" name="256-microstep-low-speed-summary.png"/>
                    <pic:cNvPicPr/>
                  </pic:nvPicPr>
                  <pic:blipFill>
                    <a:blip r:embed="rId17"/>
                    <a:stretch>
                      <a:fillRect/>
                    </a:stretch>
                  </pic:blipFill>
                  <pic:spPr>
                    <a:xfrm>
                      <a:off x="0" y="0"/>
                      <a:ext cx="5623560" cy="3163252"/>
                    </a:xfrm>
                    <a:prstGeom prst="rect"/>
                  </pic:spPr>
                </pic:pic>
              </a:graphicData>
            </a:graphic>
          </wp:inline>
        </w:drawing>
      </w:r>
    </w:p>
    <w:p>
      <w:pPr>
        <w:spacing w:after="120"/>
        <w:jc w:val="center"/>
      </w:pPr>
      <w:r>
        <w:rPr>
          <w:rFonts w:ascii="Arial" w:hAnsi="Arial"/>
          <w:i/>
          <w:color w:val="555555"/>
          <w:sz w:val="16"/>
        </w:rPr>
        <w:t>Figure 7. Measured low-speed performance in the 256-microstep configuration.</w:t>
      </w:r>
    </w:p>
    <w:tbl>
      <w:tblPr>
        <w:tblW w:type="auto" w:w="0"/>
        <w:jc w:val="center"/>
        <w:tblLayout w:type="fixed"/>
        <w:tblLook w:firstColumn="1" w:firstRow="1" w:lastColumn="0" w:lastRow="0" w:noHBand="0" w:noVBand="1" w:val="04A0"/>
      </w:tblPr>
      <w:tblGrid>
        <w:gridCol w:w="2304"/>
        <w:gridCol w:w="2592"/>
        <w:gridCol w:w="4896"/>
      </w:tblGrid>
      <w:tr>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Command (deg/s)</w:t>
            </w:r>
          </w:p>
        </w:tc>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Measured (deg/s)</w:t>
            </w:r>
          </w:p>
        </w:tc>
        <w:tc>
          <w:tcPr>
            <w:tcW w:type="dxa" w:w="3360"/>
            <w:vAlign w:val="center"/>
            <w:tcMar>
              <w:top w:w="90" w:type="dxa"/>
              <w:start w:w="110" w:type="dxa"/>
              <w:bottom w:w="90" w:type="dxa"/>
              <w:end w:w="110" w:type="dxa"/>
            </w:tcMar>
            <w:shd w:fill="2E7D32"/>
          </w:tcPr>
          <w:p>
            <w:pPr>
              <w:spacing w:after="0"/>
              <w:jc w:val="center"/>
            </w:pPr>
            <w:r/>
            <w:r>
              <w:rPr>
                <w:rFonts w:ascii="Arial" w:hAnsi="Arial"/>
                <w:b/>
                <w:color w:val="FFFFFF"/>
                <w:sz w:val="16"/>
              </w:rPr>
              <w:t>Ratio / interpretation</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0.002</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0.001818</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0.909</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0.003</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0.003214</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1.071</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0.005</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0.004676</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0.935</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0.010</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0.008378</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0.838</w:t>
            </w:r>
          </w:p>
        </w:tc>
      </w:tr>
      <w:tr>
        <w:tc>
          <w:tcPr>
            <w:tcW w:type="dxa" w:w="2304"/>
            <w:vAlign w:val="center"/>
            <w:tcMar>
              <w:top w:w="90" w:type="dxa"/>
              <w:start w:w="110" w:type="dxa"/>
              <w:bottom w:w="90" w:type="dxa"/>
              <w:end w:w="110" w:type="dxa"/>
            </w:tcMar>
            <w:shd w:fill="FFFFFF"/>
          </w:tcPr>
          <w:p>
            <w:pPr>
              <w:spacing w:after="0"/>
              <w:jc w:val="center"/>
            </w:pPr>
            <w:r/>
            <w:r>
              <w:rPr>
                <w:rFonts w:ascii="Arial" w:hAnsi="Arial"/>
                <w:b w:val="0"/>
                <w:color w:val="222222"/>
                <w:sz w:val="16"/>
              </w:rPr>
              <w:t>0.050</w:t>
            </w:r>
          </w:p>
        </w:tc>
        <w:tc>
          <w:tcPr>
            <w:tcW w:type="dxa" w:w="2592"/>
            <w:vAlign w:val="center"/>
            <w:tcMar>
              <w:top w:w="90" w:type="dxa"/>
              <w:start w:w="110" w:type="dxa"/>
              <w:bottom w:w="90" w:type="dxa"/>
              <w:end w:w="110" w:type="dxa"/>
            </w:tcMar>
            <w:shd w:fill="FFFFFF"/>
          </w:tcPr>
          <w:p>
            <w:pPr>
              <w:spacing w:after="0"/>
              <w:jc w:val="left"/>
            </w:pPr>
            <w:r/>
            <w:r>
              <w:rPr>
                <w:rFonts w:ascii="Arial" w:hAnsi="Arial"/>
                <w:b w:val="0"/>
                <w:color w:val="222222"/>
                <w:sz w:val="16"/>
              </w:rPr>
              <w:t>~0.016</w:t>
            </w:r>
          </w:p>
        </w:tc>
        <w:tc>
          <w:tcPr>
            <w:tcW w:type="dxa" w:w="4896"/>
            <w:vAlign w:val="center"/>
            <w:tcMar>
              <w:top w:w="90" w:type="dxa"/>
              <w:start w:w="110" w:type="dxa"/>
              <w:bottom w:w="90" w:type="dxa"/>
              <w:end w:w="110" w:type="dxa"/>
            </w:tcMar>
            <w:shd w:fill="FFFFFF"/>
          </w:tcPr>
          <w:p>
            <w:pPr>
              <w:spacing w:after="0"/>
              <w:jc w:val="left"/>
            </w:pPr>
            <w:r/>
            <w:r>
              <w:rPr>
                <w:rFonts w:ascii="Arial" w:hAnsi="Arial"/>
                <w:b w:val="0"/>
                <w:color w:val="222222"/>
                <w:sz w:val="16"/>
              </w:rPr>
              <w:t>Configuration throughput ceiling</w:t>
            </w:r>
          </w:p>
        </w:tc>
      </w:tr>
      <w:tr>
        <w:tc>
          <w:tcPr>
            <w:tcW w:type="dxa" w:w="2304"/>
            <w:vAlign w:val="center"/>
            <w:tcMar>
              <w:top w:w="90" w:type="dxa"/>
              <w:start w:w="110" w:type="dxa"/>
              <w:bottom w:w="90" w:type="dxa"/>
              <w:end w:w="110" w:type="dxa"/>
            </w:tcMar>
            <w:shd w:fill="F3F4F6"/>
          </w:tcPr>
          <w:p>
            <w:pPr>
              <w:spacing w:after="0"/>
              <w:jc w:val="center"/>
            </w:pPr>
            <w:r/>
            <w:r>
              <w:rPr>
                <w:rFonts w:ascii="Arial" w:hAnsi="Arial"/>
                <w:b w:val="0"/>
                <w:color w:val="222222"/>
                <w:sz w:val="16"/>
              </w:rPr>
              <w:t>0.100</w:t>
            </w:r>
          </w:p>
        </w:tc>
        <w:tc>
          <w:tcPr>
            <w:tcW w:type="dxa" w:w="2592"/>
            <w:vAlign w:val="center"/>
            <w:tcMar>
              <w:top w:w="90" w:type="dxa"/>
              <w:start w:w="110" w:type="dxa"/>
              <w:bottom w:w="90" w:type="dxa"/>
              <w:end w:w="110" w:type="dxa"/>
            </w:tcMar>
            <w:shd w:fill="F3F4F6"/>
          </w:tcPr>
          <w:p>
            <w:pPr>
              <w:spacing w:after="0"/>
              <w:jc w:val="left"/>
            </w:pPr>
            <w:r/>
            <w:r>
              <w:rPr>
                <w:rFonts w:ascii="Arial" w:hAnsi="Arial"/>
                <w:b w:val="0"/>
                <w:color w:val="222222"/>
                <w:sz w:val="16"/>
              </w:rPr>
              <w:t>~0.016</w:t>
            </w:r>
          </w:p>
        </w:tc>
        <w:tc>
          <w:tcPr>
            <w:tcW w:type="dxa" w:w="4896"/>
            <w:vAlign w:val="center"/>
            <w:tcMar>
              <w:top w:w="90" w:type="dxa"/>
              <w:start w:w="110" w:type="dxa"/>
              <w:bottom w:w="90" w:type="dxa"/>
              <w:end w:w="110" w:type="dxa"/>
            </w:tcMar>
            <w:shd w:fill="F3F4F6"/>
          </w:tcPr>
          <w:p>
            <w:pPr>
              <w:spacing w:after="0"/>
              <w:jc w:val="left"/>
            </w:pPr>
            <w:r/>
            <w:r>
              <w:rPr>
                <w:rFonts w:ascii="Arial" w:hAnsi="Arial"/>
                <w:b w:val="0"/>
                <w:color w:val="222222"/>
                <w:sz w:val="16"/>
              </w:rPr>
              <w:t>Configuration throughput ceiling</w:t>
            </w:r>
          </w:p>
        </w:tc>
      </w:tr>
    </w:tbl>
    <w:tbl>
      <w:tblPr>
        <w:tblW w:type="auto" w:w="0"/>
        <w:jc w:val="center"/>
        <w:tblLayout w:type="fixed"/>
        <w:tblLook w:firstColumn="1" w:firstRow="1" w:lastColumn="0" w:lastRow="0" w:noHBand="0" w:noVBand="1" w:val="04A0"/>
      </w:tblPr>
      <w:tblGrid>
        <w:gridCol w:w="9504"/>
      </w:tblGrid>
      <w:tr>
        <w:tc>
          <w:tcPr>
            <w:tcW w:type="dxa" w:w="10080"/>
            <w:shd w:fill="E8F5E9"/>
            <w:tcMar>
              <w:top w:w="150" w:type="dxa"/>
              <w:start w:w="180" w:type="dxa"/>
              <w:bottom w:w="150" w:type="dxa"/>
              <w:end w:w="180" w:type="dxa"/>
            </w:tcMar>
          </w:tcPr>
          <w:p>
            <w:pPr>
              <w:spacing w:after="60"/>
            </w:pPr>
            <w:r/>
            <w:r>
              <w:rPr>
                <w:rFonts w:ascii="Arial" w:hAnsi="Arial"/>
                <w:b/>
                <w:color w:val="C8102E"/>
                <w:sz w:val="17"/>
              </w:rPr>
              <w:t>RESULT</w:t>
            </w:r>
          </w:p>
          <w:p>
            <w:pPr>
              <w:spacing w:after="0"/>
            </w:pPr>
            <w:r>
              <w:rPr>
                <w:rFonts w:ascii="Arial" w:hAnsi="Arial"/>
                <w:color w:val="222222"/>
                <w:sz w:val="19"/>
              </w:rPr>
              <w:t>The 256-microstep setup is an ultra-slow configuration. Best tracking occurred near 0.003–0.005°/s; faster commands plateaued near 0.016°/s and require a different microstep or pulse-rate configuration.</w:t>
            </w:r>
          </w:p>
        </w:tc>
      </w:tr>
    </w:tbl>
    <w:p>
      <w:pPr>
        <w:spacing w:after="0"/>
      </w:pPr>
    </w:p>
    <w:p>
      <w:r>
        <w:br w:type="page"/>
      </w:r>
    </w:p>
    <w:p>
      <w:pPr>
        <w:pStyle w:val="Heading1"/>
      </w:pPr>
      <w:r>
        <w:t>10. Constant-Speed and Step-Response Results</w:t>
      </w:r>
    </w:p>
    <w:p>
      <w:pPr>
        <w:keepNext/>
        <w:jc w:val="center"/>
      </w:pPr>
      <w:r>
        <w:drawing>
          <wp:inline xmlns:a="http://schemas.openxmlformats.org/drawingml/2006/main" xmlns:pic="http://schemas.openxmlformats.org/drawingml/2006/picture">
            <wp:extent cx="5669280" cy="4179987"/>
            <wp:docPr id="8" name="Picture 8"/>
            <wp:cNvGraphicFramePr>
              <a:graphicFrameLocks noChangeAspect="1"/>
            </wp:cNvGraphicFramePr>
            <a:graphic>
              <a:graphicData uri="http://schemas.openxmlformats.org/drawingml/2006/picture">
                <pic:pic>
                  <pic:nvPicPr>
                    <pic:cNvPr id="0" name="constant-speed-tracking-summary.png"/>
                    <pic:cNvPicPr/>
                  </pic:nvPicPr>
                  <pic:blipFill>
                    <a:blip r:embed="rId18"/>
                    <a:stretch>
                      <a:fillRect/>
                    </a:stretch>
                  </pic:blipFill>
                  <pic:spPr>
                    <a:xfrm>
                      <a:off x="0" y="0"/>
                      <a:ext cx="5669280" cy="4179987"/>
                    </a:xfrm>
                    <a:prstGeom prst="rect"/>
                  </pic:spPr>
                </pic:pic>
              </a:graphicData>
            </a:graphic>
          </wp:inline>
        </w:drawing>
      </w:r>
    </w:p>
    <w:p>
      <w:pPr>
        <w:spacing w:after="120"/>
        <w:jc w:val="center"/>
      </w:pPr>
      <w:r>
        <w:rPr>
          <w:rFonts w:ascii="Arial" w:hAnsi="Arial"/>
          <w:i/>
          <w:color w:val="555555"/>
          <w:sz w:val="16"/>
        </w:rPr>
        <w:t>Figure 8. Representative constant-speed command and measured-motion tracking.</w:t>
      </w:r>
    </w:p>
    <w:p>
      <w:pPr>
        <w:keepNext/>
        <w:jc w:val="center"/>
      </w:pPr>
      <w:r>
        <w:drawing>
          <wp:inline xmlns:a="http://schemas.openxmlformats.org/drawingml/2006/main" xmlns:pic="http://schemas.openxmlformats.org/drawingml/2006/picture">
            <wp:extent cx="5669280" cy="3925312"/>
            <wp:docPr id="9" name="Picture 9"/>
            <wp:cNvGraphicFramePr>
              <a:graphicFrameLocks noChangeAspect="1"/>
            </wp:cNvGraphicFramePr>
            <a:graphic>
              <a:graphicData uri="http://schemas.openxmlformats.org/drawingml/2006/picture">
                <pic:pic>
                  <pic:nvPicPr>
                    <pic:cNvPr id="0" name="step-response-summary.png"/>
                    <pic:cNvPicPr/>
                  </pic:nvPicPr>
                  <pic:blipFill>
                    <a:blip r:embed="rId19"/>
                    <a:stretch>
                      <a:fillRect/>
                    </a:stretch>
                  </pic:blipFill>
                  <pic:spPr>
                    <a:xfrm>
                      <a:off x="0" y="0"/>
                      <a:ext cx="5669280" cy="3925312"/>
                    </a:xfrm>
                    <a:prstGeom prst="rect"/>
                  </pic:spPr>
                </pic:pic>
              </a:graphicData>
            </a:graphic>
          </wp:inline>
        </w:drawing>
      </w:r>
    </w:p>
    <w:p>
      <w:pPr>
        <w:spacing w:after="120"/>
        <w:jc w:val="center"/>
      </w:pPr>
      <w:r>
        <w:rPr>
          <w:rFonts w:ascii="Arial" w:hAnsi="Arial"/>
          <w:i/>
          <w:color w:val="555555"/>
          <w:sz w:val="16"/>
        </w:rPr>
        <w:t>Figure 9. Representative scripted step-response characterization.</w:t>
      </w:r>
    </w:p>
    <w:p>
      <w:pPr>
        <w:pStyle w:val="BodyText"/>
      </w:pPr>
      <w:r>
        <w:t>These results demonstrate that the embedded sequencing, timestamped acquisition, host logging, and analysis pipeline operated together on the physical platform. Step metrics are computed from retained records rather than from GUI rendering timestamps.</w:t>
      </w:r>
    </w:p>
    <w:p>
      <w:r>
        <w:br w:type="page"/>
      </w:r>
    </w:p>
    <w:p>
      <w:pPr>
        <w:pStyle w:val="Heading1"/>
      </w:pPr>
      <w:r>
        <w:t>11. Closed-Loop Frequency-Response Results</w:t>
      </w:r>
    </w:p>
    <w:p>
      <w:pPr>
        <w:keepNext/>
        <w:jc w:val="center"/>
      </w:pPr>
      <w:r>
        <w:drawing>
          <wp:inline xmlns:a="http://schemas.openxmlformats.org/drawingml/2006/main" xmlns:pic="http://schemas.openxmlformats.org/drawingml/2006/picture">
            <wp:extent cx="5715000" cy="4146724"/>
            <wp:docPr id="10" name="Picture 10"/>
            <wp:cNvGraphicFramePr>
              <a:graphicFrameLocks noChangeAspect="1"/>
            </wp:cNvGraphicFramePr>
            <a:graphic>
              <a:graphicData uri="http://schemas.openxmlformats.org/drawingml/2006/picture">
                <pic:pic>
                  <pic:nvPicPr>
                    <pic:cNvPr id="0" name="closed-loop-frequency-response.png"/>
                    <pic:cNvPicPr/>
                  </pic:nvPicPr>
                  <pic:blipFill>
                    <a:blip r:embed="rId20"/>
                    <a:stretch>
                      <a:fillRect/>
                    </a:stretch>
                  </pic:blipFill>
                  <pic:spPr>
                    <a:xfrm>
                      <a:off x="0" y="0"/>
                      <a:ext cx="5715000" cy="4146724"/>
                    </a:xfrm>
                    <a:prstGeom prst="rect"/>
                  </pic:spPr>
                </pic:pic>
              </a:graphicData>
            </a:graphic>
          </wp:inline>
        </w:drawing>
      </w:r>
    </w:p>
    <w:p>
      <w:pPr>
        <w:spacing w:after="120"/>
        <w:jc w:val="center"/>
      </w:pPr>
      <w:r>
        <w:rPr>
          <w:rFonts w:ascii="Arial" w:hAnsi="Arial"/>
          <w:i/>
          <w:color w:val="555555"/>
          <w:sz w:val="16"/>
        </w:rPr>
        <w:t>Figure 10. Closed-loop actual/command response over the tested sine-response range.</w:t>
      </w:r>
    </w:p>
    <w:p>
      <w:pPr>
        <w:pStyle w:val="BodyText"/>
      </w:pPr>
      <w:r>
        <w:t>The workflow estimates gain and phase of measured motion relative to the commanded trajectory. It is a closed-loop response characterization, not a claim of open-loop plant identification or formal phase-margin measurement.</w:t>
      </w:r>
    </w:p>
    <w:tbl>
      <w:tblPr>
        <w:tblW w:type="auto" w:w="0"/>
        <w:jc w:val="center"/>
        <w:tblLayout w:type="fixed"/>
        <w:tblLook w:firstColumn="1" w:firstRow="1" w:lastColumn="0" w:lastRow="0" w:noHBand="0" w:noVBand="1" w:val="04A0"/>
      </w:tblPr>
      <w:tblGrid>
        <w:gridCol w:w="9504"/>
      </w:tblGrid>
      <w:tr>
        <w:tc>
          <w:tcPr>
            <w:tcW w:type="dxa" w:w="10080"/>
            <w:shd w:fill="FFF3E0"/>
            <w:tcMar>
              <w:top w:w="150" w:type="dxa"/>
              <w:start w:w="180" w:type="dxa"/>
              <w:bottom w:w="150" w:type="dxa"/>
              <w:end w:w="180" w:type="dxa"/>
            </w:tcMar>
          </w:tcPr>
          <w:p>
            <w:pPr>
              <w:spacing w:after="60"/>
            </w:pPr>
            <w:r/>
            <w:r>
              <w:rPr>
                <w:rFonts w:ascii="Arial" w:hAnsi="Arial"/>
                <w:b/>
                <w:color w:val="C8102E"/>
                <w:sz w:val="17"/>
              </w:rPr>
              <w:t>EVIDENCE SCOPE</w:t>
            </w:r>
          </w:p>
          <w:p>
            <w:pPr>
              <w:spacing w:after="0"/>
            </w:pPr>
            <w:r>
              <w:rPr>
                <w:rFonts w:ascii="Arial" w:hAnsi="Arial"/>
                <w:color w:val="222222"/>
                <w:sz w:val="19"/>
              </w:rPr>
              <w:t>The tested points span approximately 0.33–2 Hz. A precise interpolated −3 dB bandwidth is not claimed unless a validated crossing is present in the retained dataset.</w:t>
            </w:r>
          </w:p>
        </w:tc>
      </w:tr>
    </w:tbl>
    <w:p>
      <w:pPr>
        <w:spacing w:after="0"/>
      </w:pPr>
    </w:p>
    <w:p>
      <w:r>
        <w:br w:type="page"/>
      </w:r>
    </w:p>
    <w:p>
      <w:pPr>
        <w:pStyle w:val="Heading1"/>
      </w:pPr>
      <w:r>
        <w:t>12. Delivered Software Capabilities</w:t>
      </w:r>
    </w:p>
    <w:tbl>
      <w:tblPr>
        <w:tblW w:type="auto" w:w="0"/>
        <w:jc w:val="center"/>
        <w:tblLayout w:type="fixed"/>
        <w:tblLook w:firstColumn="1" w:firstRow="1" w:lastColumn="0" w:lastRow="0" w:noHBand="0" w:noVBand="1" w:val="04A0"/>
      </w:tblPr>
      <w:tblGrid>
        <w:gridCol w:w="2448"/>
        <w:gridCol w:w="7344"/>
      </w:tblGrid>
      <w:tr>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Layer</w:t>
            </w:r>
          </w:p>
        </w:tc>
        <w:tc>
          <w:tcPr>
            <w:tcW w:type="dxa" w:w="5040"/>
            <w:vAlign w:val="center"/>
            <w:tcMar>
              <w:top w:w="90" w:type="dxa"/>
              <w:start w:w="110" w:type="dxa"/>
              <w:bottom w:w="90" w:type="dxa"/>
              <w:end w:w="110" w:type="dxa"/>
            </w:tcMar>
            <w:shd w:fill="C8102E"/>
          </w:tcPr>
          <w:p>
            <w:pPr>
              <w:spacing w:after="0"/>
              <w:jc w:val="center"/>
            </w:pPr>
            <w:r/>
            <w:r>
              <w:rPr>
                <w:rFonts w:ascii="Arial" w:hAnsi="Arial"/>
                <w:b/>
                <w:color w:val="FFFFFF"/>
                <w:sz w:val="16"/>
              </w:rPr>
              <w:t>Delivered capability</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6"/>
              </w:rPr>
              <w:t>Dual-core firmware</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6"/>
              </w:rPr>
              <w:t>OpenAMP/RPMsg coordination, shared-memory ring, HSEM startup, coherency policy, sequence/drop/fault accounting</w:t>
            </w:r>
          </w:p>
        </w:tc>
      </w:tr>
      <w:tr>
        <w:tc>
          <w:tcPr>
            <w:tcW w:type="dxa" w:w="2448"/>
            <w:vAlign w:val="center"/>
            <w:tcMar>
              <w:top w:w="90" w:type="dxa"/>
              <w:start w:w="110" w:type="dxa"/>
              <w:bottom w:w="90" w:type="dxa"/>
              <w:end w:w="110" w:type="dxa"/>
            </w:tcMar>
            <w:shd w:fill="F3F4F6"/>
          </w:tcPr>
          <w:p>
            <w:pPr>
              <w:spacing w:after="0"/>
              <w:jc w:val="center"/>
            </w:pPr>
            <w:r/>
            <w:r>
              <w:rPr>
                <w:rFonts w:ascii="Arial" w:hAnsi="Arial"/>
                <w:b w:val="0"/>
                <w:color w:val="222222"/>
                <w:sz w:val="16"/>
              </w:rPr>
              <w:t>Motion firmware</w:t>
            </w:r>
          </w:p>
        </w:tc>
        <w:tc>
          <w:tcPr>
            <w:tcW w:type="dxa" w:w="7344"/>
            <w:vAlign w:val="center"/>
            <w:tcMar>
              <w:top w:w="90" w:type="dxa"/>
              <w:start w:w="110" w:type="dxa"/>
              <w:bottom w:w="90" w:type="dxa"/>
              <w:end w:w="110" w:type="dxa"/>
            </w:tcMar>
            <w:shd w:fill="F3F4F6"/>
          </w:tcPr>
          <w:p>
            <w:pPr>
              <w:spacing w:after="0"/>
              <w:jc w:val="left"/>
            </w:pPr>
            <w:r/>
            <w:r>
              <w:rPr>
                <w:rFonts w:ascii="Arial" w:hAnsi="Arial"/>
                <w:b w:val="0"/>
                <w:color w:val="222222"/>
                <w:sz w:val="16"/>
              </w:rPr>
              <w:t>Pulse generation, encoder capture, correction, automated sequencing, heartbeat, deadman, and overrun monitoring</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6"/>
              </w:rPr>
              <w:t>Host application</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6"/>
              </w:rPr>
              <w:t>Connection, command execution, live plotting, test orchestration, logging, metadata, and recovery</w:t>
            </w:r>
          </w:p>
        </w:tc>
      </w:tr>
      <w:tr>
        <w:tc>
          <w:tcPr>
            <w:tcW w:type="dxa" w:w="2448"/>
            <w:vAlign w:val="center"/>
            <w:tcMar>
              <w:top w:w="90" w:type="dxa"/>
              <w:start w:w="110" w:type="dxa"/>
              <w:bottom w:w="90" w:type="dxa"/>
              <w:end w:w="110" w:type="dxa"/>
            </w:tcMar>
            <w:shd w:fill="F3F4F6"/>
          </w:tcPr>
          <w:p>
            <w:pPr>
              <w:spacing w:after="0"/>
              <w:jc w:val="center"/>
            </w:pPr>
            <w:r/>
            <w:r>
              <w:rPr>
                <w:rFonts w:ascii="Arial" w:hAnsi="Arial"/>
                <w:b w:val="0"/>
                <w:color w:val="222222"/>
                <w:sz w:val="16"/>
              </w:rPr>
              <w:t>Analysis</w:t>
            </w:r>
          </w:p>
        </w:tc>
        <w:tc>
          <w:tcPr>
            <w:tcW w:type="dxa" w:w="7344"/>
            <w:vAlign w:val="center"/>
            <w:tcMar>
              <w:top w:w="90" w:type="dxa"/>
              <w:start w:w="110" w:type="dxa"/>
              <w:bottom w:w="90" w:type="dxa"/>
              <w:end w:w="110" w:type="dxa"/>
            </w:tcMar>
            <w:shd w:fill="F3F4F6"/>
          </w:tcPr>
          <w:p>
            <w:pPr>
              <w:spacing w:after="0"/>
              <w:jc w:val="left"/>
            </w:pPr>
            <w:r/>
            <w:r>
              <w:rPr>
                <w:rFonts w:ascii="Arial" w:hAnsi="Arial"/>
                <w:b w:val="0"/>
                <w:color w:val="222222"/>
                <w:sz w:val="16"/>
              </w:rPr>
              <w:t>Low-speed, tracking, step response, Allan deviation, and closed-loop sine-response processing</w:t>
            </w:r>
          </w:p>
        </w:tc>
      </w:tr>
      <w:tr>
        <w:tc>
          <w:tcPr>
            <w:tcW w:type="dxa" w:w="2448"/>
            <w:vAlign w:val="center"/>
            <w:tcMar>
              <w:top w:w="90" w:type="dxa"/>
              <w:start w:w="110" w:type="dxa"/>
              <w:bottom w:w="90" w:type="dxa"/>
              <w:end w:w="110" w:type="dxa"/>
            </w:tcMar>
            <w:shd w:fill="FFFFFF"/>
          </w:tcPr>
          <w:p>
            <w:pPr>
              <w:spacing w:after="0"/>
              <w:jc w:val="center"/>
            </w:pPr>
            <w:r/>
            <w:r>
              <w:rPr>
                <w:rFonts w:ascii="Arial" w:hAnsi="Arial"/>
                <w:b w:val="0"/>
                <w:color w:val="222222"/>
                <w:sz w:val="16"/>
              </w:rPr>
              <w:t>Documentation</w:t>
            </w:r>
          </w:p>
        </w:tc>
        <w:tc>
          <w:tcPr>
            <w:tcW w:type="dxa" w:w="7344"/>
            <w:vAlign w:val="center"/>
            <w:tcMar>
              <w:top w:w="90" w:type="dxa"/>
              <w:start w:w="110" w:type="dxa"/>
              <w:bottom w:w="90" w:type="dxa"/>
              <w:end w:w="110" w:type="dxa"/>
            </w:tcMar>
            <w:shd w:fill="FFFFFF"/>
          </w:tcPr>
          <w:p>
            <w:pPr>
              <w:spacing w:after="0"/>
              <w:jc w:val="left"/>
            </w:pPr>
            <w:r/>
            <w:r>
              <w:rPr>
                <w:rFonts w:ascii="Arial" w:hAnsi="Arial"/>
                <w:b w:val="0"/>
                <w:color w:val="222222"/>
                <w:sz w:val="16"/>
              </w:rPr>
              <w:t>Architecture diagrams, FRDs, selected source excerpts, videos, plots, and public repository</w:t>
            </w:r>
          </w:p>
        </w:tc>
      </w:tr>
    </w:tbl>
    <w:p>
      <w:pPr>
        <w:pStyle w:val="Heading1"/>
      </w:pPr>
      <w:r>
        <w:t>13. Limitations and Release Actions</w:t>
      </w:r>
    </w:p>
    <w:tbl>
      <w:tblPr>
        <w:tblW w:type="auto" w:w="0"/>
        <w:jc w:val="center"/>
        <w:tblLayout w:type="fixed"/>
        <w:tblLook w:firstColumn="1" w:firstRow="1" w:lastColumn="0" w:lastRow="0" w:noHBand="0" w:noVBand="1" w:val="04A0"/>
      </w:tblPr>
      <w:tblGrid>
        <w:gridCol w:w="2232"/>
        <w:gridCol w:w="7560"/>
      </w:tblGrid>
      <w:tr>
        <w:tc>
          <w:tcPr>
            <w:tcW w:type="dxa" w:w="5040"/>
            <w:vAlign w:val="center"/>
            <w:tcMar>
              <w:top w:w="90" w:type="dxa"/>
              <w:start w:w="110" w:type="dxa"/>
              <w:bottom w:w="90" w:type="dxa"/>
              <w:end w:w="110" w:type="dxa"/>
            </w:tcMar>
            <w:shd w:fill="A65E00"/>
          </w:tcPr>
          <w:p>
            <w:pPr>
              <w:spacing w:after="0"/>
              <w:jc w:val="center"/>
            </w:pPr>
            <w:r/>
            <w:r>
              <w:rPr>
                <w:rFonts w:ascii="Arial" w:hAnsi="Arial"/>
                <w:b/>
                <w:color w:val="FFFFFF"/>
                <w:sz w:val="16"/>
              </w:rPr>
              <w:t>Item</w:t>
            </w:r>
          </w:p>
        </w:tc>
        <w:tc>
          <w:tcPr>
            <w:tcW w:type="dxa" w:w="5040"/>
            <w:vAlign w:val="center"/>
            <w:tcMar>
              <w:top w:w="90" w:type="dxa"/>
              <w:start w:w="110" w:type="dxa"/>
              <w:bottom w:w="90" w:type="dxa"/>
              <w:end w:w="110" w:type="dxa"/>
            </w:tcMar>
            <w:shd w:fill="A65E00"/>
          </w:tcPr>
          <w:p>
            <w:pPr>
              <w:spacing w:after="0"/>
              <w:jc w:val="center"/>
            </w:pPr>
            <w:r/>
            <w:r>
              <w:rPr>
                <w:rFonts w:ascii="Arial" w:hAnsi="Arial"/>
                <w:b/>
                <w:color w:val="FFFFFF"/>
                <w:sz w:val="16"/>
              </w:rPr>
              <w:t>Controlled statement</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Ring allocation</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Reduce capacity to 4,095 or reserve more than 256 KiB.</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6"/>
              </w:rPr>
              <w:t>Integrated build</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6"/>
              </w:rPr>
              <w:t>Tag and preserve one release binary/build proving final module integration.</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IPC timing</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Instrument end-to-end latency and worst-case jitter.</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6"/>
              </w:rPr>
              <w:t>External telemetry</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6"/>
              </w:rPr>
              <w:t>Use binary framing or faster transport for sustained 100 Hz full records.</w:t>
            </w:r>
          </w:p>
        </w:tc>
      </w:tr>
      <w:tr>
        <w:tc>
          <w:tcPr>
            <w:tcW w:type="dxa" w:w="2232"/>
            <w:vAlign w:val="center"/>
            <w:tcMar>
              <w:top w:w="90" w:type="dxa"/>
              <w:start w:w="110" w:type="dxa"/>
              <w:bottom w:w="90" w:type="dxa"/>
              <w:end w:w="110" w:type="dxa"/>
            </w:tcMar>
            <w:shd w:fill="FFFFFF"/>
          </w:tcPr>
          <w:p>
            <w:pPr>
              <w:spacing w:after="0"/>
              <w:jc w:val="center"/>
            </w:pPr>
            <w:r/>
            <w:r>
              <w:rPr>
                <w:rFonts w:ascii="Arial" w:hAnsi="Arial"/>
                <w:b w:val="0"/>
                <w:color w:val="222222"/>
                <w:sz w:val="16"/>
              </w:rPr>
              <w:t>Power</w:t>
            </w:r>
          </w:p>
        </w:tc>
        <w:tc>
          <w:tcPr>
            <w:tcW w:type="dxa" w:w="7560"/>
            <w:vAlign w:val="center"/>
            <w:tcMar>
              <w:top w:w="90" w:type="dxa"/>
              <w:start w:w="110" w:type="dxa"/>
              <w:bottom w:w="90" w:type="dxa"/>
              <w:end w:w="110" w:type="dxa"/>
            </w:tcMar>
            <w:shd w:fill="FFFFFF"/>
          </w:tcPr>
          <w:p>
            <w:pPr>
              <w:spacing w:after="0"/>
              <w:jc w:val="left"/>
            </w:pPr>
            <w:r/>
            <w:r>
              <w:rPr>
                <w:rFonts w:ascii="Arial" w:hAnsi="Arial"/>
                <w:b w:val="0"/>
                <w:color w:val="222222"/>
                <w:sz w:val="16"/>
              </w:rPr>
              <w:t>Measure idle, steady-state, and peak electrical power.</w:t>
            </w:r>
          </w:p>
        </w:tc>
      </w:tr>
      <w:tr>
        <w:tc>
          <w:tcPr>
            <w:tcW w:type="dxa" w:w="2232"/>
            <w:vAlign w:val="center"/>
            <w:tcMar>
              <w:top w:w="90" w:type="dxa"/>
              <w:start w:w="110" w:type="dxa"/>
              <w:bottom w:w="90" w:type="dxa"/>
              <w:end w:w="110" w:type="dxa"/>
            </w:tcMar>
            <w:shd w:fill="F3F4F6"/>
          </w:tcPr>
          <w:p>
            <w:pPr>
              <w:spacing w:after="0"/>
              <w:jc w:val="center"/>
            </w:pPr>
            <w:r/>
            <w:r>
              <w:rPr>
                <w:rFonts w:ascii="Arial" w:hAnsi="Arial"/>
                <w:b w:val="0"/>
                <w:color w:val="222222"/>
                <w:sz w:val="16"/>
              </w:rPr>
              <w:t>Reliability</w:t>
            </w:r>
          </w:p>
        </w:tc>
        <w:tc>
          <w:tcPr>
            <w:tcW w:type="dxa" w:w="7560"/>
            <w:vAlign w:val="center"/>
            <w:tcMar>
              <w:top w:w="90" w:type="dxa"/>
              <w:start w:w="110" w:type="dxa"/>
              <w:bottom w:w="90" w:type="dxa"/>
              <w:end w:w="110" w:type="dxa"/>
            </w:tcMar>
            <w:shd w:fill="F3F4F6"/>
          </w:tcPr>
          <w:p>
            <w:pPr>
              <w:spacing w:after="0"/>
              <w:jc w:val="left"/>
            </w:pPr>
            <w:r/>
            <w:r>
              <w:rPr>
                <w:rFonts w:ascii="Arial" w:hAnsi="Arial"/>
                <w:b w:val="0"/>
                <w:color w:val="222222"/>
                <w:sz w:val="16"/>
              </w:rPr>
              <w:t>Mechanisms are present; no MTBF percentage is claimed.</w:t>
            </w:r>
          </w:p>
        </w:tc>
      </w:tr>
    </w:tbl>
    <w:p>
      <w:pPr>
        <w:pStyle w:val="Heading1"/>
      </w:pPr>
      <w:r>
        <w:t>14. Attribution and Revision Control</w:t>
      </w:r>
    </w:p>
    <w:p>
      <w:pPr>
        <w:pStyle w:val="BodyText"/>
      </w:pPr>
      <w:r>
        <w:t>Herder Elektronische Systemen developed the dual-core firmware architecture, motion-control integration, host software, logging and analysis workflows, interface electronics, and customer-facing documentation represented here. No third-party affiliation or endorsement is claimed.</w:t>
      </w:r>
    </w:p>
    <w:tbl>
      <w:tblPr>
        <w:tblW w:type="auto" w:w="0"/>
        <w:jc w:val="center"/>
        <w:tblLayout w:type="fixed"/>
        <w:tblLook w:firstColumn="1" w:firstRow="1" w:lastColumn="0" w:lastRow="0" w:noHBand="0" w:noVBand="1" w:val="04A0"/>
      </w:tblPr>
      <w:tblGrid>
        <w:gridCol w:w="1008"/>
        <w:gridCol w:w="1584"/>
        <w:gridCol w:w="7200"/>
      </w:tblGrid>
      <w:tr>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Rev</w:t>
            </w:r>
          </w:p>
        </w:tc>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Date</w:t>
            </w:r>
          </w:p>
        </w:tc>
        <w:tc>
          <w:tcPr>
            <w:tcW w:type="dxa" w:w="3360"/>
            <w:vAlign w:val="center"/>
            <w:tcMar>
              <w:top w:w="90" w:type="dxa"/>
              <w:start w:w="110" w:type="dxa"/>
              <w:bottom w:w="90" w:type="dxa"/>
              <w:end w:w="110" w:type="dxa"/>
            </w:tcMar>
            <w:shd w:fill="222222"/>
          </w:tcPr>
          <w:p>
            <w:pPr>
              <w:spacing w:after="0"/>
              <w:jc w:val="center"/>
            </w:pPr>
            <w:r/>
            <w:r>
              <w:rPr>
                <w:rFonts w:ascii="Arial" w:hAnsi="Arial"/>
                <w:b/>
                <w:color w:val="FFFFFF"/>
                <w:sz w:val="16"/>
              </w:rPr>
              <w:t>Description</w:t>
            </w:r>
          </w:p>
        </w:tc>
      </w:tr>
      <w:tr>
        <w:tc>
          <w:tcPr>
            <w:tcW w:type="dxa" w:w="1008"/>
            <w:vAlign w:val="center"/>
            <w:tcMar>
              <w:top w:w="90" w:type="dxa"/>
              <w:start w:w="110" w:type="dxa"/>
              <w:bottom w:w="90" w:type="dxa"/>
              <w:end w:w="110" w:type="dxa"/>
            </w:tcMar>
            <w:shd w:fill="FFFFFF"/>
          </w:tcPr>
          <w:p>
            <w:pPr>
              <w:spacing w:after="0"/>
              <w:jc w:val="center"/>
            </w:pPr>
            <w:r/>
            <w:r>
              <w:rPr>
                <w:rFonts w:ascii="Arial" w:hAnsi="Arial"/>
                <w:b w:val="0"/>
                <w:color w:val="222222"/>
                <w:sz w:val="16"/>
              </w:rPr>
              <w:t>2.4</w:t>
            </w:r>
          </w:p>
        </w:tc>
        <w:tc>
          <w:tcPr>
            <w:tcW w:type="dxa" w:w="1584"/>
            <w:vAlign w:val="center"/>
            <w:tcMar>
              <w:top w:w="90" w:type="dxa"/>
              <w:start w:w="110" w:type="dxa"/>
              <w:bottom w:w="90" w:type="dxa"/>
              <w:end w:w="110" w:type="dxa"/>
            </w:tcMar>
            <w:shd w:fill="FFFFFF"/>
          </w:tcPr>
          <w:p>
            <w:pPr>
              <w:spacing w:after="0"/>
              <w:jc w:val="left"/>
            </w:pPr>
            <w:r/>
            <w:r>
              <w:rPr>
                <w:rFonts w:ascii="Arial" w:hAnsi="Arial"/>
                <w:b w:val="0"/>
                <w:color w:val="222222"/>
                <w:sz w:val="16"/>
              </w:rPr>
              <w:t>2026-08-03</w:t>
            </w:r>
          </w:p>
        </w:tc>
        <w:tc>
          <w:tcPr>
            <w:tcW w:type="dxa" w:w="7200"/>
            <w:vAlign w:val="center"/>
            <w:tcMar>
              <w:top w:w="90" w:type="dxa"/>
              <w:start w:w="110" w:type="dxa"/>
              <w:bottom w:w="90" w:type="dxa"/>
              <w:end w:w="110" w:type="dxa"/>
            </w:tcMar>
            <w:shd w:fill="FFFFFF"/>
          </w:tcPr>
          <w:p>
            <w:pPr>
              <w:spacing w:after="0"/>
              <w:jc w:val="left"/>
            </w:pPr>
            <w:r/>
            <w:r>
              <w:rPr>
                <w:rFonts w:ascii="Arial" w:hAnsi="Arial"/>
                <w:b w:val="0"/>
                <w:color w:val="222222"/>
                <w:sz w:val="16"/>
              </w:rPr>
              <w:t>Complete firmware/software report integrating dual-core architecture, GUI, telemetry, reliability behavior, automated workflows, and measured results.</w:t>
            </w:r>
          </w:p>
        </w:tc>
      </w:tr>
    </w:tbl>
    <w:tbl>
      <w:tblPr>
        <w:tblW w:type="auto" w:w="0"/>
        <w:jc w:val="center"/>
        <w:tblLayout w:type="fixed"/>
        <w:tblLook w:firstColumn="1" w:firstRow="1" w:lastColumn="0" w:lastRow="0" w:noHBand="0" w:noVBand="1" w:val="04A0"/>
      </w:tblPr>
      <w:tblGrid>
        <w:gridCol w:w="9504"/>
      </w:tblGrid>
      <w:tr>
        <w:tc>
          <w:tcPr>
            <w:tcW w:type="dxa" w:w="10080"/>
            <w:shd w:fill="F3F4F6"/>
            <w:tcMar>
              <w:top w:w="150" w:type="dxa"/>
              <w:start w:w="180" w:type="dxa"/>
              <w:bottom w:w="150" w:type="dxa"/>
              <w:end w:w="180" w:type="dxa"/>
            </w:tcMar>
          </w:tcPr>
          <w:p>
            <w:pPr>
              <w:spacing w:after="60"/>
            </w:pPr>
            <w:r/>
            <w:r>
              <w:rPr>
                <w:rFonts w:ascii="Arial" w:hAnsi="Arial"/>
                <w:b/>
                <w:color w:val="C8102E"/>
                <w:sz w:val="17"/>
              </w:rPr>
              <w:t>RELEASE GATE</w:t>
            </w:r>
          </w:p>
          <w:p>
            <w:pPr>
              <w:spacing w:after="0"/>
            </w:pPr>
            <w:r>
              <w:rPr>
                <w:rFonts w:ascii="Arial" w:hAnsi="Arial"/>
                <w:color w:val="222222"/>
                <w:sz w:val="19"/>
              </w:rPr>
              <w:t>Correct the ring allocation, preserve a tagged integrated build, measure IPC timing and electrical power, and validate sustained external transport before production release.</w:t>
            </w:r>
          </w:p>
        </w:tc>
      </w:tr>
    </w:tbl>
    <w:p>
      <w:pPr>
        <w:spacing w:after="0"/>
      </w:pP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5"/>
      </w:rPr>
      <w:t xml:space="preserve">Customer-facing technical report • Architecture, interface, and measured evidence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056"/>
      <w:gridCol w:w="3024"/>
    </w:tblGrid>
    <w:tr>
      <w:tc>
        <w:tcPr>
          <w:tcW w:type="dxa" w:w="5040"/>
          <w:vAlign w:val="center"/>
          <w:tcMar>
            <w:top w:w="90" w:type="dxa"/>
            <w:start w:w="110" w:type="dxa"/>
            <w:bottom w:w="90" w:type="dxa"/>
            <w:end w:w="110" w:type="dxa"/>
          </w:tcMar>
          <w:tcBorders>
            <w:bottom w:val="single" w:sz="8" w:color="C8102E"/>
          </w:tcBorders>
        </w:tcPr>
        <w:p>
          <w:pPr>
            <w:spacing w:after="0"/>
            <w:jc w:val="left"/>
          </w:pPr>
          <w:r/>
          <w:r>
            <w:rPr>
              <w:rFonts w:ascii="Arial" w:hAnsi="Arial"/>
              <w:b/>
              <w:color w:val="C8102E"/>
              <w:sz w:val="16"/>
            </w:rPr>
            <w:t>HERDER ELEKTRONISCHE SYSTEMEN</w:t>
          </w:r>
        </w:p>
      </w:tc>
      <w:tc>
        <w:tcPr>
          <w:tcW w:type="dxa" w:w="5040"/>
          <w:vAlign w:val="center"/>
          <w:tcMar>
            <w:top w:w="90" w:type="dxa"/>
            <w:start w:w="110" w:type="dxa"/>
            <w:bottom w:w="90" w:type="dxa"/>
            <w:end w:w="110" w:type="dxa"/>
          </w:tcMar>
          <w:tcBorders>
            <w:bottom w:val="single" w:sz="8" w:color="C8102E"/>
          </w:tcBorders>
        </w:tcPr>
        <w:p>
          <w:pPr>
            <w:spacing w:after="0"/>
            <w:jc w:val="right"/>
          </w:pPr>
          <w:r/>
          <w:r>
            <w:rPr>
              <w:rFonts w:ascii="Arial" w:hAnsi="Arial"/>
              <w:b/>
              <w:color w:val="555555"/>
              <w:sz w:val="16"/>
            </w:rPr>
            <w:t>ENGINEERING REPORT  |  REV 2.4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C8102E"/>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C810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