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C8102E"/>
            <w:tcMar>
              <w:top w:w="430" w:type="dxa"/>
              <w:start w:w="400" w:type="dxa"/>
              <w:bottom w:w="430" w:type="dxa"/>
              <w:end w:w="400" w:type="dxa"/>
            </w:tcMar>
          </w:tcPr>
          <w:p>
            <w:pPr>
              <w:spacing w:after="300"/>
            </w:pPr>
            <w:r/>
            <w:r>
              <w:rPr>
                <w:rFonts w:ascii="Arial" w:hAnsi="Arial"/>
                <w:b/>
                <w:color w:val="FFFFFF"/>
                <w:sz w:val="52"/>
              </w:rPr>
              <w:t>DUAL-CORE FIRMWARE, HOST SOFTWARE &amp; RESULTS</w:t>
            </w:r>
          </w:p>
          <w:p>
            <w:pPr>
              <w:spacing w:after="280"/>
            </w:pPr>
            <w:r>
              <w:rPr>
                <w:rFonts w:ascii="Arial" w:hAnsi="Arial"/>
                <w:b/>
                <w:color w:val="FFFFFF"/>
                <w:sz w:val="28"/>
              </w:rPr>
              <w:t>STM32H747 MotionIPC, Live GUI, Telemetry, Interface PCB, and Characterization</w:t>
            </w:r>
          </w:p>
          <w:p>
            <w:pPr>
              <w:spacing w:after="240"/>
              <w:jc w:val="center"/>
            </w:pPr>
            <w:r>
              <w:drawing>
                <wp:inline xmlns:a="http://schemas.openxmlformats.org/drawingml/2006/main" xmlns:pic="http://schemas.openxmlformats.org/drawingml/2006/picture">
                  <wp:extent cx="4480560" cy="2442980"/>
                  <wp:docPr id="1" name="Picture 1"/>
                  <wp:cNvGraphicFramePr>
                    <a:graphicFrameLocks noChangeAspect="1"/>
                  </wp:cNvGraphicFramePr>
                  <a:graphic>
                    <a:graphicData uri="http://schemas.openxmlformats.org/drawingml/2006/picture">
                      <pic:pic>
                        <pic:nvPicPr>
                          <pic:cNvPr id="0" name="gui-overview.png"/>
                          <pic:cNvPicPr/>
                        </pic:nvPicPr>
                        <pic:blipFill>
                          <a:blip r:embed="rId11"/>
                          <a:stretch>
                            <a:fillRect/>
                          </a:stretch>
                        </pic:blipFill>
                        <pic:spPr>
                          <a:xfrm>
                            <a:off x="0" y="0"/>
                            <a:ext cx="4480560" cy="2442980"/>
                          </a:xfrm>
                          <a:prstGeom prst="rect"/>
                        </pic:spPr>
                      </pic:pic>
                    </a:graphicData>
                  </a:graphic>
                </wp:inline>
              </w:drawing>
            </w:r>
          </w:p>
          <w:p>
            <w:r>
              <w:rPr>
                <w:rFonts w:ascii="Arial" w:hAnsi="Arial"/>
                <w:color w:val="FFFFFF"/>
                <w:sz w:val="20"/>
              </w:rPr>
              <w:t>Customer-facing technical report</w:t>
              <w:br/>
              <w:t>Revision 2.5 • 3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Prepared by</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Herder Elektronische Systemen</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Primary subject</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Dual-core firmware, host GUI, telemetry, interface electronics, and measured operation</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Evidence basis</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MotionIPC source, motion firmware, GUI video, PCB design, plots, logs, slide reviews, and reports</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Distribution</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Customer-facing; selected source excerpts and engineering evidence included</w:t>
            </w:r>
          </w:p>
        </w:tc>
      </w:tr>
    </w:tbl>
    <w:tbl>
      <w:tblPr>
        <w:tblW w:type="auto" w:w="0"/>
        <w:jc w:val="center"/>
        <w:tblLayout w:type="fixed"/>
        <w:tblLook w:firstColumn="1" w:firstRow="1" w:lastColumn="0" w:lastRow="0" w:noHBand="0" w:noVBand="1" w:val="04A0"/>
      </w:tblPr>
      <w:tblGrid>
        <w:gridCol w:w="9504"/>
      </w:tblGrid>
      <w:tr>
        <w:tc>
          <w:tcPr>
            <w:tcW w:type="dxa" w:w="10080"/>
            <w:shd w:fill="F3F4F6"/>
            <w:tcMar>
              <w:top w:w="150" w:type="dxa"/>
              <w:start w:w="180" w:type="dxa"/>
              <w:bottom w:w="150" w:type="dxa"/>
              <w:end w:w="180" w:type="dxa"/>
            </w:tcMar>
          </w:tcPr>
          <w:p>
            <w:pPr>
              <w:spacing w:after="60"/>
            </w:pPr>
            <w:r/>
            <w:r>
              <w:rPr>
                <w:rFonts w:ascii="Arial" w:hAnsi="Arial"/>
                <w:b/>
                <w:color w:val="C8102E"/>
                <w:sz w:val="17"/>
              </w:rPr>
              <w:t>DOCUMENT PURPOSE</w:t>
            </w:r>
          </w:p>
          <w:p>
            <w:pPr>
              <w:spacing w:after="0"/>
            </w:pPr>
            <w:r>
              <w:rPr>
                <w:rFonts w:ascii="Arial" w:hAnsi="Arial"/>
                <w:color w:val="222222"/>
                <w:sz w:val="19"/>
              </w:rPr>
              <w:t>This report presents the complete software-controlled instrument: dual-core firmware, physical I/O through the custom PCB, live operator software, data integrity, safety behavior, and measured results.</w:t>
            </w:r>
          </w:p>
        </w:tc>
      </w:tr>
    </w:tbl>
    <w:p>
      <w:pPr>
        <w:spacing w:after="0"/>
      </w:pPr>
    </w:p>
    <w:p>
      <w:r>
        <w:br w:type="page"/>
      </w:r>
    </w:p>
    <w:p>
      <w:pPr>
        <w:pStyle w:val="Heading1"/>
      </w:pPr>
      <w:r>
        <w:t>1. System Outcome</w:t>
      </w:r>
    </w:p>
    <w:p>
      <w:pPr>
        <w:pStyle w:val="BodyText"/>
      </w:pPr>
      <w:r>
        <w:t>The completed system combines a custom STM32H747 dual-core IPC architecture with target-side motion control, differential encoder acquisition, a firm-designed encoder/STEP-DIR interface PCB, host supervision, live visualization, structured logging, automated workflows, and postprocessing. The 400 MHz Cortex-M7 and 200 MHz Cortex-M4 communicate through OpenAMP/RPMsg for coordination and a custom AXI-SRAM ring for motion records.</w:t>
      </w:r>
    </w:p>
    <w:p>
      <w:pPr>
        <w:keepNext/>
        <w:jc w:val="center"/>
      </w:pPr>
      <w:r>
        <w:drawing>
          <wp:inline xmlns:a="http://schemas.openxmlformats.org/drawingml/2006/main" xmlns:pic="http://schemas.openxmlformats.org/drawingml/2006/picture">
            <wp:extent cx="5806440" cy="3165903"/>
            <wp:docPr id="2" name="Picture 2"/>
            <wp:cNvGraphicFramePr>
              <a:graphicFrameLocks noChangeAspect="1"/>
            </wp:cNvGraphicFramePr>
            <a:graphic>
              <a:graphicData uri="http://schemas.openxmlformats.org/drawingml/2006/picture">
                <pic:pic>
                  <pic:nvPicPr>
                    <pic:cNvPr id="0" name="gui-overview.png"/>
                    <pic:cNvPicPr/>
                  </pic:nvPicPr>
                  <pic:blipFill>
                    <a:blip r:embed="rId11"/>
                    <a:stretch>
                      <a:fillRect/>
                    </a:stretch>
                  </pic:blipFill>
                  <pic:spPr>
                    <a:xfrm>
                      <a:off x="0" y="0"/>
                      <a:ext cx="5806440" cy="3165903"/>
                    </a:xfrm>
                    <a:prstGeom prst="rect"/>
                  </pic:spPr>
                </pic:pic>
              </a:graphicData>
            </a:graphic>
          </wp:inline>
        </w:drawing>
      </w:r>
    </w:p>
    <w:p>
      <w:pPr>
        <w:spacing w:after="120"/>
        <w:jc w:val="center"/>
      </w:pPr>
      <w:r>
        <w:rPr>
          <w:rFonts w:ascii="Arial" w:hAnsi="Arial"/>
          <w:i/>
          <w:color w:val="555555"/>
          <w:sz w:val="16"/>
        </w:rPr>
        <w:t>Figure 1. Operator-facing host application with connection controls, test selection, status, and live telemetry.</w:t>
      </w:r>
    </w:p>
    <w:tbl>
      <w:tblPr>
        <w:tblW w:type="auto" w:w="0"/>
        <w:jc w:val="center"/>
        <w:tblLayout w:type="fixed"/>
        <w:tblLook w:firstColumn="1" w:firstRow="1" w:lastColumn="0" w:lastRow="0" w:noHBand="0" w:noVBand="1" w:val="04A0"/>
      </w:tblPr>
      <w:tblGrid>
        <w:gridCol w:w="9504"/>
      </w:tblGrid>
      <w:tr>
        <w:tc>
          <w:tcPr>
            <w:tcW w:type="dxa" w:w="10080"/>
            <w:shd w:fill="EAF2F8"/>
            <w:tcMar>
              <w:top w:w="150" w:type="dxa"/>
              <w:start w:w="180" w:type="dxa"/>
              <w:bottom w:w="150" w:type="dxa"/>
              <w:end w:w="180" w:type="dxa"/>
            </w:tcMar>
          </w:tcPr>
          <w:p>
            <w:pPr>
              <w:spacing w:after="60"/>
            </w:pPr>
            <w:r/>
            <w:r>
              <w:rPr>
                <w:rFonts w:ascii="Arial" w:hAnsi="Arial"/>
                <w:b/>
                <w:color w:val="C8102E"/>
                <w:sz w:val="17"/>
              </w:rPr>
              <w:t>CUSTOMER-VISIBLE RESULT</w:t>
            </w:r>
          </w:p>
          <w:p>
            <w:pPr>
              <w:spacing w:after="0"/>
            </w:pPr>
            <w:r>
              <w:rPr>
                <w:rFonts w:ascii="Arial" w:hAnsi="Arial"/>
                <w:color w:val="222222"/>
                <w:sz w:val="19"/>
              </w:rPr>
              <w:t>An operator can connect the target, select a test, monitor command and encoder behavior, record timestamped data, recover interrupted runs, and launch analysis while real-time motion remains on the embedded target.</w:t>
            </w:r>
          </w:p>
        </w:tc>
      </w:tr>
    </w:tbl>
    <w:p>
      <w:pPr>
        <w:spacing w:after="0"/>
      </w:pPr>
    </w:p>
    <w:p>
      <w:r>
        <w:br w:type="page"/>
      </w:r>
    </w:p>
    <w:p>
      <w:pPr>
        <w:pStyle w:val="Heading1"/>
      </w:pPr>
      <w:r>
        <w:t>2. Dual-Core Architecture</w:t>
      </w:r>
    </w:p>
    <w:p>
      <w:pPr>
        <w:keepNext/>
        <w:jc w:val="center"/>
      </w:pPr>
      <w:r>
        <w:drawing>
          <wp:inline xmlns:a="http://schemas.openxmlformats.org/drawingml/2006/main" xmlns:pic="http://schemas.openxmlformats.org/drawingml/2006/picture">
            <wp:extent cx="5897880" cy="3440430"/>
            <wp:docPr id="3" name="Picture 3"/>
            <wp:cNvGraphicFramePr>
              <a:graphicFrameLocks noChangeAspect="1"/>
            </wp:cNvGraphicFramePr>
            <a:graphic>
              <a:graphicData uri="http://schemas.openxmlformats.org/drawingml/2006/picture">
                <pic:pic>
                  <pic:nvPicPr>
                    <pic:cNvPr id="0" name="dual_core_architecture.png"/>
                    <pic:cNvPicPr/>
                  </pic:nvPicPr>
                  <pic:blipFill>
                    <a:blip r:embed="rId12"/>
                    <a:stretch>
                      <a:fillRect/>
                    </a:stretch>
                  </pic:blipFill>
                  <pic:spPr>
                    <a:xfrm>
                      <a:off x="0" y="0"/>
                      <a:ext cx="5897880" cy="3440430"/>
                    </a:xfrm>
                    <a:prstGeom prst="rect"/>
                  </pic:spPr>
                </pic:pic>
              </a:graphicData>
            </a:graphic>
          </wp:inline>
        </w:drawing>
      </w:r>
    </w:p>
    <w:p>
      <w:pPr>
        <w:spacing w:after="120"/>
        <w:jc w:val="center"/>
      </w:pPr>
      <w:r>
        <w:rPr>
          <w:rFonts w:ascii="Arial" w:hAnsi="Arial"/>
          <w:i/>
          <w:color w:val="555555"/>
          <w:sz w:val="16"/>
        </w:rPr>
        <w:t>Figure 2. STM32H747 architecture separating low-rate OpenAMP/RPMsg coordination from the AXI-SRAM motion-data path.</w:t>
      </w:r>
    </w:p>
    <w:p>
      <w:pPr>
        <w:keepNext/>
        <w:jc w:val="center"/>
      </w:pPr>
      <w:r>
        <w:drawing>
          <wp:inline xmlns:a="http://schemas.openxmlformats.org/drawingml/2006/main" xmlns:pic="http://schemas.openxmlformats.org/drawingml/2006/picture">
            <wp:extent cx="5760720" cy="3024378"/>
            <wp:docPr id="4" name="Picture 4"/>
            <wp:cNvGraphicFramePr>
              <a:graphicFrameLocks noChangeAspect="1"/>
            </wp:cNvGraphicFramePr>
            <a:graphic>
              <a:graphicData uri="http://schemas.openxmlformats.org/drawingml/2006/picture">
                <pic:pic>
                  <pic:nvPicPr>
                    <pic:cNvPr id="0" name="dual_core_metrics.png"/>
                    <pic:cNvPicPr/>
                  </pic:nvPicPr>
                  <pic:blipFill>
                    <a:blip r:embed="rId13"/>
                    <a:stretch>
                      <a:fillRect/>
                    </a:stretch>
                  </pic:blipFill>
                  <pic:spPr>
                    <a:xfrm>
                      <a:off x="0" y="0"/>
                      <a:ext cx="5760720" cy="3024378"/>
                    </a:xfrm>
                    <a:prstGeom prst="rect"/>
                  </pic:spPr>
                </pic:pic>
              </a:graphicData>
            </a:graphic>
          </wp:inline>
        </w:drawing>
      </w:r>
    </w:p>
    <w:p>
      <w:pPr>
        <w:spacing w:after="120"/>
        <w:jc w:val="center"/>
      </w:pPr>
      <w:r>
        <w:rPr>
          <w:rFonts w:ascii="Arial" w:hAnsi="Arial"/>
          <w:i/>
          <w:color w:val="555555"/>
          <w:sz w:val="16"/>
        </w:rPr>
        <w:t>Figure 3. Source-verified processor, IPC, buffering, and service-cadence specifications.</w:t>
      </w:r>
    </w:p>
    <w:p>
      <w:r>
        <w:br w:type="page"/>
      </w:r>
    </w:p>
    <w:p>
      <w:pPr>
        <w:pStyle w:val="Heading1"/>
      </w:pPr>
      <w:r>
        <w:t>3. Core Ownership, IPC, and Memory</w:t>
      </w:r>
    </w:p>
    <w:tbl>
      <w:tblPr>
        <w:tblW w:type="auto" w:w="0"/>
        <w:jc w:val="center"/>
        <w:tblLayout w:type="fixed"/>
        <w:tblLook w:firstColumn="1" w:firstRow="1" w:lastColumn="0" w:lastRow="0" w:noHBand="0" w:noVBand="1" w:val="04A0"/>
      </w:tblPr>
      <w:tblGrid>
        <w:gridCol w:w="2376"/>
        <w:gridCol w:w="7416"/>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Verified implementation</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Cores</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400 MHz Cortex-M7 + 200 MHz Cortex-M4</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Control IPC</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OpenAMP/RPMsg; 44-byte application messages</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High-rate IPC</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256 KiB AXI-SRAM producer/consumer ring</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Motion record</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64 bytes, cache-line aligned</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Record rate</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100 Hz; 6.4 kB/s internal throughput</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Consumer service</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Up to 128 records per M4 service pass</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Health cadence</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1 Hz per-core heartbeat; 4 Hz ring-status requests</w:t>
            </w:r>
          </w:p>
        </w:tc>
      </w:tr>
    </w:tbl>
    <w:p>
      <w:pPr>
        <w:keepNext/>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motionipc_memory_map.png"/>
                    <pic:cNvPicPr/>
                  </pic:nvPicPr>
                  <pic:blipFill>
                    <a:blip r:embed="rId14"/>
                    <a:stretch>
                      <a:fillRect/>
                    </a:stretch>
                  </pic:blipFill>
                  <pic:spPr>
                    <a:xfrm>
                      <a:off x="0" y="0"/>
                      <a:ext cx="5669280" cy="3188970"/>
                    </a:xfrm>
                    <a:prstGeom prst="rect"/>
                  </pic:spPr>
                </pic:pic>
              </a:graphicData>
            </a:graphic>
          </wp:inline>
        </w:drawing>
      </w:r>
    </w:p>
    <w:p>
      <w:pPr>
        <w:spacing w:after="120"/>
        <w:jc w:val="center"/>
      </w:pPr>
      <w:r>
        <w:rPr>
          <w:rFonts w:ascii="Arial" w:hAnsi="Arial"/>
          <w:i/>
          <w:color w:val="555555"/>
          <w:sz w:val="16"/>
        </w:rPr>
        <w:t>Figure 4. Shared-memory map and the identified ring-capacity correction.</w:t>
      </w:r>
    </w:p>
    <w:tbl>
      <w:tblPr>
        <w:tblW w:type="auto" w:w="0"/>
        <w:jc w:val="center"/>
        <w:tblLayout w:type="fixed"/>
        <w:tblLook w:firstColumn="1" w:firstRow="1" w:lastColumn="0" w:lastRow="0" w:noHBand="0" w:noVBand="1" w:val="04A0"/>
      </w:tblPr>
      <w:tblGrid>
        <w:gridCol w:w="9504"/>
      </w:tblGrid>
      <w:tr>
        <w:tc>
          <w:tcPr>
            <w:tcW w:type="dxa" w:w="10080"/>
            <w:shd w:fill="FFF3E0"/>
            <w:tcMar>
              <w:top w:w="150" w:type="dxa"/>
              <w:start w:w="180" w:type="dxa"/>
              <w:bottom w:w="150" w:type="dxa"/>
              <w:end w:w="180" w:type="dxa"/>
            </w:tcMar>
          </w:tcPr>
          <w:p>
            <w:pPr>
              <w:spacing w:after="60"/>
            </w:pPr>
            <w:r/>
            <w:r>
              <w:rPr>
                <w:rFonts w:ascii="Arial" w:hAnsi="Arial"/>
                <w:b/>
                <w:color w:val="C8102E"/>
                <w:sz w:val="17"/>
              </w:rPr>
              <w:t>ENGINEERING REVIEW FINDING</w:t>
            </w:r>
          </w:p>
          <w:p>
            <w:pPr>
              <w:spacing w:after="0"/>
            </w:pPr>
            <w:r>
              <w:rPr>
                <w:rFonts w:ascii="Arial" w:hAnsi="Arial"/>
                <w:color w:val="222222"/>
                <w:sz w:val="19"/>
              </w:rPr>
              <w:t>The configured 4,096 × 64-byte sample array fills the 256 KiB allocation before metadata is counted. A production release should use 4,095 entries or enlarge the reserved region.</w:t>
            </w:r>
          </w:p>
        </w:tc>
      </w:tr>
    </w:tbl>
    <w:p>
      <w:pPr>
        <w:spacing w:after="0"/>
      </w:pPr>
    </w:p>
    <w:p>
      <w:r>
        <w:br w:type="page"/>
      </w:r>
    </w:p>
    <w:p>
      <w:pPr>
        <w:pStyle w:val="Heading1"/>
      </w:pPr>
      <w:r>
        <w:t>4. Physical I/O and Custom Interface PCB</w:t>
      </w:r>
    </w:p>
    <w:p>
      <w:pPr>
        <w:pStyle w:val="BodyText"/>
      </w:pPr>
      <w:r>
        <w:t>The firmware connects to the physical stage through a custom encoder and STEP/DIR interface PCB. The board receives differential A/B encoder signals through an AM26LS32 line receiver, exposes logic-level encoder feedback to the controller, and routes STEP/DIR commands to the motor driver. A dedicated solid-copper ground plane provides a continuous logic return reference.</w:t>
      </w:r>
    </w:p>
    <w:tbl>
      <w:tblPr>
        <w:tblW w:type="auto" w:w="0"/>
        <w:jc w:val="center"/>
        <w:tblLayout w:type="fixed"/>
        <w:tblLook w:firstColumn="1" w:firstRow="1" w:lastColumn="0" w:lastRow="0" w:noHBand="0" w:noVBand="1" w:val="04A0"/>
      </w:tblPr>
      <w:tblGrid>
        <w:gridCol w:w="4680"/>
        <w:gridCol w:w="4680"/>
      </w:tblGrid>
      <w:tr>
        <w:tc>
          <w:tcPr>
            <w:tcW w:type="dxa" w:w="5040"/>
            <w:tcMar>
              <w:top w:w="50" w:type="dxa"/>
              <w:start w:w="60" w:type="dxa"/>
              <w:bottom w:w="50" w:type="dxa"/>
              <w:end w:w="60" w:type="dxa"/>
            </w:tcMar>
          </w:tcPr>
          <w:p>
            <w:pPr>
              <w:jc w:val="center"/>
            </w:pPr>
            <w:r/>
            <w:r>
              <w:drawing>
                <wp:inline xmlns:a="http://schemas.openxmlformats.org/drawingml/2006/main" xmlns:pic="http://schemas.openxmlformats.org/drawingml/2006/picture">
                  <wp:extent cx="2788920" cy="2155075"/>
                  <wp:docPr id="6" name="Picture 6"/>
                  <wp:cNvGraphicFramePr>
                    <a:graphicFrameLocks noChangeAspect="1"/>
                  </wp:cNvGraphicFramePr>
                  <a:graphic>
                    <a:graphicData uri="http://schemas.openxmlformats.org/drawingml/2006/picture">
                      <pic:pic>
                        <pic:nvPicPr>
                          <pic:cNvPr id="0" name="featured-schematic-preview.png"/>
                          <pic:cNvPicPr/>
                        </pic:nvPicPr>
                        <pic:blipFill>
                          <a:blip r:embed="rId15"/>
                          <a:stretch>
                            <a:fillRect/>
                          </a:stretch>
                        </pic:blipFill>
                        <pic:spPr>
                          <a:xfrm>
                            <a:off x="0" y="0"/>
                            <a:ext cx="2788920" cy="2155075"/>
                          </a:xfrm>
                          <a:prstGeom prst="rect"/>
                        </pic:spPr>
                      </pic:pic>
                    </a:graphicData>
                  </a:graphic>
                </wp:inline>
              </w:drawing>
            </w:r>
          </w:p>
          <w:p>
            <w:pPr>
              <w:jc w:val="center"/>
            </w:pPr>
            <w:r>
              <w:rPr>
                <w:rFonts w:ascii="Arial" w:hAnsi="Arial"/>
                <w:i/>
                <w:color w:val="555555"/>
                <w:sz w:val="16"/>
              </w:rPr>
              <w:t>Figure 5. Encoder and STEP/DIR interface schematic.</w:t>
            </w:r>
          </w:p>
        </w:tc>
        <w:tc>
          <w:tcPr>
            <w:tcW w:type="dxa" w:w="5040"/>
            <w:tcMar>
              <w:top w:w="50" w:type="dxa"/>
              <w:start w:w="60" w:type="dxa"/>
              <w:bottom w:w="50" w:type="dxa"/>
              <w:end w:w="60" w:type="dxa"/>
            </w:tcMar>
          </w:tcPr>
          <w:p>
            <w:pPr>
              <w:jc w:val="center"/>
            </w:pPr>
            <w:r/>
            <w:r>
              <w:drawing>
                <wp:inline xmlns:a="http://schemas.openxmlformats.org/drawingml/2006/main" xmlns:pic="http://schemas.openxmlformats.org/drawingml/2006/picture">
                  <wp:extent cx="2788920" cy="2518306"/>
                  <wp:docPr id="7" name="Picture 7"/>
                  <wp:cNvGraphicFramePr>
                    <a:graphicFrameLocks noChangeAspect="1"/>
                  </wp:cNvGraphicFramePr>
                  <a:graphic>
                    <a:graphicData uri="http://schemas.openxmlformats.org/drawingml/2006/picture">
                      <pic:pic>
                        <pic:nvPicPr>
                          <pic:cNvPr id="0" name="pcb-3d-angle.png"/>
                          <pic:cNvPicPr/>
                        </pic:nvPicPr>
                        <pic:blipFill>
                          <a:blip r:embed="rId16"/>
                          <a:stretch>
                            <a:fillRect/>
                          </a:stretch>
                        </pic:blipFill>
                        <pic:spPr>
                          <a:xfrm>
                            <a:off x="0" y="0"/>
                            <a:ext cx="2788920" cy="2518306"/>
                          </a:xfrm>
                          <a:prstGeom prst="rect"/>
                        </pic:spPr>
                      </pic:pic>
                    </a:graphicData>
                  </a:graphic>
                </wp:inline>
              </w:drawing>
            </w:r>
          </w:p>
          <w:p>
            <w:pPr>
              <w:jc w:val="center"/>
            </w:pPr>
            <w:r>
              <w:rPr>
                <w:rFonts w:ascii="Arial" w:hAnsi="Arial"/>
                <w:i/>
                <w:color w:val="555555"/>
                <w:sz w:val="16"/>
              </w:rPr>
              <w:t>Figure 6. Populated PCB assembly render.</w:t>
            </w:r>
          </w:p>
        </w:tc>
      </w:tr>
    </w:tbl>
    <w:tbl>
      <w:tblPr>
        <w:tblW w:type="auto" w:w="0"/>
        <w:jc w:val="center"/>
        <w:tblLayout w:type="fixed"/>
        <w:tblLook w:firstColumn="1" w:firstRow="1" w:lastColumn="0" w:lastRow="0" w:noHBand="0" w:noVBand="1" w:val="04A0"/>
      </w:tblPr>
      <w:tblGrid>
        <w:gridCol w:w="2448"/>
        <w:gridCol w:w="7344"/>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Interface</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Firmware-facing role</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ENC_A / ENC_B</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Interrupt-driven encoder feedback from the differential receiver</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6"/>
              </w:rPr>
              <w:t>STEP_CTRL / DIR_CTRL</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6"/>
              </w:rPr>
              <w:t>Target-generated motor commands to the driver interface</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5 V / GND</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Common logic supply and reference across controller, receiver, and driver</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6"/>
              </w:rPr>
              <w:t>Solid ground plane</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6"/>
              </w:rPr>
              <w:t>Low-impedance return path and improved signal-reference continuity</w:t>
            </w:r>
          </w:p>
        </w:tc>
      </w:tr>
    </w:tbl>
    <w:tbl>
      <w:tblPr>
        <w:tblW w:type="auto" w:w="0"/>
        <w:jc w:val="center"/>
        <w:tblLayout w:type="fixed"/>
        <w:tblLook w:firstColumn="1" w:firstRow="1" w:lastColumn="0" w:lastRow="0" w:noHBand="0" w:noVBand="1" w:val="04A0"/>
      </w:tblPr>
      <w:tblGrid>
        <w:gridCol w:w="9504"/>
      </w:tblGrid>
      <w:tr>
        <w:tc>
          <w:tcPr>
            <w:tcW w:type="dxa" w:w="10080"/>
            <w:shd w:fill="E8F5E9"/>
            <w:tcMar>
              <w:top w:w="150" w:type="dxa"/>
              <w:start w:w="180" w:type="dxa"/>
              <w:bottom w:w="150" w:type="dxa"/>
              <w:end w:w="180" w:type="dxa"/>
            </w:tcMar>
          </w:tcPr>
          <w:p>
            <w:pPr>
              <w:spacing w:after="60"/>
            </w:pPr>
            <w:r/>
            <w:r>
              <w:rPr>
                <w:rFonts w:ascii="Arial" w:hAnsi="Arial"/>
                <w:b/>
                <w:color w:val="C8102E"/>
                <w:sz w:val="17"/>
              </w:rPr>
              <w:t>WHY IT MATTERS</w:t>
            </w:r>
          </w:p>
          <w:p>
            <w:pPr>
              <w:spacing w:after="0"/>
            </w:pPr>
            <w:r>
              <w:rPr>
                <w:rFonts w:ascii="Arial" w:hAnsi="Arial"/>
                <w:color w:val="222222"/>
                <w:sz w:val="19"/>
              </w:rPr>
              <w:t>The dual-core architecture is connected to real motion hardware through a documented signal-conditioning and motor-command layer; it is not an isolated IPC demonstration.</w:t>
            </w:r>
          </w:p>
        </w:tc>
      </w:tr>
    </w:tbl>
    <w:p>
      <w:pPr>
        <w:spacing w:after="0"/>
      </w:pPr>
    </w:p>
    <w:p>
      <w:r>
        <w:br w:type="page"/>
      </w:r>
    </w:p>
    <w:p>
      <w:pPr>
        <w:pStyle w:val="Heading1"/>
      </w:pPr>
      <w:r>
        <w:t>5. Target Motion Firmware and Safety</w:t>
      </w:r>
    </w:p>
    <w:p>
      <w:pPr>
        <w:pStyle w:val="BodyText"/>
      </w:pPr>
      <w:r>
        <w:t>Real-time pulse generation, encoder capture, test progression, and deadman behavior remain on the embedded target. The host requests actions and records results but does not schedule motion.</w:t>
      </w:r>
    </w:p>
    <w:tbl>
      <w:tblPr>
        <w:tblW w:type="auto" w:w="0"/>
        <w:jc w:val="center"/>
        <w:tblLayout w:type="fixed"/>
        <w:tblLook w:firstColumn="1" w:firstRow="1" w:lastColumn="0" w:lastRow="0" w:noHBand="0" w:noVBand="1" w:val="04A0"/>
      </w:tblPr>
      <w:tblGrid>
        <w:gridCol w:w="4608"/>
        <w:gridCol w:w="518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Control or safety 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Verified value</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STEP pulse high time</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4 µs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Step-rate safety cap</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25,000 pulses/s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Maximum pulse backlog</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25 pulses/pass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Loop-overrun warning</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25 ms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Speed-estimation window</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500 ms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Host heartbeat</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500 ms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Target deadman timeout</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2,000 ms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Position correction</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20 pulse-Hz/degree; 250 Hz absolute cap; 5% relative cap</w:t>
            </w:r>
          </w:p>
        </w:tc>
      </w:tr>
    </w:tbl>
    <w:p>
      <w:pPr>
        <w:pStyle w:val="Heading2"/>
      </w:pPr>
      <w:r>
        <w:t>5.1 Encoder and drive scaling</w:t>
      </w:r>
    </w:p>
    <w:tbl>
      <w:tblPr>
        <w:tblW w:type="auto" w:w="0"/>
        <w:jc w:val="center"/>
        <w:tblLayout w:type="fixed"/>
        <w:tblLook w:firstColumn="1" w:firstRow="1" w:lastColumn="0" w:lastRow="0" w:noHBand="0" w:noVBand="1" w:val="04A0"/>
      </w:tblPr>
      <w:tblGrid>
        <w:gridCol w:w="4680"/>
        <w:gridCol w:w="511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Parameter</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Value</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Gear ratio</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24.65:1</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256-microstep pulses/table revolution</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1,262,080</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Command increment</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~0.000285°/pulse</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Encoder CPR</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5,000</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Effective table counts/revolution</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246,500</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Measured increment</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~0.001460°/count</w:t>
            </w:r>
          </w:p>
        </w:tc>
      </w:tr>
    </w:tbl>
    <w:p>
      <w:r>
        <w:br w:type="page"/>
      </w:r>
    </w:p>
    <w:p>
      <w:pPr>
        <w:pStyle w:val="Heading1"/>
      </w:pPr>
      <w:r>
        <w:t>6. Host GUI and Live Operation</w:t>
      </w:r>
    </w:p>
    <w:p>
      <w:pPr>
        <w:keepNext/>
        <w:jc w:val="center"/>
      </w:pPr>
      <w:r>
        <w:drawing>
          <wp:inline xmlns:a="http://schemas.openxmlformats.org/drawingml/2006/main" xmlns:pic="http://schemas.openxmlformats.org/drawingml/2006/picture">
            <wp:extent cx="5806440" cy="3165903"/>
            <wp:docPr id="8" name="Picture 8"/>
            <wp:cNvGraphicFramePr>
              <a:graphicFrameLocks noChangeAspect="1"/>
            </wp:cNvGraphicFramePr>
            <a:graphic>
              <a:graphicData uri="http://schemas.openxmlformats.org/drawingml/2006/picture">
                <pic:pic>
                  <pic:nvPicPr>
                    <pic:cNvPr id="0" name="gui-active-test.png"/>
                    <pic:cNvPicPr/>
                  </pic:nvPicPr>
                  <pic:blipFill>
                    <a:blip r:embed="rId17"/>
                    <a:stretch>
                      <a:fillRect/>
                    </a:stretch>
                  </pic:blipFill>
                  <pic:spPr>
                    <a:xfrm>
                      <a:off x="0" y="0"/>
                      <a:ext cx="5806440" cy="3165903"/>
                    </a:xfrm>
                    <a:prstGeom prst="rect"/>
                  </pic:spPr>
                </pic:pic>
              </a:graphicData>
            </a:graphic>
          </wp:inline>
        </w:drawing>
      </w:r>
    </w:p>
    <w:p>
      <w:pPr>
        <w:spacing w:after="120"/>
        <w:jc w:val="center"/>
      </w:pPr>
      <w:r>
        <w:rPr>
          <w:rFonts w:ascii="Arial" w:hAnsi="Arial"/>
          <w:i/>
          <w:color w:val="555555"/>
          <w:sz w:val="16"/>
        </w:rPr>
        <w:t>Figure 7. Active host-target test showing command, measured motion, encoder position/rate, status, and logging state.</w:t>
      </w:r>
    </w:p>
    <w:p>
      <w:pPr>
        <w:pStyle w:val="BodyText"/>
      </w:pPr>
      <w:r>
        <w:t>The GUI integrates connection management, command execution, test selection, live plots, file naming, logging state, and operator feedback. It provides one working surface for the target instead of requiring separate serial terminals and analysis scripts.</w:t>
      </w:r>
    </w:p>
    <w:p>
      <w:pPr>
        <w:pStyle w:val="ListBullet"/>
      </w:pPr>
      <w:r>
        <w:t>Live command-versus-measured speed and encoder-position plots.</w:t>
      </w:r>
    </w:p>
    <w:p>
      <w:pPr>
        <w:pStyle w:val="ListBullet"/>
      </w:pPr>
      <w:r>
        <w:t>Raw encoder-rate visualization for diagnosing quantization and event timing.</w:t>
      </w:r>
    </w:p>
    <w:p>
      <w:pPr>
        <w:pStyle w:val="ListBullet"/>
      </w:pPr>
      <w:r>
        <w:t>Target status, test progression, connection state, and completion markers.</w:t>
      </w:r>
    </w:p>
    <w:p>
      <w:pPr>
        <w:pStyle w:val="ListBullet"/>
      </w:pPr>
      <w:r>
        <w:t>Automated filename generation, CSV capture, and separate metadata/comment retention.</w:t>
      </w:r>
    </w:p>
    <w:p>
      <w:pPr>
        <w:pStyle w:val="ListBullet"/>
      </w:pPr>
      <w:r>
        <w:t>Supervision of tracking, static, step, Allan, and sine-response workflows.</w:t>
      </w:r>
    </w:p>
    <w:p>
      <w:r>
        <w:br w:type="page"/>
      </w:r>
    </w:p>
    <w:p>
      <w:pPr>
        <w:pStyle w:val="Heading1"/>
      </w:pPr>
      <w:r>
        <w:t>7. Telemetry, Logging, and Recovery</w:t>
      </w:r>
    </w:p>
    <w:tbl>
      <w:tblPr>
        <w:tblW w:type="auto" w:w="0"/>
        <w:jc w:val="center"/>
        <w:tblLayout w:type="fixed"/>
        <w:tblLook w:firstColumn="1" w:firstRow="1" w:lastColumn="0" w:lastRow="0" w:noHBand="0" w:noVBand="1" w:val="04A0"/>
      </w:tblPr>
      <w:tblGrid>
        <w:gridCol w:w="2880"/>
        <w:gridCol w:w="6912"/>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Capability</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Implementation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Host transport</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115,200-baud serial</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Selectable output</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10, 20, 50, or 100 Hz requests</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Record schema</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24 timestamped CSV fields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Validation</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Header and row-width checks; malformed-row detection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Run completion</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Test-specific completion markers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Metadata</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Controller comments and run context stored separately</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Recovery</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Partial-run preservation after serial interruption</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Safety</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500 ms heartbeat and 2 s target deadman</w:t>
            </w:r>
          </w:p>
        </w:tc>
      </w:tr>
    </w:tbl>
    <w:p>
      <w:pPr>
        <w:pStyle w:val="Heading2"/>
      </w:pPr>
      <w:r>
        <w:t>7.1 Bandwidth result</w:t>
      </w:r>
    </w:p>
    <w:p>
      <w:pPr>
        <w:pStyle w:val="BodyText"/>
      </w:pPr>
      <w:r>
        <w:t>A 115,200-baud 8-N-1 link provides an idealized 11,520 payload bytes/s. Representative 24-field ASCII rows can approach 189 bytes, limiting sustained full-record output to roughly 50–60 rows/s. The 100 Hz selection therefore motivates shorter records, binary framing, or a faster external transport; the internal shared-memory path remains independent of this bottleneck.</w:t>
      </w:r>
    </w:p>
    <w:p>
      <w:r>
        <w:br w:type="page"/>
      </w:r>
    </w:p>
    <w:p>
      <w:pPr>
        <w:pStyle w:val="Heading1"/>
      </w:pPr>
      <w:r>
        <w:t>8. Automated Test Workflow</w:t>
      </w:r>
    </w:p>
    <w:p>
      <w:pPr>
        <w:keepNext/>
        <w:jc w:val="center"/>
      </w:pPr>
      <w:r>
        <w:drawing>
          <wp:inline xmlns:a="http://schemas.openxmlformats.org/drawingml/2006/main" xmlns:pic="http://schemas.openxmlformats.org/drawingml/2006/picture">
            <wp:extent cx="5623560" cy="2990262"/>
            <wp:docPr id="9" name="Picture 9"/>
            <wp:cNvGraphicFramePr>
              <a:graphicFrameLocks noChangeAspect="1"/>
            </wp:cNvGraphicFramePr>
            <a:graphic>
              <a:graphicData uri="http://schemas.openxmlformats.org/drawingml/2006/picture">
                <pic:pic>
                  <pic:nvPicPr>
                    <pic:cNvPr id="0" name="representative-test-sequences.png"/>
                    <pic:cNvPicPr/>
                  </pic:nvPicPr>
                  <pic:blipFill>
                    <a:blip r:embed="rId18"/>
                    <a:stretch>
                      <a:fillRect/>
                    </a:stretch>
                  </pic:blipFill>
                  <pic:spPr>
                    <a:xfrm>
                      <a:off x="0" y="0"/>
                      <a:ext cx="5623560" cy="2990262"/>
                    </a:xfrm>
                    <a:prstGeom prst="rect"/>
                  </pic:spPr>
                </pic:pic>
              </a:graphicData>
            </a:graphic>
          </wp:inline>
        </w:drawing>
      </w:r>
    </w:p>
    <w:p>
      <w:pPr>
        <w:spacing w:after="120"/>
        <w:jc w:val="center"/>
      </w:pPr>
      <w:r>
        <w:rPr>
          <w:rFonts w:ascii="Arial" w:hAnsi="Arial"/>
          <w:i/>
          <w:color w:val="555555"/>
          <w:sz w:val="16"/>
        </w:rPr>
        <w:t>Figure 8. Representative scripted test sequences generated and recorded through the target/host workflow.</w:t>
      </w:r>
    </w:p>
    <w:tbl>
      <w:tblPr>
        <w:tblW w:type="auto" w:w="0"/>
        <w:jc w:val="center"/>
        <w:tblLayout w:type="fixed"/>
        <w:tblLook w:firstColumn="1" w:firstRow="1" w:lastColumn="0" w:lastRow="0" w:noHBand="0" w:noVBand="1" w:val="04A0"/>
      </w:tblPr>
      <w:tblGrid>
        <w:gridCol w:w="2880"/>
        <w:gridCol w:w="691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Workflow</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Configured execution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Static hold</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50 Hz × 180 s or 100 Hz × 90 s; 9,000 records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Dynamic tracking</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100 Hz requested; 6,000 records per 60 s segment</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Step response</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Scripted steps with rise, overshoot, settling, RMS, and peak-error analysis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Allan analysis</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Static position and dynamic residual workflows</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Sine response</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Closed-loop command/actual response over approximately 0.33–2 Hz</w:t>
            </w:r>
          </w:p>
        </w:tc>
      </w:tr>
    </w:tbl>
    <w:p>
      <w:r>
        <w:br w:type="page"/>
      </w:r>
    </w:p>
    <w:p>
      <w:pPr>
        <w:pStyle w:val="Heading1"/>
      </w:pPr>
      <w:r>
        <w:t>9. Low-Speed Tracking Results</w:t>
      </w:r>
    </w:p>
    <w:p>
      <w:pPr>
        <w:keepNext/>
        <w:jc w:val="center"/>
      </w:pPr>
      <w:r>
        <w:drawing>
          <wp:inline xmlns:a="http://schemas.openxmlformats.org/drawingml/2006/main" xmlns:pic="http://schemas.openxmlformats.org/drawingml/2006/picture">
            <wp:extent cx="5532120" cy="3111818"/>
            <wp:docPr id="10" name="Picture 10"/>
            <wp:cNvGraphicFramePr>
              <a:graphicFrameLocks noChangeAspect="1"/>
            </wp:cNvGraphicFramePr>
            <a:graphic>
              <a:graphicData uri="http://schemas.openxmlformats.org/drawingml/2006/picture">
                <pic:pic>
                  <pic:nvPicPr>
                    <pic:cNvPr id="0" name="256-microstep-low-speed-summary.png"/>
                    <pic:cNvPicPr/>
                  </pic:nvPicPr>
                  <pic:blipFill>
                    <a:blip r:embed="rId19"/>
                    <a:stretch>
                      <a:fillRect/>
                    </a:stretch>
                  </pic:blipFill>
                  <pic:spPr>
                    <a:xfrm>
                      <a:off x="0" y="0"/>
                      <a:ext cx="5532120" cy="3111818"/>
                    </a:xfrm>
                    <a:prstGeom prst="rect"/>
                  </pic:spPr>
                </pic:pic>
              </a:graphicData>
            </a:graphic>
          </wp:inline>
        </w:drawing>
      </w:r>
    </w:p>
    <w:p>
      <w:pPr>
        <w:spacing w:after="120"/>
        <w:jc w:val="center"/>
      </w:pPr>
      <w:r>
        <w:rPr>
          <w:rFonts w:ascii="Arial" w:hAnsi="Arial"/>
          <w:i/>
          <w:color w:val="555555"/>
          <w:sz w:val="16"/>
        </w:rPr>
        <w:t>Figure 9. Measured low-speed performance in the 256-microstep configuration.</w:t>
      </w:r>
    </w:p>
    <w:tbl>
      <w:tblPr>
        <w:tblW w:type="auto" w:w="0"/>
        <w:jc w:val="center"/>
        <w:tblLayout w:type="fixed"/>
        <w:tblLook w:firstColumn="1" w:firstRow="1" w:lastColumn="0" w:lastRow="0" w:noHBand="0" w:noVBand="1" w:val="04A0"/>
      </w:tblPr>
      <w:tblGrid>
        <w:gridCol w:w="2304"/>
        <w:gridCol w:w="2592"/>
        <w:gridCol w:w="4896"/>
      </w:tblGrid>
      <w:tr>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Command (deg/s)</w:t>
            </w:r>
          </w:p>
        </w:tc>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Measured (deg/s)</w:t>
            </w:r>
          </w:p>
        </w:tc>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Ratio / interpretation</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0.002</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0.001818</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0.909</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0.003</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0.003214</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1.071</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0.005</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0.004676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0.935</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0.010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0.008378</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0.838</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0.050</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Configuration throughput ceiling</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0.100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Configuration throughput ceiling</w:t>
            </w:r>
          </w:p>
        </w:tc>
      </w:tr>
    </w:tbl>
    <w:tbl>
      <w:tblPr>
        <w:tblW w:type="auto" w:w="0"/>
        <w:jc w:val="center"/>
        <w:tblLayout w:type="fixed"/>
        <w:tblLook w:firstColumn="1" w:firstRow="1" w:lastColumn="0" w:lastRow="0" w:noHBand="0" w:noVBand="1" w:val="04A0"/>
      </w:tblPr>
      <w:tblGrid>
        <w:gridCol w:w="9504"/>
      </w:tblGrid>
      <w:tr>
        <w:tc>
          <w:tcPr>
            <w:tcW w:type="dxa" w:w="10080"/>
            <w:shd w:fill="E8F5E9"/>
            <w:tcMar>
              <w:top w:w="150" w:type="dxa"/>
              <w:start w:w="180" w:type="dxa"/>
              <w:bottom w:w="150" w:type="dxa"/>
              <w:end w:w="180" w:type="dxa"/>
            </w:tcMar>
          </w:tcPr>
          <w:p>
            <w:pPr>
              <w:spacing w:after="60"/>
            </w:pPr>
            <w:r/>
            <w:r>
              <w:rPr>
                <w:rFonts w:ascii="Arial" w:hAnsi="Arial"/>
                <w:b/>
                <w:color w:val="C8102E"/>
                <w:sz w:val="17"/>
              </w:rPr>
              <w:t>RESULT</w:t>
            </w:r>
          </w:p>
          <w:p>
            <w:pPr>
              <w:spacing w:after="0"/>
            </w:pPr>
            <w:r>
              <w:rPr>
                <w:rFonts w:ascii="Arial" w:hAnsi="Arial"/>
                <w:color w:val="222222"/>
                <w:sz w:val="19"/>
              </w:rPr>
              <w:t>The 256-microstep setup is an ultra-slow configuration. Best tracking occurred near 0.003–0.005°/s; faster commands plateaued near 0.016°/s and require a different microstep or pulse-rate configuration.</w:t>
            </w:r>
          </w:p>
        </w:tc>
      </w:tr>
    </w:tbl>
    <w:p>
      <w:pPr>
        <w:spacing w:after="0"/>
      </w:pPr>
    </w:p>
    <w:p>
      <w:r>
        <w:br w:type="page"/>
      </w:r>
    </w:p>
    <w:p>
      <w:pPr>
        <w:pStyle w:val="Heading1"/>
      </w:pPr>
      <w:r>
        <w:t>10. Tracking, Step, and Frequency Results</w:t>
      </w:r>
    </w:p>
    <w:tbl>
      <w:tblPr>
        <w:tblW w:type="auto" w:w="0"/>
        <w:jc w:val="center"/>
        <w:tblLayout w:type="fixed"/>
        <w:tblLook w:firstColumn="1" w:firstRow="1" w:lastColumn="0" w:lastRow="0" w:noHBand="0" w:noVBand="1" w:val="04A0"/>
      </w:tblPr>
      <w:tblGrid>
        <w:gridCol w:w="4680"/>
        <w:gridCol w:w="4680"/>
      </w:tblGrid>
      <w:tr>
        <w:tc>
          <w:tcPr>
            <w:tcW w:type="dxa" w:w="5040"/>
            <w:tcMar>
              <w:top w:w="50" w:type="dxa"/>
              <w:start w:w="60" w:type="dxa"/>
              <w:bottom w:w="50" w:type="dxa"/>
              <w:end w:w="60" w:type="dxa"/>
            </w:tcMar>
          </w:tcPr>
          <w:p>
            <w:pPr>
              <w:jc w:val="center"/>
            </w:pPr>
            <w:r/>
            <w:r>
              <w:drawing>
                <wp:inline xmlns:a="http://schemas.openxmlformats.org/drawingml/2006/main" xmlns:pic="http://schemas.openxmlformats.org/drawingml/2006/picture">
                  <wp:extent cx="2788920" cy="2056284"/>
                  <wp:docPr id="11" name="Picture 11"/>
                  <wp:cNvGraphicFramePr>
                    <a:graphicFrameLocks noChangeAspect="1"/>
                  </wp:cNvGraphicFramePr>
                  <a:graphic>
                    <a:graphicData uri="http://schemas.openxmlformats.org/drawingml/2006/picture">
                      <pic:pic>
                        <pic:nvPicPr>
                          <pic:cNvPr id="0" name="constant-speed-tracking-summary.png"/>
                          <pic:cNvPicPr/>
                        </pic:nvPicPr>
                        <pic:blipFill>
                          <a:blip r:embed="rId20"/>
                          <a:stretch>
                            <a:fillRect/>
                          </a:stretch>
                        </pic:blipFill>
                        <pic:spPr>
                          <a:xfrm>
                            <a:off x="0" y="0"/>
                            <a:ext cx="2788920" cy="2056284"/>
                          </a:xfrm>
                          <a:prstGeom prst="rect"/>
                        </pic:spPr>
                      </pic:pic>
                    </a:graphicData>
                  </a:graphic>
                </wp:inline>
              </w:drawing>
            </w:r>
          </w:p>
          <w:p>
            <w:pPr>
              <w:jc w:val="center"/>
            </w:pPr>
            <w:r>
              <w:rPr>
                <w:rFonts w:ascii="Arial" w:hAnsi="Arial"/>
                <w:i/>
                <w:color w:val="555555"/>
                <w:sz w:val="16"/>
              </w:rPr>
              <w:t>Figure 10. Constant-speed command and measured motion.</w:t>
            </w:r>
          </w:p>
        </w:tc>
        <w:tc>
          <w:tcPr>
            <w:tcW w:type="dxa" w:w="5040"/>
            <w:tcMar>
              <w:top w:w="50" w:type="dxa"/>
              <w:start w:w="60" w:type="dxa"/>
              <w:bottom w:w="50" w:type="dxa"/>
              <w:end w:w="60" w:type="dxa"/>
            </w:tcMar>
          </w:tcPr>
          <w:p>
            <w:pPr>
              <w:jc w:val="center"/>
            </w:pPr>
            <w:r/>
            <w:r>
              <w:drawing>
                <wp:inline xmlns:a="http://schemas.openxmlformats.org/drawingml/2006/main" xmlns:pic="http://schemas.openxmlformats.org/drawingml/2006/picture">
                  <wp:extent cx="2788920" cy="1931000"/>
                  <wp:docPr id="12" name="Picture 12"/>
                  <wp:cNvGraphicFramePr>
                    <a:graphicFrameLocks noChangeAspect="1"/>
                  </wp:cNvGraphicFramePr>
                  <a:graphic>
                    <a:graphicData uri="http://schemas.openxmlformats.org/drawingml/2006/picture">
                      <pic:pic>
                        <pic:nvPicPr>
                          <pic:cNvPr id="0" name="step-response-summary.png"/>
                          <pic:cNvPicPr/>
                        </pic:nvPicPr>
                        <pic:blipFill>
                          <a:blip r:embed="rId21"/>
                          <a:stretch>
                            <a:fillRect/>
                          </a:stretch>
                        </pic:blipFill>
                        <pic:spPr>
                          <a:xfrm>
                            <a:off x="0" y="0"/>
                            <a:ext cx="2788920" cy="1931000"/>
                          </a:xfrm>
                          <a:prstGeom prst="rect"/>
                        </pic:spPr>
                      </pic:pic>
                    </a:graphicData>
                  </a:graphic>
                </wp:inline>
              </w:drawing>
            </w:r>
          </w:p>
          <w:p>
            <w:pPr>
              <w:jc w:val="center"/>
            </w:pPr>
            <w:r>
              <w:rPr>
                <w:rFonts w:ascii="Arial" w:hAnsi="Arial"/>
                <w:i/>
                <w:color w:val="555555"/>
                <w:sz w:val="16"/>
              </w:rPr>
              <w:t>Figure 11. Scripted step-response characterization.</w:t>
            </w:r>
          </w:p>
        </w:tc>
      </w:tr>
    </w:tbl>
    <w:p>
      <w:pPr>
        <w:keepNext/>
        <w:jc w:val="center"/>
      </w:pPr>
      <w:r>
        <w:drawing>
          <wp:inline xmlns:a="http://schemas.openxmlformats.org/drawingml/2006/main" xmlns:pic="http://schemas.openxmlformats.org/drawingml/2006/picture">
            <wp:extent cx="5212080" cy="3781812"/>
            <wp:docPr id="13" name="Picture 13"/>
            <wp:cNvGraphicFramePr>
              <a:graphicFrameLocks noChangeAspect="1"/>
            </wp:cNvGraphicFramePr>
            <a:graphic>
              <a:graphicData uri="http://schemas.openxmlformats.org/drawingml/2006/picture">
                <pic:pic>
                  <pic:nvPicPr>
                    <pic:cNvPr id="0" name="closed-loop-frequency-response.png"/>
                    <pic:cNvPicPr/>
                  </pic:nvPicPr>
                  <pic:blipFill>
                    <a:blip r:embed="rId22"/>
                    <a:stretch>
                      <a:fillRect/>
                    </a:stretch>
                  </pic:blipFill>
                  <pic:spPr>
                    <a:xfrm>
                      <a:off x="0" y="0"/>
                      <a:ext cx="5212080" cy="3781812"/>
                    </a:xfrm>
                    <a:prstGeom prst="rect"/>
                  </pic:spPr>
                </pic:pic>
              </a:graphicData>
            </a:graphic>
          </wp:inline>
        </w:drawing>
      </w:r>
    </w:p>
    <w:p>
      <w:pPr>
        <w:spacing w:after="120"/>
        <w:jc w:val="center"/>
      </w:pPr>
      <w:r>
        <w:rPr>
          <w:rFonts w:ascii="Arial" w:hAnsi="Arial"/>
          <w:i/>
          <w:color w:val="555555"/>
          <w:sz w:val="16"/>
        </w:rPr>
        <w:t>Figure 12. Closed-loop actual/command response over approximately 0.33–2 Hz.</w:t>
      </w:r>
    </w:p>
    <w:p>
      <w:pPr>
        <w:pStyle w:val="BodyText"/>
      </w:pPr>
      <w:r>
        <w:t>These results show the firmware, interface PCB, physical stage, timestamped acquisition, host logging, and analysis pipeline operating as one system. The frequency result is a closed-loop characterization, not a claim of open-loop plant identification or formal phase margin.</w:t>
      </w:r>
    </w:p>
    <w:p>
      <w:r>
        <w:br w:type="page"/>
      </w:r>
    </w:p>
    <w:p>
      <w:pPr>
        <w:pStyle w:val="Heading1"/>
      </w:pPr>
      <w:r>
        <w:t>11. Delivered Capabilities and Release Actions</w:t>
      </w:r>
    </w:p>
    <w:tbl>
      <w:tblPr>
        <w:tblW w:type="auto" w:w="0"/>
        <w:jc w:val="center"/>
        <w:tblLayout w:type="fixed"/>
        <w:tblLook w:firstColumn="1" w:firstRow="1" w:lastColumn="0" w:lastRow="0" w:noHBand="0" w:noVBand="1" w:val="04A0"/>
      </w:tblPr>
      <w:tblGrid>
        <w:gridCol w:w="2448"/>
        <w:gridCol w:w="734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Layer</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Delivered capability</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Dual-core firmware</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OpenAMP/RPMsg coordination, shared-memory ring, HSEM startup, coherency policy, sequence/drop/fault accounting</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6"/>
              </w:rPr>
              <w:t>Physical interface</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6"/>
              </w:rPr>
              <w:t>Differential encoder receiver, STEP/DIR routing, common reference, solid ground plane</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Motion firmware</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Pulse generation, encoder capture, correction, automated sequencing, heartbeat, deadman, and overrun monitoring</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6"/>
              </w:rPr>
              <w:t>Host application</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6"/>
              </w:rPr>
              <w:t>Connection, commands, live plotting, orchestration, logging, metadata, and recovery</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Analysis</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Low-speed, tracking, step response, Allan deviation, and closed-loop sine-response processing</w:t>
            </w:r>
          </w:p>
        </w:tc>
      </w:tr>
    </w:tbl>
    <w:tbl>
      <w:tblPr>
        <w:tblW w:type="auto" w:w="0"/>
        <w:jc w:val="center"/>
        <w:tblLayout w:type="fixed"/>
        <w:tblLook w:firstColumn="1" w:firstRow="1" w:lastColumn="0" w:lastRow="0" w:noHBand="0" w:noVBand="1" w:val="04A0"/>
      </w:tblPr>
      <w:tblGrid>
        <w:gridCol w:w="2232"/>
        <w:gridCol w:w="7560"/>
      </w:tblGrid>
      <w:tr>
        <w:tc>
          <w:tcPr>
            <w:tcW w:type="dxa" w:w="5040"/>
            <w:vAlign w:val="center"/>
            <w:tcMar>
              <w:top w:w="90" w:type="dxa"/>
              <w:start w:w="110" w:type="dxa"/>
              <w:bottom w:w="90" w:type="dxa"/>
              <w:end w:w="110" w:type="dxa"/>
            </w:tcMar>
            <w:shd w:fill="A65E00"/>
          </w:tcPr>
          <w:p>
            <w:pPr>
              <w:spacing w:after="0"/>
              <w:jc w:val="center"/>
            </w:pPr>
            <w:r/>
            <w:r>
              <w:rPr>
                <w:rFonts w:ascii="Arial" w:hAnsi="Arial"/>
                <w:b/>
                <w:color w:val="FFFFFF"/>
                <w:sz w:val="16"/>
              </w:rPr>
              <w:t>Release item</w:t>
            </w:r>
          </w:p>
        </w:tc>
        <w:tc>
          <w:tcPr>
            <w:tcW w:type="dxa" w:w="5040"/>
            <w:vAlign w:val="center"/>
            <w:tcMar>
              <w:top w:w="90" w:type="dxa"/>
              <w:start w:w="110" w:type="dxa"/>
              <w:bottom w:w="90" w:type="dxa"/>
              <w:end w:w="110" w:type="dxa"/>
            </w:tcMar>
            <w:shd w:fill="A65E00"/>
          </w:tcPr>
          <w:p>
            <w:pPr>
              <w:spacing w:after="0"/>
              <w:jc w:val="center"/>
            </w:pPr>
            <w:r/>
            <w:r>
              <w:rPr>
                <w:rFonts w:ascii="Arial" w:hAnsi="Arial"/>
                <w:b/>
                <w:color w:val="FFFFFF"/>
                <w:sz w:val="16"/>
              </w:rPr>
              <w:t>Required action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Ring allocation</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Reduce capacity to 4,095 or reserve more than 256 KiB.</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6"/>
              </w:rPr>
              <w:t>Integrated build</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6"/>
              </w:rPr>
              <w:t>Tag and preserve one release binary/build proving final module integration.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IPC timing</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Instrument end-to-end latency and worst-case jitter.</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6"/>
              </w:rPr>
              <w:t>External telemetry</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6"/>
              </w:rPr>
              <w:t>Use binary framing or faster transport for sustained 100 Hz full records.</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Power and EMC</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Measure idle/peak power and complete EMC/environmental validation.</w:t>
            </w:r>
          </w:p>
        </w:tc>
      </w:tr>
    </w:tbl>
    <w:p>
      <w:pPr>
        <w:pStyle w:val="Heading1"/>
      </w:pPr>
      <w:r>
        <w:t>12. Attribution and Revision Control</w:t>
      </w:r>
    </w:p>
    <w:p>
      <w:pPr>
        <w:pStyle w:val="BodyText"/>
      </w:pPr>
      <w:r>
        <w:t>Herder Elektronische Systemen developed the dual-core firmware architecture, motion-control integration, custom interface PCB, host software, logging and analysis workflows, and customer-facing documentation represented here. No third-party affiliation or endorsement is claimed.</w:t>
      </w:r>
    </w:p>
    <w:tbl>
      <w:tblPr>
        <w:tblW w:type="auto" w:w="0"/>
        <w:jc w:val="center"/>
        <w:tblLayout w:type="fixed"/>
        <w:tblLook w:firstColumn="1" w:firstRow="1" w:lastColumn="0" w:lastRow="0" w:noHBand="0" w:noVBand="1" w:val="04A0"/>
      </w:tblPr>
      <w:tblGrid>
        <w:gridCol w:w="1008"/>
        <w:gridCol w:w="1584"/>
        <w:gridCol w:w="7200"/>
      </w:tblGrid>
      <w:tr>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Rev</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Date</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Description</w:t>
            </w:r>
          </w:p>
        </w:tc>
      </w:tr>
      <w:tr>
        <w:tc>
          <w:tcPr>
            <w:tcW w:type="dxa" w:w="1008"/>
            <w:vAlign w:val="center"/>
            <w:tcMar>
              <w:top w:w="90" w:type="dxa"/>
              <w:start w:w="110" w:type="dxa"/>
              <w:bottom w:w="90" w:type="dxa"/>
              <w:end w:w="110" w:type="dxa"/>
            </w:tcMar>
            <w:shd w:fill="FFFFFF"/>
          </w:tcPr>
          <w:p>
            <w:pPr>
              <w:spacing w:after="0"/>
              <w:jc w:val="center"/>
            </w:pPr>
            <w:r/>
            <w:r>
              <w:rPr>
                <w:rFonts w:ascii="Arial" w:hAnsi="Arial"/>
                <w:b w:val="0"/>
                <w:color w:val="222222"/>
                <w:sz w:val="16"/>
              </w:rPr>
              <w:t>2.5</w:t>
            </w:r>
          </w:p>
        </w:tc>
        <w:tc>
          <w:tcPr>
            <w:tcW w:type="dxa" w:w="1584"/>
            <w:vAlign w:val="center"/>
            <w:tcMar>
              <w:top w:w="90" w:type="dxa"/>
              <w:start w:w="110" w:type="dxa"/>
              <w:bottom w:w="90" w:type="dxa"/>
              <w:end w:w="110" w:type="dxa"/>
            </w:tcMar>
            <w:shd w:fill="FFFFFF"/>
          </w:tcPr>
          <w:p>
            <w:pPr>
              <w:spacing w:after="0"/>
              <w:jc w:val="left"/>
            </w:pPr>
            <w:r/>
            <w:r>
              <w:rPr>
                <w:rFonts w:ascii="Arial" w:hAnsi="Arial"/>
                <w:b w:val="0"/>
                <w:color w:val="222222"/>
                <w:sz w:val="16"/>
              </w:rPr>
              <w:t>2026-08-03</w:t>
            </w:r>
          </w:p>
        </w:tc>
        <w:tc>
          <w:tcPr>
            <w:tcW w:type="dxa" w:w="7200"/>
            <w:vAlign w:val="center"/>
            <w:tcMar>
              <w:top w:w="90" w:type="dxa"/>
              <w:start w:w="110" w:type="dxa"/>
              <w:bottom w:w="90" w:type="dxa"/>
              <w:end w:w="110" w:type="dxa"/>
            </w:tcMar>
            <w:shd w:fill="FFFFFF"/>
          </w:tcPr>
          <w:p>
            <w:pPr>
              <w:spacing w:after="0"/>
              <w:jc w:val="left"/>
            </w:pPr>
            <w:r/>
            <w:r>
              <w:rPr>
                <w:rFonts w:ascii="Arial" w:hAnsi="Arial"/>
                <w:b w:val="0"/>
                <w:color w:val="222222"/>
                <w:sz w:val="16"/>
              </w:rPr>
              <w:t>Professional integrated report featuring the dual-core firmware, live GUI, custom PCB, physical I/O, reliability controls, and measured results.</w:t>
            </w:r>
          </w:p>
        </w:tc>
      </w:tr>
    </w:tbl>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5"/>
      </w:rPr>
      <w:t xml:space="preserve">Customer-facing engineering report • Verified architecture, interfaces, and evidence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056"/>
      <w:gridCol w:w="3024"/>
    </w:tblGrid>
    <w:tr>
      <w:tc>
        <w:tcPr>
          <w:tcW w:type="dxa" w:w="5040"/>
          <w:vAlign w:val="center"/>
          <w:tcMar>
            <w:top w:w="90" w:type="dxa"/>
            <w:start w:w="110" w:type="dxa"/>
            <w:bottom w:w="90" w:type="dxa"/>
            <w:end w:w="110" w:type="dxa"/>
          </w:tcMar>
          <w:tcBorders>
            <w:bottom w:val="single" w:sz="8" w:color="C8102E"/>
          </w:tcBorders>
        </w:tcPr>
        <w:p>
          <w:pPr>
            <w:spacing w:after="0"/>
            <w:jc w:val="left"/>
          </w:pPr>
          <w:r/>
          <w:r>
            <w:rPr>
              <w:rFonts w:ascii="Arial" w:hAnsi="Arial"/>
              <w:b/>
              <w:color w:val="C8102E"/>
              <w:sz w:val="16"/>
            </w:rPr>
            <w:t>HERDER ELEKTRONISCHE SYSTEMEN</w:t>
          </w:r>
        </w:p>
      </w:tc>
      <w:tc>
        <w:tcPr>
          <w:tcW w:type="dxa" w:w="5040"/>
          <w:vAlign w:val="center"/>
          <w:tcMar>
            <w:top w:w="90" w:type="dxa"/>
            <w:start w:w="110" w:type="dxa"/>
            <w:bottom w:w="90" w:type="dxa"/>
            <w:end w:w="110" w:type="dxa"/>
          </w:tcMar>
          <w:tcBorders>
            <w:bottom w:val="single" w:sz="8" w:color="C8102E"/>
          </w:tcBorders>
        </w:tcPr>
        <w:p>
          <w:pPr>
            <w:spacing w:after="0"/>
            <w:jc w:val="right"/>
          </w:pPr>
          <w:r/>
          <w:r>
            <w:rPr>
              <w:rFonts w:ascii="Arial" w:hAnsi="Arial"/>
              <w:b/>
              <w:color w:val="555555"/>
              <w:sz w:val="16"/>
            </w:rPr>
            <w:t>ENGINEERING REPORT  |  REV 2.5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C8102E"/>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C81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