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dual-core control, 1 kHz encoder loop, telemetry, verification, and measured characterization</w:t>
            </w:r>
          </w:p>
          <w:p>
            <w:pPr>
              <w:spacing w:after="0"/>
            </w:pPr>
            <w:r>
              <w:rPr>
                <w:b w:val="0"/>
                <w:color w:val="FFFFFF"/>
                <w:sz w:val="20"/>
              </w:rPr>
              <w:t>Customer-facing technical report</w:t>
              <w:br/>
              <w:t>Revision 7.1 - 13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control architecture, 1 kHz encoder loop, telemetry integrity, automated characterization, and measured results</w:t>
            </w:r>
          </w:p>
          <w:p>
            <w:pPr>
              <w:spacing w:before="160" w:after="0" w:line="240" w:lineRule="auto"/>
            </w:pPr>
            <w:r>
              <w:rPr>
                <w:rFonts w:ascii="Aptos" w:hAnsi="Aptos" w:eastAsia="Aptos"/>
                <w:b/>
                <w:color w:val="2F506F"/>
                <w:sz w:val="17"/>
              </w:rPr>
              <w:t>ENGINEERING REQUIREMENTS DOCUMENT  |  REVISION 7.1  |  13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architecture, host telemetry, safety behavior, verification,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Private firmware review, GUI recordings, measured plots, test evidence, and controlled engineering analysis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implementation-level IP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dual-core firmware and host test system while preserving implementation-level intellectual property.</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document is deliberately detailed about requirements, architectural decisions, operating behavior, verification, failure modes, and measured performance. It does not publish source code, memory addresses, linker placement, MPU/cache settings, synchronization primitives, board-specific mappings, build instructions, or any information intended to enable reproduction of the implementation.</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FRD governs the public-facing behavior of the STM32H747 dual-core motion-control subsystem and its host-side telemetry/test environment. The controlled scope includes workload separation, closed-loop encoder control, operator command/state behavior, telemetry integrity, fault handling, automated characterization, and measured performance evidence. Mechanical construction and manufacturing details remain in the companion platform FRD.</w:t>
      </w:r>
    </w:p>
    <w:p>
      <w:pPr>
        <w:spacing w:after="120" w:line="259" w:lineRule="auto"/>
      </w:pPr>
      <w:r>
        <w:rPr>
          <w:rFonts w:ascii="Aptos" w:hAnsi="Aptos"/>
          <w:color w:val="1F2933"/>
          <w:sz w:val="20"/>
        </w:rPr>
        <w:t>The reviewed private v0.3 firmware archive is used only as an evidence basis for public claims. Implementation-level details remain private. The current archive supports an encoder-based closed position/speed path and a separate current-sensed FOC integration path; only the behavior actually supported by the reviewed implementation is claimed here.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Target control</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Core roles, control cadence, state behavior, fault classes, command/telemetry behavior</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ISR/timer implementation, peripheral mappings, tuning constants, board hooks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communication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Logical separation of command/status and continuous telemetry; integrity observability</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Memory map, cache/MPU policy, barriers, synchronization code, exact buffer layout</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Host/test</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Live telemetry, logging purpose, automated characterization, retained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code, deployment/configuration procedures, internal file formats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plots, requirements traceability, known limitations, failure-mode coverage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Private benches, reproduction procedures, internal debugging infrastructure</w:t>
            </w:r>
          </w:p>
        </w:tc>
      </w:tr>
    </w:tbl>
    <w:p/>
    <w:p>
      <w:pPr>
        <w:pStyle w:val="Heading1"/>
        <w:keepNext/>
      </w:pPr>
      <w:r>
        <w:rPr>
          <w:rFonts w:ascii="Aptos" w:hAnsi="Aptos"/>
          <w:b/>
          <w:color w:val="17365D"/>
          <w:sz w:val="28"/>
        </w:rPr>
        <w:t>1. System Role and Architectural Decision</w:t>
      </w:r>
    </w:p>
    <w:p>
      <w:pPr>
        <w:spacing w:after="120" w:line="259" w:lineRule="auto"/>
      </w:pPr>
      <w:r>
        <w:rPr>
          <w:rFonts w:ascii="Aptos" w:hAnsi="Aptos"/>
          <w:color w:val="1F2933"/>
          <w:sz w:val="20"/>
        </w:rPr>
        <w:t>The project uses the STM32H747 as a heterogeneous dual-core controller, with a 400 MHz Cortex-M7 and a 200 MHz Cortex-M4. The architectural decision was not driven by the modest public telemetry rate. It was driven by the need to preserve deterministic motion-generation headroom while communication, telemetry, diagnostics, and test orchestration continue concurrently.</w:t>
      </w:r>
    </w:p>
    <w:p>
      <w:pPr>
        <w:spacing w:after="120" w:line="259" w:lineRule="auto"/>
      </w:pPr>
      <w:r>
        <w:rPr>
          <w:rFonts w:ascii="Aptos" w:hAnsi="Aptos"/>
          <w:color w:val="1F2933"/>
          <w:sz w:val="20"/>
        </w:rPr>
        <w:t>In the project history, the highest timing pressure came from operating the drivetrain at fine microstep resolution while commanding higher mechanical speed. Fine microstepping increases the required STEP-event frequency for a given output speed; moving variable-latency communication and telemetry work away from the timing-critical control path protects pulse regularity and leaves more execution margin for motion control. The current private v0.3 branch evolves that same separation toward encoder-controlled three-phase actuation and a fixed-rate control task.</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Architecture trade-off</w:t>
              <w:br/>
            </w:r>
            <w:r>
              <w:rPr>
                <w:rFonts w:ascii="Aptos" w:hAnsi="Aptos"/>
                <w:color w:val="1F2933"/>
                <w:sz w:val="18"/>
              </w:rPr>
              <w:t>A single 400 MHz M7 can easily process 100 Hz telemetry. Dual-core operation is justified here by workload isolation and timing margin, not by the telemetry bandwidth itself. This distinction is retained explicitly so the portfolio does not overstate the need for multicore processing.</w:t>
            </w:r>
          </w:p>
        </w:tc>
      </w:tr>
    </w:tbl>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Decision factor</w:t>
            </w:r>
          </w:p>
        </w:tc>
        <w:tc>
          <w:tcPr>
            <w:tcW w:type="dxa" w:w="352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Single-core consequence</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Dual-core benefit</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Timing-critical motion work</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Shares scheduling and interrupt budget with communications and diagnostics</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Control workload can be isolated from variable-latency service work</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Higher motion-event rates</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More sensitivity to blocking host/telemetry activity</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Additional execution margin and clearer ownership boundaries</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Telemetry/test expansion</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Feature growth increases coupling to control timing</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Growth can be absorbed on the service side without redesigning the control path</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Complexity</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Simpler implementation and debugging</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Requires explicit IPC, state ownership, coherency, startup, and fault contracts</w:t>
            </w:r>
          </w:p>
        </w:tc>
      </w:tr>
    </w:tbl>
    <w:p/>
    <w:p>
      <w:pPr>
        <w:pStyle w:val="Heading1"/>
        <w:keepNext/>
      </w:pPr>
      <w:r>
        <w:rPr>
          <w:rFonts w:ascii="Aptos" w:hAnsi="Aptos"/>
          <w:b/>
          <w:color w:val="17365D"/>
          <w:sz w:val="28"/>
        </w:rPr>
        <w:t>2. Functional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45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separate timing-critical control work from communication/telemetry service work.</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Prevents nondeterministic host/service activity from consuming the control execution budget.</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concurrent-load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control path shall execute at a fixed nominal cadence of 1 kHz in the reviewed integration.</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Deterministic state estimation and actuation require bounded sample timing.</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Target timing observation and log review.</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expose commanded state, measured state, operating state, and fault state to the host.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Operators need direct observability of whether actual behavior follows requested behavior.</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GUI/telemetry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data transfer shall make loss, stalling, overflow, and sequence discontinuity observable.</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Silent corruption or silent data loss is unacceptable in characterization data.</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Counter/sequence fault-injection test.</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PWM/actuation outputs shall be inhibited outside the permitted running state or whenever a fault is active.</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software safe state must dominate commanded operation.</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State-transition and fault-response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Position commands shall be constrained by configured travel limits and invalid encoder/timing conditions shall prevent active output.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Motion control must remain bounded by validated operating conditions.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Boundary-command and invalid-feedback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host shall support repeatable characterization with retained telemetry and analysis context.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Results must be traceable to the commanded test rather than exist only as screenshots.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 run and retained-data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 claims shall distinguish the commissioned encoder-control path from the uncommissioned current-sensed FOC integration path.</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Prevents the portfolio from claiming performance not supported by the reviewed source and evidence.</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Document/source reconciliation.</w:t>
            </w:r>
          </w:p>
        </w:tc>
      </w:tr>
    </w:tbl>
    <w:p/>
    <w:p>
      <w:pPr>
        <w:pStyle w:val="Heading1"/>
        <w:keepNext/>
      </w:pPr>
      <w:r>
        <w:rPr>
          <w:rFonts w:ascii="Aptos" w:hAnsi="Aptos"/>
          <w:b/>
          <w:color w:val="17365D"/>
          <w:sz w:val="28"/>
        </w:rPr>
        <w:t>3. Control, State, and Safety Behavior</w:t>
      </w:r>
    </w:p>
    <w:p>
      <w:pPr>
        <w:spacing w:after="120" w:line="259" w:lineRule="auto"/>
      </w:pPr>
      <w:r>
        <w:rPr>
          <w:rFonts w:ascii="Aptos" w:hAnsi="Aptos"/>
          <w:color w:val="1F2933"/>
          <w:sz w:val="20"/>
        </w:rPr>
        <w:t>The reviewed v0.3 control architecture is built around an encoder-based position/speed path. The control state model distinguishes disabled, homing, armed, running, and fault conditions. Energized actuation is permitted only when the controller is in the running state and no fault condition is active. All other states resolve to a disabled or neutral output condition.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Behavior</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requirement</w:t>
            </w:r>
          </w:p>
        </w:tc>
        <w:tc>
          <w:tcPr>
            <w:tcW w:type="dxa" w:w="32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Reason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Fixed-rate control</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Nominal 1 kHz execution for the reviewed encoder-control path</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Provides a bounded update interval for estimation and closed-loop behavior.</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 validity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Fresh, plausible feedback is required for active closed-loop operation</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Prevents stale or invalid position feedback from being treated as current state.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 supervision</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Unexpected control timing is treated as a fault condition</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Avoids applying control laws with invalid sample intervals.</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 supervision</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Commanded and measured motion remain within configured operating limits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Constrains the controller to the verified mechanical envelope.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Output gating</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Actuation is enabled only in a valid running state with no active fault</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Ensures fault handling dominates normal command execution.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Watchdog/fault recovery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Faults require deliberate recovery before motion resumes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Avoids automatic re-energization after abnormal behavior.</w:t>
            </w:r>
          </w:p>
        </w:tc>
      </w:tr>
    </w:tbl>
    <w:p/>
    <w:p>
      <w:pPr>
        <w:pStyle w:val="Heading1"/>
        <w:keepNext/>
      </w:pPr>
      <w:r>
        <w:rPr>
          <w:rFonts w:ascii="Aptos" w:hAnsi="Aptos"/>
          <w:b/>
          <w:color w:val="17365D"/>
          <w:sz w:val="28"/>
        </w:rPr>
        <w:t>4. Dual-Core IPC and Shared-Memory Correctness</w:t>
      </w:r>
    </w:p>
    <w:p>
      <w:pPr>
        <w:spacing w:after="120" w:line="259" w:lineRule="auto"/>
      </w:pPr>
      <w:r>
        <w:rPr>
          <w:rFonts w:ascii="Aptos" w:hAnsi="Aptos"/>
          <w:color w:val="1F2933"/>
          <w:sz w:val="20"/>
        </w:rPr>
        <w:t>The dual-core subsystem uses two logical communication classes: low-rate command/status exchange and a bounded shared-memory path for continuous motion records. That separation keeps command semantics independent of streaming telemetry and allows the service core to consume data without forcing every record through the command channel.</w:t>
      </w:r>
    </w:p>
    <w:p>
      <w:pPr>
        <w:spacing w:after="120" w:line="259" w:lineRule="auto"/>
      </w:pPr>
      <w:r>
        <w:rPr>
          <w:rFonts w:ascii="Aptos" w:hAnsi="Aptos"/>
          <w:color w:val="1F2933"/>
          <w:sz w:val="20"/>
        </w:rPr>
        <w:t>The important engineering risk is not bandwidth; it is correctness at the ownership boundary. The Cortex-M7 cache architecture means shared memory can become stale, partially published, or observed out of order unless the implementation defines a coherent memory policy and synchronization contract. Cache coherency is therefore treated as a system-level requirement, not an implementation footnote.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Integrity concern</w:t>
            </w:r>
          </w:p>
        </w:tc>
        <w:tc>
          <w:tcPr>
            <w:tcW w:type="dxa" w:w="43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property</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verification statement</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Cache coherency</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 consumer shall not act on stale or partially published shared data.</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Concurrent-core stress testing and consistency checks are required.</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Publication ordering</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Record contents shall become valid before ownership/index state advertises the record.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and consistency tests verify complete-record observation.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Buffer bounds</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Metadata plus retained records shall remain within the reserved object boundary.</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Compile-time size contracts guard against layout regression.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continuity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Loss or overwrite shall be observable rather than silent.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Sequence-gap and drop accounting are part of verification.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Timestamp rollover</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Elapsed-time reconstruction shall remain valid across finite-width timestamp wrap.</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Host/analysis rollover tests are part of the validation set.</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Version compatibility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Protocol revisions shall remain representable and explicitly checked.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Interface-version validation is required before accepting messages.</w:t>
            </w:r>
          </w:p>
        </w:tc>
      </w:tr>
    </w:tbl>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Corrected boundary defect</w:t>
              <w:br/>
            </w:r>
            <w:r>
              <w:rPr>
                <w:rFonts w:ascii="Aptos" w:hAnsi="Aptos"/>
                <w:color w:val="1F2933"/>
                <w:sz w:val="18"/>
              </w:rPr>
              <w:t>Engineering review identified an earlier shared-buffer sizing defect in which record capacity consumed the complete reservation without leaving room for metadata. The private implementation was corrected and compile-time fit checks were added. Exact object layout and memory placement are intentionally omitted from this public release.</w:t>
            </w:r>
          </w:p>
        </w:tc>
      </w:tr>
    </w:tbl>
    <w:p/>
    <w:p>
      <w:pPr>
        <w:pStyle w:val="Heading1"/>
        <w:keepNext/>
      </w:pPr>
      <w:r>
        <w:rPr>
          <w:rFonts w:ascii="Aptos" w:hAnsi="Aptos"/>
          <w:b/>
          <w:color w:val="17365D"/>
          <w:sz w:val="28"/>
        </w:rPr>
        <w:t>5. Host Application, Telemetry, and Test Workflow</w:t>
      </w:r>
    </w:p>
    <w:p>
      <w:pPr>
        <w:spacing w:after="120" w:line="259" w:lineRule="auto"/>
      </w:pPr>
      <w:r>
        <w:rPr>
          <w:rFonts w:ascii="Aptos" w:hAnsi="Aptos"/>
          <w:color w:val="1F2933"/>
          <w:sz w:val="20"/>
        </w:rPr>
        <w:t>The host application provides the operator-facing layer for connection state, command entry, live position and speed monitoring, scripted characterization, data retention, and analysis. The host is treated as a test/observability subsystem rather than a hard real-time controller; time-critical safety behavior remains on the target.</w:t>
      </w:r>
    </w:p>
    <w:p>
      <w:pPr>
        <w:keepNext/>
        <w:jc w:val="center"/>
      </w:pPr>
      <w:r>
        <w:drawing>
          <wp:inline xmlns:a="http://schemas.openxmlformats.org/drawingml/2006/main" xmlns:pic="http://schemas.openxmlformats.org/drawingml/2006/picture">
            <wp:extent cx="5989320" cy="326561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3265617"/>
                    </a:xfrm>
                    <a:prstGeom prst="rect"/>
                  </pic:spPr>
                </pic:pic>
              </a:graphicData>
            </a:graphic>
          </wp:inline>
        </w:drawing>
      </w:r>
    </w:p>
    <w:p>
      <w:pPr>
        <w:pStyle w:val="Caption"/>
        <w:spacing w:after="160"/>
        <w:jc w:val="center"/>
      </w:pPr>
      <w:r>
        <w:rPr>
          <w:rFonts w:ascii="Aptos" w:hAnsi="Aptos"/>
          <w:i/>
          <w:color w:val="4B5563"/>
          <w:sz w:val="17"/>
        </w:rPr>
        <w:t>Figure 1. Host telemetry interface showing commanded/measured motion and live encoder-derived data.</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Host function</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behavior</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 retained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Connection/status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Make target availability and operating state visible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state and run records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Live telemetry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Display commanded and measured motion without hiding fault/integrity state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Captured GUI plots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Execute repeatable motion profiles and retain run identity/context</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Characterization datasets and plots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Logging</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Preserve analysis-ready measurements with enough context to trace each run</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CSV/metadata evidence</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Recovery</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Differentiate a communication interruption from a target fault or invalid run</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Observed reconnect/fault behavior</w:t>
            </w:r>
          </w:p>
        </w:tc>
      </w:tr>
    </w:tbl>
    <w:p/>
    <w:p>
      <w:pPr>
        <w:pStyle w:val="Heading1"/>
        <w:keepNext/>
      </w:pPr>
      <w:r>
        <w:rPr>
          <w:rFonts w:ascii="Aptos" w:hAnsi="Aptos"/>
          <w:b/>
          <w:color w:val="17365D"/>
          <w:sz w:val="28"/>
        </w:rPr>
        <w:t>6. Measured Motion Characterization</w:t>
      </w:r>
    </w:p>
    <w:p>
      <w:pPr>
        <w:spacing w:after="120" w:line="259" w:lineRule="auto"/>
      </w:pPr>
      <w:r>
        <w:rPr>
          <w:rFonts w:ascii="Aptos" w:hAnsi="Aptos"/>
          <w:color w:val="1F2933"/>
          <w:sz w:val="20"/>
        </w:rPr>
        <w:t>The public evidence set retains measured motion behavior rather than implementation internals. The useful ultra-low-speed range, constant-speed tracking, transient response, and closed-loop sine-response tests collectively show how the integrated control/test system behaves across different operating conditions. These figures are evidence, not a substitute for the withheld implementation.</w:t>
      </w:r>
    </w:p>
    <w:p>
      <w:pPr>
        <w:keepNext/>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3214688"/>
                    </a:xfrm>
                    <a:prstGeom prst="rect"/>
                  </pic:spPr>
                </pic:pic>
              </a:graphicData>
            </a:graphic>
          </wp:inline>
        </w:drawing>
      </w:r>
    </w:p>
    <w:p>
      <w:pPr>
        <w:pStyle w:val="Caption"/>
        <w:spacing w:after="160"/>
        <w:jc w:val="center"/>
      </w:pPr>
      <w:r>
        <w:rPr>
          <w:rFonts w:ascii="Aptos" w:hAnsi="Aptos"/>
          <w:i/>
          <w:color w:val="4B5563"/>
          <w:sz w:val="17"/>
        </w:rPr>
        <w:t>Figure 2. Low-speed tracking summary showing the usable ultra-slow range and the observed high-speed ceiling of the tested configuration.</w:t>
      </w:r>
    </w:p>
    <w:p>
      <w:pPr>
        <w:spacing w:after="120" w:line="259" w:lineRule="auto"/>
      </w:pPr>
      <w:r>
        <w:rPr>
          <w:rFonts w:ascii="Aptos" w:hAnsi="Aptos"/>
          <w:color w:val="1F2933"/>
          <w:sz w:val="20"/>
        </w:rPr>
        <w:t>The low-speed data show the strongest tracking in the approximate 0.003-0.005 deg/s region. At higher requested speed in the tested fine-resolution configuration, the measured response approaches a ceiling rather than continuing linearly. That behavior is one of the reasons the architecture work focused on preserving motion-generation headroom while retaining fine motion resolution.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Commanded speed</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Measured speed</w:t>
            </w:r>
          </w:p>
        </w:tc>
        <w:tc>
          <w:tcPr>
            <w:tcW w:type="dxa" w:w="56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Interpretation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0.002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0.001818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Low-speed operation demonstrated; quantization and estimator effects are increasingly visible.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0.003214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Strong agreement in the tested ultra-slow region.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0.005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0.004676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Strong agreement with modest negative bias.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0.010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0.008378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Tracking remains usable but error increases.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0.05-0.10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Approximately 0.016 deg/s plateau in this configuration</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Demonstrates a configuration-specific ceiling rather than a universal system limit.</w:t>
            </w:r>
          </w:p>
        </w:tc>
      </w:tr>
    </w:tbl>
    <w:p/>
    <w:p>
      <w:pPr>
        <w:keepNext/>
        <w:jc w:val="center"/>
      </w:pPr>
      <w:r>
        <w:drawing>
          <wp:inline xmlns:a="http://schemas.openxmlformats.org/drawingml/2006/main" xmlns:pic="http://schemas.openxmlformats.org/drawingml/2006/picture">
            <wp:extent cx="5623560" cy="4146277"/>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23560" cy="4146277"/>
                    </a:xfrm>
                    <a:prstGeom prst="rect"/>
                  </pic:spPr>
                </pic:pic>
              </a:graphicData>
            </a:graphic>
          </wp:inline>
        </w:drawing>
      </w:r>
    </w:p>
    <w:p>
      <w:pPr>
        <w:pStyle w:val="Caption"/>
        <w:spacing w:after="160"/>
        <w:jc w:val="center"/>
      </w:pPr>
      <w:r>
        <w:rPr>
          <w:rFonts w:ascii="Aptos" w:hAnsi="Aptos"/>
          <w:i/>
          <w:color w:val="4B5563"/>
          <w:sz w:val="17"/>
        </w:rPr>
        <w:t>Figure 3. Extended constant-speed tracking and stability characterization.</w:t>
      </w:r>
    </w:p>
    <w:p>
      <w:pPr>
        <w:keepNext/>
        <w:jc w:val="center"/>
      </w:pPr>
      <w:r>
        <w:drawing>
          <wp:inline xmlns:a="http://schemas.openxmlformats.org/drawingml/2006/main" xmlns:pic="http://schemas.openxmlformats.org/drawingml/2006/picture">
            <wp:extent cx="5623560" cy="3893656"/>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23560" cy="3893656"/>
                    </a:xfrm>
                    <a:prstGeom prst="rect"/>
                  </pic:spPr>
                </pic:pic>
              </a:graphicData>
            </a:graphic>
          </wp:inline>
        </w:drawing>
      </w:r>
    </w:p>
    <w:p>
      <w:pPr>
        <w:pStyle w:val="Caption"/>
        <w:spacing w:after="160"/>
        <w:jc w:val="center"/>
      </w:pPr>
      <w:r>
        <w:rPr>
          <w:rFonts w:ascii="Aptos" w:hAnsi="Aptos"/>
          <w:i/>
          <w:color w:val="4B5563"/>
          <w:sz w:val="17"/>
        </w:rPr>
        <w:t>Figure 4. Step-response characterization using multiple transient error and tracking metrics.</w:t>
      </w:r>
    </w:p>
    <w:p>
      <w:pPr>
        <w:keepNext/>
        <w:jc w:val="center"/>
      </w:pPr>
      <w:r>
        <w:drawing>
          <wp:inline xmlns:a="http://schemas.openxmlformats.org/drawingml/2006/main" xmlns:pic="http://schemas.openxmlformats.org/drawingml/2006/picture">
            <wp:extent cx="5623560" cy="4080376"/>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23560" cy="4080376"/>
                    </a:xfrm>
                    <a:prstGeom prst="rect"/>
                  </pic:spPr>
                </pic:pic>
              </a:graphicData>
            </a:graphic>
          </wp:inline>
        </w:drawing>
      </w:r>
    </w:p>
    <w:p>
      <w:pPr>
        <w:pStyle w:val="Caption"/>
        <w:spacing w:after="160"/>
        <w:jc w:val="center"/>
      </w:pPr>
      <w:r>
        <w:rPr>
          <w:rFonts w:ascii="Aptos" w:hAnsi="Aptos"/>
          <w:i/>
          <w:color w:val="4B5563"/>
          <w:sz w:val="17"/>
        </w:rPr>
        <w:t>Figure 5. Closed-loop sine-response estimate across the tested 0.33-2 Hz range.</w:t>
      </w:r>
    </w:p>
    <w:p>
      <w:pPr>
        <w:spacing w:after="120" w:line="259" w:lineRule="auto"/>
      </w:pPr>
      <w:r>
        <w:rPr>
          <w:rFonts w:ascii="Aptos" w:hAnsi="Aptos"/>
          <w:color w:val="1F2933"/>
          <w:sz w:val="20"/>
        </w:rPr>
        <w:t>The frequency-response evidence supports reporting behavior across the tested frequencies. It does not independently establish a formal -3 dB bandwidth because the available data do not demonstrate a complete, well-resolved crossing. Public claims are intentionally limited to the measured range.</w:t>
      </w:r>
    </w:p>
    <w:p>
      <w:pPr>
        <w:pStyle w:val="Heading1"/>
        <w:keepNext/>
      </w:pPr>
      <w:r>
        <w:rPr>
          <w:rFonts w:ascii="Aptos" w:hAnsi="Aptos"/>
          <w:b/>
          <w:color w:val="17365D"/>
          <w:sz w:val="28"/>
        </w:rPr>
        <w:t>7. Current Firmware Maturity and FOC Boundary</w:t>
      </w:r>
    </w:p>
    <w:p>
      <w:pPr>
        <w:spacing w:after="120" w:line="259" w:lineRule="auto"/>
      </w:pPr>
      <w:r>
        <w:rPr>
          <w:rFonts w:ascii="Aptos" w:hAnsi="Aptos"/>
          <w:color w:val="1F2933"/>
          <w:sz w:val="20"/>
        </w:rPr>
        <w:t>The private v0.3 archive contains two distinct motor-control paths. The deployable path supported by the available feedback is an encoder-based closed position/speed controller that produces a sensored rotating voltage command. It is not current-regulated field-oriented control. A separate current-sensed FOC integration path is present for future commissioning once calibrated phase-current feedback and the required power-stage integration are available.</w:t>
      </w:r>
    </w:p>
    <w:tbl>
      <w:tblPr>
        <w:tblStyle w:val="TableGrid"/>
        <w:tblW w:type="auto" w:w="0"/>
        <w:tblLayout w:type="fixed"/>
        <w:tblLook w:firstColumn="1" w:firstRow="1" w:lastColumn="0" w:lastRow="0" w:noHBand="0" w:noVBand="1" w:val="04A0"/>
      </w:tblPr>
      <w:tblGrid>
        <w:gridCol w:w="5141"/>
        <w:gridCol w:w="5141"/>
      </w:tblGrid>
      <w:tr>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64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Current public disposition</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Dual-core command/telemetry architecture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Implemented and reviewed at the application layer.</w:t>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Encoder-based position/speed control</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 in the private v0.3 integration and treated as the current control path.</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 kHz control cadence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Defined for the reviewed integration; fixed-rate hardware-triggered execution is the target for energized operation.</w:t>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Current-regulated d/q FOC</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Integration path exists, but commissioned platform operation is not claimed.</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Power-stage/peripheral-specific implementation</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Private and outside the public release boundary.</w:t>
            </w:r>
          </w:p>
        </w:tc>
      </w:tr>
    </w:tbl>
    <w:p/>
    <w:p>
      <w:pPr>
        <w:pStyle w:val="Heading1"/>
        <w:keepNext/>
      </w:pPr>
      <w:r>
        <w:rPr>
          <w:rFonts w:ascii="Aptos" w:hAnsi="Aptos"/>
          <w:b/>
          <w:color w:val="17365D"/>
          <w:sz w:val="28"/>
        </w:rPr>
        <w:t>8. Verification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59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evidence</w:t>
            </w:r>
          </w:p>
        </w:tc>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 workload analysis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Satisfied at architecture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Reviewed control-task cadence and timing requirement</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 in reviewed integration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captures and logged commanded/measured state</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Integrity counters, sequence continuity, and fault-observability requirements</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Implemented/verified privately; public method stated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State/fault gating review and safe-output requirement</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Implemented in reviewed integration</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Travel/speed/invalid-feedback boundary behavior</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Defined and privately verified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characterization plots and retained data products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Source-to-document reconciliation of encoder path versus FOC path</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w:t>
            </w:r>
          </w:p>
        </w:tc>
      </w:tr>
    </w:tbl>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source code, Simulink/model files, memory maps, linker placement, cache/MPU configuration, synchronization code, pinouts, schematics, PCB files, BOMs, or setup/flash procedures are included.</w:t>
      </w:r>
    </w:p>
    <w:p>
      <w:pPr>
        <w:pStyle w:val="ListBullet"/>
        <w:spacing w:after="60" w:line="252" w:lineRule="auto"/>
      </w:pPr>
      <w:r>
        <w:rPr>
          <w:rFonts w:ascii="Aptos" w:hAnsi="Aptos"/>
          <w:color w:val="1F2933"/>
          <w:sz w:val="19"/>
        </w:rPr>
        <w:t>Measured performance is specific to the tested hardware/configuration and is not presented as a universal controller limit.</w:t>
      </w:r>
    </w:p>
    <w:p>
      <w:pPr>
        <w:pStyle w:val="ListBullet"/>
        <w:spacing w:after="60" w:line="252" w:lineRule="auto"/>
      </w:pPr>
      <w:r>
        <w:rPr>
          <w:rFonts w:ascii="Aptos" w:hAnsi="Aptos"/>
          <w:color w:val="1F2933"/>
          <w:sz w:val="19"/>
        </w:rPr>
        <w:t>Current-sensed FOC commissioning is not claimed by the reviewed v0.3 evidence.</w:t>
      </w:r>
    </w:p>
    <w:p>
      <w:pPr>
        <w:pStyle w:val="ListBullet"/>
        <w:spacing w:after="60" w:line="252" w:lineRule="auto"/>
      </w:pPr>
      <w:r>
        <w:rPr>
          <w:rFonts w:ascii="Aptos" w:hAnsi="Aptos"/>
          <w:color w:val="1F2933"/>
          <w:sz w:val="19"/>
        </w:rPr>
        <w:t>The public coherency discussion defines the correctness requirement and verification intent, not the private implementation method.</w:t>
      </w:r>
    </w:p>
    <w:p>
      <w:pPr>
        <w:pStyle w:val="ListBullet"/>
        <w:spacing w:after="60" w:line="252" w:lineRule="auto"/>
      </w:pPr>
      <w:r>
        <w:rPr>
          <w:rFonts w:ascii="Aptos" w:hAnsi="Aptos"/>
          <w:color w:val="1F2933"/>
          <w:sz w:val="19"/>
        </w:rPr>
        <w:t>Formal EMC, environmental, functional-safety, and production qualification are outside the scope of this portfolio FRD.</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7.1</w:t>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13 August 2026</w:t>
            </w:r>
          </w:p>
        </w:tc>
        <w:tc>
          <w:tcPr>
            <w:tcW w:type="dxa" w:w="61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Restored the established v5 FRD template; expanded architecture rationale, control-state behavior, shared-memory correctness requirements, firmware maturity, measured evidence, and traceability while removing reproduction-level IP.</w:t>
            </w:r>
          </w:p>
        </w:tc>
      </w:tr>
    </w:tbl>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