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620" w:type="dxa"/>
              <w:start w:w="400" w:type="dxa"/>
              <w:bottom w:w="620" w:type="dxa"/>
              <w:end w:w="400" w:type="dxa"/>
            </w:tcMar>
          </w:tcPr>
          <w:p>
            <w:pPr>
              <w:spacing w:after="360"/>
            </w:pPr>
            <w:r/>
            <w:r>
              <w:rPr>
                <w:rFonts w:ascii="Arial" w:hAnsi="Arial"/>
                <w:b/>
                <w:color w:val="FFFFFF"/>
                <w:sz w:val="54"/>
              </w:rPr>
              <w:t>MECHANICAL PLATFORM &amp; ELECTRICAL INTEGRATION</w:t>
            </w:r>
          </w:p>
          <w:p>
            <w:pPr>
              <w:spacing w:after="360"/>
            </w:pPr>
            <w:r>
              <w:rPr>
                <w:rFonts w:ascii="Arial" w:hAnsi="Arial"/>
                <w:b/>
                <w:color w:val="FFFFFF"/>
                <w:sz w:val="30"/>
              </w:rPr>
              <w:t>Dual-Axis Optical Motion Testbed — Physical System, Interfaces, and Verification</w:t>
            </w:r>
          </w:p>
          <w:p>
            <w:r>
              <w:rPr>
                <w:rFonts w:ascii="Arial" w:hAnsi="Arial"/>
                <w:color w:val="FFFFFF"/>
                <w:sz w:val="20"/>
              </w:rPr>
              <w:t>Customer-facing technical report</w:t>
              <w:br/>
              <w:t>Revision 2.3 • 3 August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architecture, load path, encoder and motor interfaces, custom PCB,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Companion report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Dual-Core Firmware &amp; Host Software FRD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editable manufacturing sources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EMPHASIS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presents the physical platform and electrical integration as a distinct engineering deliverable. The companion firmware FRD covers the STM32H747/OpenAMP implementation in depth.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BodyText"/>
      </w:pPr>
      <w:r>
        <w:t>The dual-axis optical motion testbed combines a load-bearing rotary platform, manual lateral translation, differential encoder feedback, STEP/DIR actuation, emergency-stop behavior, and a custom encoder/motor interface PCB. This report focuses on the physical architecture, interfaces, manufacturable electronics, and verification evidence that make the embedded control system usable as an experimental instrument.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46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4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1. Exploded mechanical assembly showing the structural frame, rotary stage, translation mechanism, and optical mounting platform.</w:t>
      </w:r>
    </w:p>
    <w:p>
      <w:pPr>
        <w:pStyle w:val="Heading1"/>
      </w:pPr>
      <w:r>
        <w:t>2. Physical System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continuous rotary motion and independent lateral alignment.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Carry the optical assembly and a demonstrated 40 lb static load.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more than ±3 in of lateral travel with an operator-readable scale.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Accept differential A/B encoder feedback and provide logic-level outputs to the controller.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STEP/DIR motor-driver interfacing with a common logic reference.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emergency power removal independent of host software.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DOC-01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Expose customer-readable schematics, PCB evidence, and physical verification results.</w:t>
            </w:r>
          </w:p>
        </w:tc>
      </w:tr>
    </w:tbl>
    <w:p>
      <w:r>
        <w:br w:type="page"/>
      </w:r>
    </w:p>
    <w:p>
      <w:pPr>
        <w:pStyle w:val="Heading1"/>
      </w:pPr>
      <w:r>
        <w:t>3.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60520" cy="233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33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2. Assembled dual-axis optical motion testbed.</w:t>
      </w:r>
    </w:p>
    <w:p>
      <w:pPr>
        <w:pStyle w:val="BodyText"/>
      </w:pPr>
      <w:r>
        <w:t>The lower structure supports the rotary stage and drivetrain. The upper optical platform rides on parallel guides and is translated manually through a lead-screw mechanism. This arrangement separates angular motion from lateral alignment while retaining access to the motor, encoder, wiring, and embedded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value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 demonstration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Lateral travel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platform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Readable translation increment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drivetrain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Stepper motor through 24.65:1 gearing</w:t>
            </w:r>
          </w:p>
        </w:tc>
      </w:tr>
    </w:tbl>
    <w:p>
      <w:pPr>
        <w:pStyle w:val="Heading2"/>
      </w:pPr>
      <w:r>
        <w:t>3.1 Translation and operator alignment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405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High-contrast translation pointer and fixed measurement scale.</w:t>
      </w:r>
    </w:p>
    <w:p>
      <w:pPr>
        <w:pStyle w:val="BodyText"/>
      </w:pPr>
      <w:r>
        <w:t>The fixed scale and high-contrast pointer provide direct visual confirmation of lateral offset without requiring the host application. The mechanical adjustment remains independent of the rotary control loop.</w:t>
      </w:r>
    </w:p>
    <w:p>
      <w:r>
        <w:br w:type="page"/>
      </w:r>
    </w:p>
    <w:p>
      <w:pPr>
        <w:pStyle w:val="Heading1"/>
      </w:pPr>
      <w:r>
        <w:t>4. Load Path, Assembly, and Safety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3838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3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Static-load demonstration on the assembled platform.</w:t>
      </w:r>
    </w:p>
    <w:p>
      <w:pPr>
        <w:pStyle w:val="BodyText"/>
      </w:pPr>
      <w:r>
        <w:t>The frame transfers optical-platform loads through the guide and rotary structures into the bench interface. Standard fasteners and accessible subassemblies support adjustment and service. Emergency-stop behavior removes drive power independently of GUI state.</w:t>
      </w:r>
    </w:p>
    <w:p>
      <w:pPr>
        <w:pStyle w:val="ListBullet"/>
      </w:pPr>
      <w:r>
        <w:t>Clear moving cables and optical hardware before operation.</w:t>
      </w:r>
    </w:p>
    <w:p>
      <w:pPr>
        <w:pStyle w:val="ListBullet"/>
      </w:pPr>
      <w:r>
        <w:t>Mount the assembly to a rigid optical table or equivalent base.</w:t>
      </w:r>
    </w:p>
    <w:p>
      <w:pPr>
        <w:pStyle w:val="ListBullet"/>
      </w:pPr>
      <w:r>
        <w:t>Keep hands clear of the translation mechanism and rotary interfaces.</w:t>
      </w:r>
    </w:p>
    <w:p>
      <w:pPr>
        <w:pStyle w:val="ListBullet"/>
      </w:pPr>
      <w:r>
        <w:t>Verify emergency-stop function before powered testing.</w:t>
      </w:r>
    </w:p>
    <w:p>
      <w:pPr>
        <w:pStyle w:val="Heading1"/>
      </w:pPr>
      <w:r>
        <w:t>5. Encoder and Motor-Driver Interface</w:t>
      </w:r>
    </w:p>
    <w:p>
      <w:pPr>
        <w:pStyle w:val="BodyText"/>
      </w:pPr>
      <w:r>
        <w:t>The interface electronics connect an E5 differential quadrature encoder, the embedded controller, and the R725 STEP/DIR motor driver. Differential encoder signals are converted through an AM26LS32 receiver before reaching controller inputs; discrete interface stages route STEP and DIR control to the motor driver.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Encoder and STEP/DIR interface schematic.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8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Differential encoder input: A±, B±, +5 V, GND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harness: ENC_A, ENC_B, STEP_CTRL, DIR_CTRL, +5 V, GND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Motor-driver logic interface: DIR, STEP, GND, +5 V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differential line receiver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U1/U2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NPN STEP/DIR interface stages</w:t>
            </w:r>
          </w:p>
        </w:tc>
      </w:tr>
    </w:tbl>
    <w:p>
      <w:r>
        <w:br w:type="page"/>
      </w:r>
    </w:p>
    <w:p>
      <w:pPr>
        <w:pStyle w:val="Heading1"/>
      </w:pPr>
      <w:r>
        <w:t>6. PCB Design and Return-Path Control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5679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routed-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67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Routed signal and power layer.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57428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solid-ground-pla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74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Dedicated solid-copper ground-reference layer.</w:t>
      </w:r>
    </w:p>
    <w:p>
      <w:pPr>
        <w:pStyle w:val="BodyText"/>
      </w:pPr>
      <w:r>
        <w:t>The revised PCB adds a continuous ground-reference layer for the differential receiver, controller harness, and motor-driver interface. Connector labels, polarity marks, mounting clearances, and external access were reviewed in the 3D assembly before publication.</w:t>
      </w:r>
    </w:p>
    <w:p>
      <w:pPr>
        <w:pStyle w:val="Heading2"/>
      </w:pPr>
      <w:r>
        <w:t>6.1 Public design checks</w:t>
      </w:r>
    </w:p>
    <w:p>
      <w:pPr>
        <w:pStyle w:val="ListBullet"/>
      </w:pPr>
      <w:r>
        <w:t>Connector polarity and pin-1 indicators verified.</w:t>
      </w:r>
    </w:p>
    <w:p>
      <w:pPr>
        <w:pStyle w:val="ListBullet"/>
      </w:pPr>
      <w:r>
        <w:t>Power and ground nets labeled at external interfaces.</w:t>
      </w:r>
    </w:p>
    <w:p>
      <w:pPr>
        <w:pStyle w:val="ListBullet"/>
      </w:pPr>
      <w:r>
        <w:t>Trace widths and clearances reviewed for logic-level operation.</w:t>
      </w:r>
    </w:p>
    <w:p>
      <w:pPr>
        <w:pStyle w:val="ListBullet"/>
      </w:pPr>
      <w:r>
        <w:t>Component and connector access reviewed in 3D.</w:t>
      </w:r>
    </w:p>
    <w:p>
      <w:pPr>
        <w:pStyle w:val="ListBullet"/>
      </w:pPr>
      <w:r>
        <w:t>Editable source and fabrication outputs retained as controlled design assets.</w:t>
      </w:r>
    </w:p>
    <w:p>
      <w:r>
        <w:br w:type="page"/>
      </w:r>
    </w:p>
    <w:p>
      <w:pPr>
        <w:pStyle w:val="Heading1"/>
      </w:pPr>
      <w:r>
        <w:t>7. PCB Assembly and System Wiring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4541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-ang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8. Populated 3D view of the encoder and STEP/DIR interface PCB.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42483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-fro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9. Front view showing connectors, receiver, and interface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signal path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Differential A/B → AM26LS32 → controller inputs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 command path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STEP/DIR → interface stages → R725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Shared +5 V and ground reference across the interface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Target connection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harness carries encoder feedback and control outputs</w:t>
            </w:r>
          </w:p>
        </w:tc>
      </w:tr>
    </w:tbl>
    <w:p>
      <w:pPr>
        <w:pStyle w:val="Heading1"/>
      </w:pPr>
      <w:r>
        <w:t>8. Physical Verification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4472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10. Representative rotation-rate demonstration from the physical platform.</w:t>
      </w:r>
    </w:p>
    <w:p>
      <w:pPr>
        <w:pStyle w:val="BodyText"/>
      </w:pPr>
      <w:r>
        <w:t>The retained evidence demonstrates rotation, lateral adjustment, static loading, encoder feedback, and operator-visible motion. Speed capability is configuration dependent: the 256-microstep mode prioritizes very small command increments, while faster operation requires a different microstep or pulse-rate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472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Quantity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 / interpretation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256-microstep command increment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0.000285°/pulse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encoder resolution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0.001460°/count after gearing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Demonstrated ultra-slow range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0.002–0.010°/s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Historical faster-speed evidence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Separate operating configuration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Mechanical load evidence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static demonstration</w:t>
            </w:r>
          </w:p>
        </w:tc>
      </w:tr>
    </w:tbl>
    <w:p>
      <w:pPr>
        <w:pStyle w:val="Heading1"/>
      </w:pPr>
      <w:r>
        <w:t>9. Relationship to the Firmware System</w:t>
      </w:r>
    </w:p>
    <w:p>
      <w:pPr>
        <w:pStyle w:val="BodyText"/>
      </w:pPr>
      <w:r>
        <w:t>The mechanical and electrical platform supplies the physical plant, encoder signals, and motor-drive interface used by the dual-core controller. The companion firmware report documents how the Cortex-M7 and Cortex-M4 divide coordination and high-rate motion-data workloads. Keeping these reports separate lets customers assess the hardware and deep firmware contributions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COMPANION DOCUMENT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See SCD2_DualCore_Firmware_Host_FRD_v2.3 for OpenAMP/RPMsg, shared-memory ring, timing, telemetry, safety, and host-software details.</w:t>
            </w:r>
          </w:p>
        </w:tc>
      </w:tr>
    </w:tbl>
    <w:p>
      <w:pPr>
        <w:spacing w:after="0"/>
      </w:pPr>
    </w:p>
    <w:p>
      <w:pPr>
        <w:pStyle w:val="Heading1"/>
      </w:pPr>
      <w:r>
        <w:t>10. Customer-Facing Deliverables</w:t>
      </w:r>
    </w:p>
    <w:p>
      <w:pPr>
        <w:pStyle w:val="ListBullet"/>
      </w:pPr>
      <w:r>
        <w:t>Mechanical Platform &amp; Electrical Integration FRD.</w:t>
      </w:r>
    </w:p>
    <w:p>
      <w:pPr>
        <w:pStyle w:val="ListBullet"/>
      </w:pPr>
      <w:r>
        <w:t>Dual-Core Firmware &amp; Host Software FRD.</w:t>
      </w:r>
    </w:p>
    <w:p>
      <w:pPr>
        <w:pStyle w:val="ListBullet"/>
      </w:pPr>
      <w:r>
        <w:t>Exploded assembly and system photographs.</w:t>
      </w:r>
    </w:p>
    <w:p>
      <w:pPr>
        <w:pStyle w:val="ListBullet"/>
      </w:pPr>
      <w:r>
        <w:t>Featured interface schematic and PCB renders.</w:t>
      </w:r>
    </w:p>
    <w:p>
      <w:pPr>
        <w:pStyle w:val="ListBullet"/>
      </w:pPr>
      <w:r>
        <w:t>Physical-system and mechanical-animation videos.</w:t>
      </w:r>
    </w:p>
    <w:p>
      <w:pPr>
        <w:pStyle w:val="ListBullet"/>
      </w:pPr>
      <w:r>
        <w:t>Selected configuration-specific motion evidence.</w:t>
      </w:r>
    </w:p>
    <w:p>
      <w:pPr>
        <w:pStyle w:val="Heading1"/>
      </w:pPr>
      <w:r>
        <w:t>11. Limitations and Open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Production qualification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platform; no formal shock, vibration, thermal, EMC, or long-duration reliability certification.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Power measurements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System-level idle, steady-state, and peak electrical power are not yet documented.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Speed envelope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Operating range remains configuration dependent; ultra-slow and faster modes must be identified separately.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optical-system performance.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manufacturing files remain controlled and require a final production review before fabrication.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public mechanical/electrical design package, interface PCB, embedded-control integration, verification materials,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2026-08-03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Restored a distinct platform/electrical report with exploded mechanical view, physical requirements, PCB evidence, load-path documentation, and companion-firmware cross-reference.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RELEASE GATE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Before production deployment, complete electrical power measurements, finalize fabrication review, and perform environmental and EMC validation.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technical report • Public architecture and validation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/>
          <w:r>
            <w:rPr>
              <w:rFonts w:ascii="Arial" w:hAnsi="Arial"/>
              <w:b/>
              <w:color w:val="555555"/>
              <w:sz w:val="16"/>
            </w:rPr>
            <w:t>ENGINEERING REPORT  |  REV 2.3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