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FFFFFF"/>
            <w:tcMar>
              <w:top w:w="220" w:type="dxa"/>
              <w:start w:w="220" w:type="dxa"/>
              <w:bottom w:w="210" w:type="dxa"/>
              <w:end w:w="220" w:type="dxa"/>
            </w:tcMar>
            <w:tcBorders>
              <w:top w:val="nil"/>
              <w:bottom w:val="single" w:sz="12" w:color="20364F"/>
              <w:start w:val="nil"/>
              <w:end w:val="nil"/>
              <w:insideH w:val="nil"/>
              <w:insideV w:val="nil"/>
              <w:left w:val="single" w:sz="28" w:color="B31B34"/>
            </w:tcBorders>
          </w:tcPr>
          <w:p>
            <w:r>
              <w:t>DUAL-MOTOR PMSM DYNAMOMETER PLATFORM</w:t>
              <w:br/>
              <w:t>FUNCTIONAL REQUIREMENTS &amp; VALIDATION</w:t>
              <w:br/>
              <w:t>TI C2000 F28069M dual-inverter control, interfaces, verification, and acceptance</w:t>
            </w:r>
          </w:p>
        </w:tc>
      </w:tr>
    </w:tbl>
    <w:tbl>
      <w:tblPr>
        <w:tblW w:type="auto" w:w="0"/>
        <w:jc w:val="center"/>
        <w:tblLayout w:type="fixed"/>
        <w:tblLook w:firstColumn="1" w:firstRow="1" w:lastColumn="0" w:lastRow="0" w:noHBand="0" w:noVBand="1" w:val="04A0"/>
      </w:tblPr>
      <w:tblGrid>
        <w:gridCol w:w="2592"/>
        <w:gridCol w:w="7200"/>
      </w:tblGrid>
      <w:tr>
        <w:tc>
          <w:tcPr>
            <w:tcW w:type="dxa" w:w="5040"/>
            <w:vAlign w:val="center"/>
            <w:tcMar>
              <w:top w:w="85" w:type="dxa"/>
              <w:start w:w="110" w:type="dxa"/>
              <w:bottom w:w="85" w:type="dxa"/>
              <w:end w:w="110" w:type="dxa"/>
            </w:tcMar>
            <w:shd w:fill="20364F"/>
            <w:tcBorders>
              <w:top w:val="single" w:sz="4" w:color="D9E0E6"/>
              <w:bottom w:val="single" w:sz="4" w:color="D9E0E6"/>
              <w:start w:val="single" w:sz="4" w:color="D9E0E6"/>
              <w:end w:val="single" w:sz="4" w:color="D9E0E6"/>
            </w:tcBorders>
          </w:tcPr>
          <w:p>
            <w:r>
              <w:t>Prepared by</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t>Herder Elektronische Systemen</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t>Document scope</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t>System behavior, operating modes, external interfaces, safeguards, verification, and acceptance</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t>Evidence basis</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t>Editable Simulink models, custom ADC source, CAN interfaces, scripts, schematics, and retained verification evidence</w:t>
            </w:r>
          </w:p>
        </w:tc>
      </w:tr>
      <w:tr>
        <w:tc>
          <w:tcPr>
            <w:tcW w:type="dxa" w:w="5040"/>
            <w:vAlign w:val="center"/>
            <w:tcMar>
              <w:top w:w="85" w:type="dxa"/>
              <w:start w:w="110" w:type="dxa"/>
              <w:bottom w:w="85" w:type="dxa"/>
              <w:end w:w="110" w:type="dxa"/>
            </w:tcMar>
            <w:shd w:fill="F3F5F7"/>
            <w:tcBorders>
              <w:top w:val="single" w:sz="4" w:color="D9E0E6"/>
              <w:bottom w:val="single" w:sz="4" w:color="D9E0E6"/>
              <w:start w:val="single" w:sz="4" w:color="D9E0E6"/>
              <w:end w:val="single" w:sz="4" w:color="D9E0E6"/>
            </w:tcBorders>
          </w:tcPr>
          <w:p>
            <w:r>
              <w:t>Distribution</w:t>
            </w:r>
          </w:p>
        </w:tc>
        <w:tc>
          <w:tcPr>
            <w:tcW w:type="dxa" w:w="5040"/>
            <w:vAlign w:val="center"/>
            <w:tcMar>
              <w:top w:w="85" w:type="dxa"/>
              <w:start w:w="110" w:type="dxa"/>
              <w:bottom w:w="85" w:type="dxa"/>
              <w:end w:w="110" w:type="dxa"/>
            </w:tcMar>
            <w:shd w:fill="FFFFFF"/>
            <w:tcBorders>
              <w:top w:val="single" w:sz="4" w:color="D9E0E6"/>
              <w:bottom w:val="single" w:sz="4" w:color="D9E0E6"/>
              <w:start w:val="single" w:sz="4" w:color="D9E0E6"/>
              <w:end w:val="single" w:sz="4" w:color="D9E0E6"/>
            </w:tcBorders>
          </w:tcPr>
          <w:p>
            <w:r>
              <w:t>Customer-facing; selected source models and engineering evidence included</w:t>
            </w:r>
          </w:p>
        </w:tc>
      </w:tr>
    </w:tbl>
    <w:tbl>
      <w:tblPr>
        <w:tblW w:type="auto" w:w="0"/>
        <w:jc w:val="center"/>
        <w:tblLayout w:type="fixed"/>
        <w:tblLook w:firstColumn="1" w:firstRow="1" w:lastColumn="0" w:lastRow="0" w:noHBand="0" w:noVBand="1" w:val="04A0"/>
      </w:tblPr>
      <w:tblGrid>
        <w:gridCol w:w="9504"/>
      </w:tblGrid>
      <w:tr>
        <w:tc>
          <w:tcPr>
            <w:tcW w:type="dxa" w:w="10080"/>
            <w:shd w:fill="EAF0F5"/>
            <w:tcMar>
              <w:top w:w="120" w:type="dxa"/>
              <w:start w:w="150" w:type="dxa"/>
              <w:bottom w:w="120" w:type="dxa"/>
              <w:end w:w="150" w:type="dxa"/>
            </w:tcMar>
            <w:tcBorders>
              <w:left w:val="single" w:sz="18" w:color="B31B34"/>
              <w:top w:val="single" w:sz="4" w:color="D9E0E6"/>
              <w:bottom w:val="single" w:sz="4" w:color="D9E0E6"/>
              <w:end w:val="single" w:sz="4" w:color="D9E0E6"/>
            </w:tcBorders>
          </w:tcPr>
          <w:p>
            <w:r>
              <w:t>DOCUMENT PURPOSE</w:t>
              <w:br/>
              <w:t>Defines the controlled functional, performance, interface, safety, verification, and acceptance requirements for the dual-motor PMSM dynamometer platform. Detailed implementation and efficiency characterization are controlled in the companion engineering report.</w:t>
            </w:r>
          </w:p>
        </w:tc>
      </w:tr>
    </w:tbl>
    <w:tbl>
      <w:tblPr>
        <w:tblW w:type="auto" w:w="0"/>
        <w:jc w:val="center"/>
        <w:tblLook w:firstColumn="1" w:firstRow="1" w:lastColumn="0" w:lastRow="0" w:noHBand="0" w:noVBand="1" w:val="04A0"/>
      </w:tblPr>
      <w:tblGrid>
        <w:gridCol w:w="10368"/>
      </w:tblGrid>
      <w:tr>
        <w:tc>
          <w:tcPr>
            <w:tcW w:type="dxa" w:w="10368"/>
            <w:shd w:fill="EEF3F8"/>
            <w:tcMar>
              <w:top w:w="150" w:type="dxa"/>
              <w:start w:w="170" w:type="dxa"/>
              <w:bottom w:w="150" w:type="dxa"/>
              <w:end w:w="170" w:type="dxa"/>
            </w:tcMar>
          </w:tcPr>
          <w:p>
            <w:r>
              <w:t>WHY THIS IS AN FRD</w:t>
              <w:br/>
              <w:t>This document defines what the released platform shall do, the interfaces it shall preserve, the evidence required to verify compliance, and the acceptance conditions for release. It is not an implementation walkthrough or a results report.</w:t>
            </w:r>
          </w:p>
        </w:tc>
      </w:tr>
    </w:tbl>
    <w:p>
      <w:r>
        <w:br w:type="page"/>
      </w:r>
    </w:p>
    <w:p>
      <w:pPr>
        <w:pStyle w:val="Heading1"/>
      </w:pPr>
      <w:r>
        <w:t>Functional Requirements Document Framework</w:t>
      </w:r>
    </w:p>
    <w:p>
      <w:pPr>
        <w:pStyle w:val="Heading2"/>
      </w:pPr>
      <w:r>
        <w:t>Purpose, Scope, and System Boundary</w:t>
      </w:r>
    </w:p>
    <w:p>
      <w:pPr/>
      <w:r>
        <w:t>This FRD governs the released dual-motor dynamometer platform at the level of externally observable behavior, interfaces, safeguards, evidence obligations, and acceptance. The companion Embedded Control &amp; Characterization Report explains how the Simulink, CAN, ADC, logging, and analysis implementations satisfy this controlled requirement set.</w:t>
      </w:r>
    </w:p>
    <w:p>
      <w:pPr>
        <w:pStyle w:val="Heading2"/>
      </w:pPr>
      <w:r>
        <w:t>Users and Operational Scenarios</w:t>
      </w:r>
    </w:p>
    <w:tbl>
      <w:tblPr>
        <w:tblStyle w:val="TableGrid"/>
        <w:tblW w:type="auto" w:w="0"/>
        <w:jc w:val="center"/>
        <w:tblLook w:firstColumn="1" w:firstRow="1" w:lastColumn="0" w:lastRow="0" w:noHBand="0" w:noVBand="1" w:val="04A0"/>
      </w:tblPr>
      <w:tblGrid>
        <w:gridCol w:w="5141"/>
        <w:gridCol w:w="5141"/>
      </w:tblGrid>
      <w:tr>
        <w:tc>
          <w:tcPr>
            <w:tcW w:type="dxa" w:w="2304"/>
            <w:vAlign w:val="center"/>
            <w:shd w:fill="243B55"/>
          </w:tcPr>
          <w:p>
            <w:r/>
            <w:r>
              <w:rPr>
                <w:b/>
                <w:color w:val="FFFFFF"/>
                <w:sz w:val="17"/>
              </w:rPr>
              <w:t>User / scenario</w:t>
            </w:r>
          </w:p>
        </w:tc>
        <w:tc>
          <w:tcPr>
            <w:tcW w:type="dxa" w:w="8352"/>
            <w:vAlign w:val="center"/>
            <w:shd w:fill="243B55"/>
          </w:tcPr>
          <w:p>
            <w:r/>
            <w:r>
              <w:rPr>
                <w:b/>
                <w:color w:val="FFFFFF"/>
                <w:sz w:val="17"/>
              </w:rPr>
              <w:t>Decision supported</w:t>
            </w:r>
          </w:p>
        </w:tc>
      </w:tr>
      <w:tr>
        <w:tc>
          <w:tcPr>
            <w:tcW w:type="dxa" w:w="2304"/>
            <w:vAlign w:val="center"/>
          </w:tcPr>
          <w:p>
            <w:r/>
            <w:r>
              <w:rPr>
                <w:b w:val="0"/>
                <w:sz w:val="17"/>
              </w:rPr>
              <w:t>Controls engineer</w:t>
            </w:r>
          </w:p>
        </w:tc>
        <w:tc>
          <w:tcPr>
            <w:tcW w:type="dxa" w:w="8352"/>
            <w:vAlign w:val="center"/>
          </w:tcPr>
          <w:p>
            <w:r/>
            <w:r>
              <w:rPr>
                <w:b w:val="0"/>
                <w:sz w:val="17"/>
              </w:rPr>
              <w:t>Modify target or host models without violating controlled interfaces or operating behavior.</w:t>
            </w:r>
          </w:p>
        </w:tc>
      </w:tr>
      <w:tr>
        <w:tc>
          <w:tcPr>
            <w:tcW w:type="dxa" w:w="2304"/>
            <w:vAlign w:val="center"/>
          </w:tcPr>
          <w:p>
            <w:r/>
            <w:r>
              <w:rPr>
                <w:b w:val="0"/>
                <w:sz w:val="17"/>
              </w:rPr>
              <w:t>Test engineer</w:t>
            </w:r>
          </w:p>
        </w:tc>
        <w:tc>
          <w:tcPr>
            <w:tcW w:type="dxa" w:w="8352"/>
            <w:vAlign w:val="center"/>
          </w:tcPr>
          <w:p>
            <w:r/>
            <w:r>
              <w:rPr>
                <w:b w:val="0"/>
                <w:sz w:val="17"/>
              </w:rPr>
              <w:t>Select verification methods, evidence, and acceptance criteria for a release.</w:t>
            </w:r>
          </w:p>
        </w:tc>
      </w:tr>
      <w:tr>
        <w:tc>
          <w:tcPr>
            <w:tcW w:type="dxa" w:w="2304"/>
            <w:vAlign w:val="center"/>
          </w:tcPr>
          <w:p>
            <w:r/>
            <w:r>
              <w:rPr>
                <w:b w:val="0"/>
                <w:sz w:val="17"/>
              </w:rPr>
              <w:t>Customer or reviewer</w:t>
            </w:r>
          </w:p>
        </w:tc>
        <w:tc>
          <w:tcPr>
            <w:tcW w:type="dxa" w:w="8352"/>
            <w:vAlign w:val="center"/>
          </w:tcPr>
          <w:p>
            <w:r/>
            <w:r>
              <w:rPr>
                <w:b w:val="0"/>
                <w:sz w:val="17"/>
              </w:rPr>
              <w:t>Understand system capability, boundaries, and demonstrated compliance.</w:t>
            </w:r>
          </w:p>
        </w:tc>
      </w:tr>
      <w:tr>
        <w:tc>
          <w:tcPr>
            <w:tcW w:type="dxa" w:w="2304"/>
            <w:vAlign w:val="center"/>
          </w:tcPr>
          <w:p>
            <w:r/>
            <w:r>
              <w:rPr>
                <w:b w:val="0"/>
                <w:sz w:val="17"/>
              </w:rPr>
              <w:t>Maintainer</w:t>
            </w:r>
          </w:p>
        </w:tc>
        <w:tc>
          <w:tcPr>
            <w:tcW w:type="dxa" w:w="8352"/>
            <w:vAlign w:val="center"/>
          </w:tcPr>
          <w:p>
            <w:r/>
            <w:r>
              <w:rPr>
                <w:b w:val="0"/>
                <w:sz w:val="17"/>
              </w:rPr>
              <w:t>Determine whether a proposed change requires FRD revision and re-verification.</w:t>
            </w:r>
          </w:p>
        </w:tc>
      </w:tr>
    </w:tbl>
    <w:p/>
    <w:p>
      <w:pPr>
        <w:pStyle w:val="Heading2"/>
      </w:pPr>
      <w:r>
        <w:t>Requirement Conventions</w:t>
      </w:r>
    </w:p>
    <w:p>
      <w:pPr/>
      <w:r>
        <w:t>Mandatory requirements use “shall.” Each requirement has a unique identifier, verification method, acceptance basis, and release status. Descriptive text explains intent but does not replace the requirement statement.</w:t>
      </w:r>
    </w:p>
    <w:tbl>
      <w:tblPr>
        <w:tblStyle w:val="TableGrid"/>
        <w:tblW w:type="auto" w:w="0"/>
        <w:jc w:val="center"/>
        <w:tblLook w:firstColumn="1" w:firstRow="1" w:lastColumn="0" w:lastRow="0" w:noHBand="0" w:noVBand="1" w:val="04A0"/>
      </w:tblPr>
      <w:tblGrid>
        <w:gridCol w:w="5141"/>
        <w:gridCol w:w="5141"/>
      </w:tblGrid>
      <w:tr>
        <w:tc>
          <w:tcPr>
            <w:tcW w:type="dxa" w:w="1872"/>
            <w:vAlign w:val="center"/>
            <w:shd w:fill="243B55"/>
          </w:tcPr>
          <w:p>
            <w:r/>
            <w:r>
              <w:rPr>
                <w:b/>
                <w:color w:val="FFFFFF"/>
                <w:sz w:val="17"/>
              </w:rPr>
              <w:t>Status</w:t>
            </w:r>
          </w:p>
        </w:tc>
        <w:tc>
          <w:tcPr>
            <w:tcW w:type="dxa" w:w="8784"/>
            <w:vAlign w:val="center"/>
            <w:shd w:fill="243B55"/>
          </w:tcPr>
          <w:p>
            <w:r/>
            <w:r>
              <w:rPr>
                <w:b/>
                <w:color w:val="FFFFFF"/>
                <w:sz w:val="17"/>
              </w:rPr>
              <w:t>Meaning</w:t>
            </w:r>
          </w:p>
        </w:tc>
      </w:tr>
      <w:tr>
        <w:tc>
          <w:tcPr>
            <w:tcW w:type="dxa" w:w="1872"/>
            <w:vAlign w:val="center"/>
          </w:tcPr>
          <w:p>
            <w:r/>
            <w:r>
              <w:rPr>
                <w:b w:val="0"/>
                <w:sz w:val="17"/>
              </w:rPr>
              <w:t>Verified</w:t>
            </w:r>
          </w:p>
        </w:tc>
        <w:tc>
          <w:tcPr>
            <w:tcW w:type="dxa" w:w="8784"/>
            <w:vAlign w:val="center"/>
          </w:tcPr>
          <w:p>
            <w:r/>
            <w:r>
              <w:rPr>
                <w:b w:val="0"/>
                <w:sz w:val="17"/>
              </w:rPr>
              <w:t>Objective evidence has been inspected and accepted.</w:t>
            </w:r>
          </w:p>
        </w:tc>
      </w:tr>
      <w:tr>
        <w:tc>
          <w:tcPr>
            <w:tcW w:type="dxa" w:w="1872"/>
            <w:vAlign w:val="center"/>
          </w:tcPr>
          <w:p>
            <w:r/>
            <w:r>
              <w:rPr>
                <w:b w:val="0"/>
                <w:sz w:val="17"/>
              </w:rPr>
              <w:t>Demonstrated</w:t>
            </w:r>
          </w:p>
        </w:tc>
        <w:tc>
          <w:tcPr>
            <w:tcW w:type="dxa" w:w="8784"/>
            <w:vAlign w:val="center"/>
          </w:tcPr>
          <w:p>
            <w:r/>
            <w:r>
              <w:rPr>
                <w:b w:val="0"/>
                <w:sz w:val="17"/>
              </w:rPr>
              <w:t>Behavior was observed on the retained bench evidence set.</w:t>
            </w:r>
          </w:p>
        </w:tc>
      </w:tr>
      <w:tr>
        <w:tc>
          <w:tcPr>
            <w:tcW w:type="dxa" w:w="1872"/>
            <w:vAlign w:val="center"/>
          </w:tcPr>
          <w:p>
            <w:r/>
            <w:r>
              <w:rPr>
                <w:b w:val="0"/>
                <w:sz w:val="17"/>
              </w:rPr>
              <w:t>Open</w:t>
            </w:r>
          </w:p>
        </w:tc>
        <w:tc>
          <w:tcPr>
            <w:tcW w:type="dxa" w:w="8784"/>
            <w:vAlign w:val="center"/>
          </w:tcPr>
          <w:p>
            <w:r/>
            <w:r>
              <w:rPr>
                <w:b w:val="0"/>
                <w:sz w:val="17"/>
              </w:rPr>
              <w:t>Evidence or qualification remains incomplete.</w:t>
            </w:r>
          </w:p>
        </w:tc>
      </w:tr>
      <w:tr>
        <w:tc>
          <w:tcPr>
            <w:tcW w:type="dxa" w:w="1872"/>
            <w:vAlign w:val="center"/>
          </w:tcPr>
          <w:p>
            <w:r/>
            <w:r>
              <w:rPr>
                <w:b w:val="0"/>
                <w:sz w:val="17"/>
              </w:rPr>
              <w:t>Not claimed</w:t>
            </w:r>
          </w:p>
        </w:tc>
        <w:tc>
          <w:tcPr>
            <w:tcW w:type="dxa" w:w="8784"/>
            <w:vAlign w:val="center"/>
          </w:tcPr>
          <w:p>
            <w:r/>
            <w:r>
              <w:rPr>
                <w:b w:val="0"/>
                <w:sz w:val="17"/>
              </w:rPr>
              <w:t>Capability is intentionally outside the public release boundary.</w:t>
            </w:r>
          </w:p>
        </w:tc>
      </w:tr>
    </w:tbl>
    <w:p/>
    <w:p>
      <w:pPr>
        <w:pStyle w:val="Heading1"/>
      </w:pPr>
      <w:r>
        <w:t>1. System Role and Delivered Capability</w:t>
      </w:r>
    </w:p>
    <w:p>
      <w:pPr/>
      <w:r>
        <w:t>The platform couples two encoder-equipped permanent-magnet synchronous machines on a common shaft. Motor 1 acts as the drive machine and establishes shaft speed. Motor 2 applies opposing or assisting q-axis current to create a controllable load. A TI C2000 F28069M target executes the real-time motor-control functions; host models provide supervisory commands, acquisition, and test orchestration.</w:t>
      </w:r>
    </w:p>
    <w:p>
      <w:pPr>
        <w:pStyle w:val="ListBullet"/>
      </w:pPr>
      <w:r>
        <w:t>Embedded target retains ownership of high-rate current and speed control.</w:t>
      </w:r>
    </w:p>
    <w:p>
      <w:pPr>
        <w:pStyle w:val="ListBullet"/>
      </w:pPr>
      <w:r>
        <w:t>Supervisory host supplies speed, load, enable, selection, and diagnostic commands.</w:t>
      </w:r>
    </w:p>
    <w:p>
      <w:pPr>
        <w:pStyle w:val="ListBullet"/>
      </w:pPr>
      <w:r>
        <w:t>Independent encoder channels preserve separate feedback for both machines.</w:t>
      </w:r>
    </w:p>
    <w:p>
      <w:pPr>
        <w:pStyle w:val="ListBullet"/>
      </w:pPr>
      <w:r>
        <w:t>CAN and host acquisition paths support repeatable command and evidence workflows.</w:t>
      </w:r>
    </w:p>
    <w:p>
      <w:pPr>
        <w:pStyle w:val="ListBullet"/>
      </w:pPr>
      <w:r>
        <w:t>Custom ADC source extends analog acquisition while generated build output remains excluded.</w:t>
      </w:r>
    </w:p>
    <w:p>
      <w:pPr>
        <w:pStyle w:val="Heading2"/>
      </w:pPr>
      <w:r>
        <w:t>1.1 Normal Operating Sequence</w:t>
      </w:r>
    </w:p>
    <w:p>
      <w:pPr/>
      <w:r>
        <w:t>A normal run begins with wiring and polarity inspection, low-risk deployment, phase-order and encoder-direction confirmation, low-speed enable, controlled speed/load application, data capture, and post-run evidence review. The host coordinates the sequence but does not become the real-time control clock.</w:t>
      </w:r>
    </w:p>
    <w:p>
      <w:pPr>
        <w:pStyle w:val="Heading2"/>
      </w:pPr>
      <w:r>
        <w:t>1.2 Operating Modes</w:t>
      </w:r>
    </w:p>
    <w:tbl>
      <w:tblPr>
        <w:tblStyle w:val="TableGrid"/>
        <w:tblW w:type="auto" w:w="0"/>
        <w:jc w:val="center"/>
        <w:tblLook w:firstColumn="1" w:firstRow="1" w:lastColumn="0" w:lastRow="0" w:noHBand="0" w:noVBand="1" w:val="04A0"/>
      </w:tblPr>
      <w:tblGrid>
        <w:gridCol w:w="5141"/>
        <w:gridCol w:w="5141"/>
      </w:tblGrid>
      <w:tr>
        <w:tc>
          <w:tcPr>
            <w:tcW w:type="dxa" w:w="2160"/>
            <w:vAlign w:val="center"/>
            <w:shd w:fill="243B55"/>
          </w:tcPr>
          <w:p>
            <w:r/>
            <w:r>
              <w:rPr>
                <w:b/>
                <w:color w:val="FFFFFF"/>
                <w:sz w:val="17"/>
              </w:rPr>
              <w:t>Mode</w:t>
            </w:r>
          </w:p>
        </w:tc>
        <w:tc>
          <w:tcPr>
            <w:tcW w:type="dxa" w:w="8496"/>
            <w:vAlign w:val="center"/>
            <w:shd w:fill="243B55"/>
          </w:tcPr>
          <w:p>
            <w:r/>
            <w:r>
              <w:rPr>
                <w:b/>
                <w:color w:val="FFFFFF"/>
                <w:sz w:val="17"/>
              </w:rPr>
              <w:t>Required behavior</w:t>
            </w:r>
          </w:p>
        </w:tc>
      </w:tr>
      <w:tr>
        <w:tc>
          <w:tcPr>
            <w:tcW w:type="dxa" w:w="2160"/>
            <w:vAlign w:val="center"/>
          </w:tcPr>
          <w:p>
            <w:r/>
            <w:r>
              <w:rPr>
                <w:b w:val="0"/>
                <w:sz w:val="17"/>
              </w:rPr>
              <w:t>Disabled / safe</w:t>
            </w:r>
          </w:p>
        </w:tc>
        <w:tc>
          <w:tcPr>
            <w:tcW w:type="dxa" w:w="8496"/>
            <w:vAlign w:val="center"/>
          </w:tcPr>
          <w:p>
            <w:r/>
            <w:r>
              <w:rPr>
                <w:b w:val="0"/>
                <w:sz w:val="17"/>
              </w:rPr>
              <w:t>Commanded torque production is inhibited and the system remains ready for inspection or configuration.</w:t>
            </w:r>
          </w:p>
        </w:tc>
      </w:tr>
      <w:tr>
        <w:tc>
          <w:tcPr>
            <w:tcW w:type="dxa" w:w="2160"/>
            <w:vAlign w:val="center"/>
          </w:tcPr>
          <w:p>
            <w:r/>
            <w:r>
              <w:rPr>
                <w:b w:val="0"/>
                <w:sz w:val="17"/>
              </w:rPr>
              <w:t>Drive-only</w:t>
            </w:r>
          </w:p>
        </w:tc>
        <w:tc>
          <w:tcPr>
            <w:tcW w:type="dxa" w:w="8496"/>
            <w:vAlign w:val="center"/>
          </w:tcPr>
          <w:p>
            <w:r/>
            <w:r>
              <w:rPr>
                <w:b w:val="0"/>
                <w:sz w:val="17"/>
              </w:rPr>
              <w:t>Motor 1 regulates shaft speed while Motor 2 remains at zero or bounded load command.</w:t>
            </w:r>
          </w:p>
        </w:tc>
      </w:tr>
      <w:tr>
        <w:tc>
          <w:tcPr>
            <w:tcW w:type="dxa" w:w="2160"/>
            <w:vAlign w:val="center"/>
          </w:tcPr>
          <w:p>
            <w:r/>
            <w:r>
              <w:rPr>
                <w:b w:val="0"/>
                <w:sz w:val="17"/>
              </w:rPr>
              <w:t>Loaded dynamometer</w:t>
            </w:r>
          </w:p>
        </w:tc>
        <w:tc>
          <w:tcPr>
            <w:tcW w:type="dxa" w:w="8496"/>
            <w:vAlign w:val="center"/>
          </w:tcPr>
          <w:p>
            <w:r/>
            <w:r>
              <w:rPr>
                <w:b w:val="0"/>
                <w:sz w:val="17"/>
              </w:rPr>
              <w:t>Motor 1 regulates speed while Motor 2 applies bounded opposing or assisting q-axis current.</w:t>
            </w:r>
          </w:p>
        </w:tc>
      </w:tr>
      <w:tr>
        <w:tc>
          <w:tcPr>
            <w:tcW w:type="dxa" w:w="2160"/>
            <w:vAlign w:val="center"/>
          </w:tcPr>
          <w:p>
            <w:r/>
            <w:r>
              <w:rPr>
                <w:b w:val="0"/>
                <w:sz w:val="17"/>
              </w:rPr>
              <w:t>CAN-supervised</w:t>
            </w:r>
          </w:p>
        </w:tc>
        <w:tc>
          <w:tcPr>
            <w:tcW w:type="dxa" w:w="8496"/>
            <w:vAlign w:val="center"/>
          </w:tcPr>
          <w:p>
            <w:r/>
            <w:r>
              <w:rPr>
                <w:b w:val="0"/>
                <w:sz w:val="17"/>
              </w:rPr>
              <w:t>Command words are received over CAN and mapped into existing control references and diagnostics.</w:t>
            </w:r>
          </w:p>
        </w:tc>
      </w:tr>
      <w:tr>
        <w:tc>
          <w:tcPr>
            <w:tcW w:type="dxa" w:w="2160"/>
            <w:vAlign w:val="center"/>
          </w:tcPr>
          <w:p>
            <w:r/>
            <w:r>
              <w:rPr>
                <w:b w:val="0"/>
                <w:sz w:val="17"/>
              </w:rPr>
              <w:t>Acquisition / review</w:t>
            </w:r>
          </w:p>
        </w:tc>
        <w:tc>
          <w:tcPr>
            <w:tcW w:type="dxa" w:w="8496"/>
            <w:vAlign w:val="center"/>
          </w:tcPr>
          <w:p>
            <w:r/>
            <w:r>
              <w:rPr>
                <w:b w:val="0"/>
                <w:sz w:val="17"/>
              </w:rPr>
              <w:t>Signals are captured and retained for verification and characterization without altering embedded timing.</w:t>
            </w:r>
          </w:p>
        </w:tc>
      </w:tr>
    </w:tbl>
    <w:p/>
    <w:p>
      <w:pPr>
        <w:pStyle w:val="Heading1"/>
      </w:pPr>
      <w:r>
        <w:t>2. Functional Requirements</w:t>
      </w:r>
    </w:p>
    <w:p>
      <w:pPr/>
      <w:r>
        <w:t>The following requirements define required behavior independent of the internal block arrangement. A compliant implementation may evolve, but these externally visible functions shall remain intact unless this FRD is revised.</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1152"/>
            <w:vAlign w:val="center"/>
            <w:shd w:fill="243B55"/>
          </w:tcPr>
          <w:p>
            <w:r/>
            <w:r>
              <w:rPr>
                <w:b/>
                <w:color w:val="FFFFFF"/>
                <w:sz w:val="17"/>
              </w:rPr>
              <w:t>ID</w:t>
            </w:r>
          </w:p>
        </w:tc>
        <w:tc>
          <w:tcPr>
            <w:tcW w:type="dxa" w:w="6480"/>
            <w:vAlign w:val="center"/>
            <w:shd w:fill="243B55"/>
          </w:tcPr>
          <w:p>
            <w:r/>
            <w:r>
              <w:rPr>
                <w:b/>
                <w:color w:val="FFFFFF"/>
                <w:sz w:val="17"/>
              </w:rPr>
              <w:t>Requirement</w:t>
            </w:r>
          </w:p>
        </w:tc>
        <w:tc>
          <w:tcPr>
            <w:tcW w:type="dxa" w:w="1728"/>
            <w:vAlign w:val="center"/>
            <w:shd w:fill="243B55"/>
          </w:tcPr>
          <w:p>
            <w:r/>
            <w:r>
              <w:rPr>
                <w:b/>
                <w:color w:val="FFFFFF"/>
                <w:sz w:val="17"/>
              </w:rPr>
              <w:t>Verification</w:t>
            </w:r>
          </w:p>
        </w:tc>
        <w:tc>
          <w:tcPr>
            <w:tcW w:type="dxa" w:w="1440"/>
            <w:vAlign w:val="center"/>
            <w:shd w:fill="243B55"/>
          </w:tcPr>
          <w:p>
            <w:r/>
            <w:r>
              <w:rPr>
                <w:b/>
                <w:color w:val="FFFFFF"/>
                <w:sz w:val="17"/>
              </w:rPr>
              <w:t>Status</w:t>
            </w:r>
          </w:p>
        </w:tc>
      </w:tr>
      <w:tr>
        <w:tc>
          <w:tcPr>
            <w:tcW w:type="dxa" w:w="1152"/>
            <w:vAlign w:val="center"/>
          </w:tcPr>
          <w:p>
            <w:r/>
            <w:r>
              <w:rPr>
                <w:b w:val="0"/>
                <w:sz w:val="17"/>
              </w:rPr>
              <w:t>SYS-001</w:t>
            </w:r>
          </w:p>
        </w:tc>
        <w:tc>
          <w:tcPr>
            <w:tcW w:type="dxa" w:w="6480"/>
            <w:vAlign w:val="center"/>
          </w:tcPr>
          <w:p>
            <w:r/>
            <w:r>
              <w:rPr>
                <w:b w:val="0"/>
                <w:sz w:val="17"/>
              </w:rPr>
              <w:t>The embedded target shall execute the fast motor-control loops independently of host display or logging timing.</w:t>
            </w:r>
          </w:p>
        </w:tc>
        <w:tc>
          <w:tcPr>
            <w:tcW w:type="dxa" w:w="1728"/>
            <w:vAlign w:val="center"/>
          </w:tcPr>
          <w:p>
            <w:r/>
            <w:r>
              <w:rPr>
                <w:b w:val="0"/>
                <w:sz w:val="17"/>
              </w:rPr>
              <w:t>Inspection + functional test</w:t>
            </w:r>
          </w:p>
        </w:tc>
        <w:tc>
          <w:tcPr>
            <w:tcW w:type="dxa" w:w="1440"/>
            <w:vAlign w:val="center"/>
          </w:tcPr>
          <w:p>
            <w:r/>
            <w:r>
              <w:rPr>
                <w:b w:val="0"/>
                <w:sz w:val="17"/>
              </w:rPr>
              <w:t>Demonstrated</w:t>
            </w:r>
          </w:p>
        </w:tc>
      </w:tr>
      <w:tr>
        <w:tc>
          <w:tcPr>
            <w:tcW w:type="dxa" w:w="1152"/>
            <w:vAlign w:val="center"/>
          </w:tcPr>
          <w:p>
            <w:r/>
            <w:r>
              <w:rPr>
                <w:b w:val="0"/>
                <w:sz w:val="17"/>
              </w:rPr>
              <w:t>SYS-002</w:t>
            </w:r>
          </w:p>
        </w:tc>
        <w:tc>
          <w:tcPr>
            <w:tcW w:type="dxa" w:w="6480"/>
            <w:vAlign w:val="center"/>
          </w:tcPr>
          <w:p>
            <w:r/>
            <w:r>
              <w:rPr>
                <w:b w:val="0"/>
                <w:sz w:val="17"/>
              </w:rPr>
              <w:t>The platform shall command one machine as the drive unit and the second as a controllable load or assist unit.</w:t>
            </w:r>
          </w:p>
        </w:tc>
        <w:tc>
          <w:tcPr>
            <w:tcW w:type="dxa" w:w="1728"/>
            <w:vAlign w:val="center"/>
          </w:tcPr>
          <w:p>
            <w:r/>
            <w:r>
              <w:rPr>
                <w:b w:val="0"/>
                <w:sz w:val="17"/>
              </w:rPr>
              <w:t>Functional test</w:t>
            </w:r>
          </w:p>
        </w:tc>
        <w:tc>
          <w:tcPr>
            <w:tcW w:type="dxa" w:w="1440"/>
            <w:vAlign w:val="center"/>
          </w:tcPr>
          <w:p>
            <w:r/>
            <w:r>
              <w:rPr>
                <w:b w:val="0"/>
                <w:sz w:val="17"/>
              </w:rPr>
              <w:t>Demonstrated</w:t>
            </w:r>
          </w:p>
        </w:tc>
      </w:tr>
      <w:tr>
        <w:tc>
          <w:tcPr>
            <w:tcW w:type="dxa" w:w="1152"/>
            <w:vAlign w:val="center"/>
          </w:tcPr>
          <w:p>
            <w:r/>
            <w:r>
              <w:rPr>
                <w:b w:val="0"/>
                <w:sz w:val="17"/>
              </w:rPr>
              <w:t>SYS-003</w:t>
            </w:r>
          </w:p>
        </w:tc>
        <w:tc>
          <w:tcPr>
            <w:tcW w:type="dxa" w:w="6480"/>
            <w:vAlign w:val="center"/>
          </w:tcPr>
          <w:p>
            <w:r/>
            <w:r>
              <w:rPr>
                <w:b w:val="0"/>
                <w:sz w:val="17"/>
              </w:rPr>
              <w:t>The platform shall accept a supervisory speed reference for the drive machine.</w:t>
            </w:r>
          </w:p>
        </w:tc>
        <w:tc>
          <w:tcPr>
            <w:tcW w:type="dxa" w:w="1728"/>
            <w:vAlign w:val="center"/>
          </w:tcPr>
          <w:p>
            <w:r/>
            <w:r>
              <w:rPr>
                <w:b w:val="0"/>
                <w:sz w:val="17"/>
              </w:rPr>
              <w:t>Functional test</w:t>
            </w:r>
          </w:p>
        </w:tc>
        <w:tc>
          <w:tcPr>
            <w:tcW w:type="dxa" w:w="1440"/>
            <w:vAlign w:val="center"/>
          </w:tcPr>
          <w:p>
            <w:r/>
            <w:r>
              <w:rPr>
                <w:b w:val="0"/>
                <w:sz w:val="17"/>
              </w:rPr>
              <w:t>Demonstrated</w:t>
            </w:r>
          </w:p>
        </w:tc>
      </w:tr>
      <w:tr>
        <w:tc>
          <w:tcPr>
            <w:tcW w:type="dxa" w:w="1152"/>
            <w:vAlign w:val="center"/>
          </w:tcPr>
          <w:p>
            <w:r/>
            <w:r>
              <w:rPr>
                <w:b w:val="0"/>
                <w:sz w:val="17"/>
              </w:rPr>
              <w:t>SYS-004</w:t>
            </w:r>
          </w:p>
        </w:tc>
        <w:tc>
          <w:tcPr>
            <w:tcW w:type="dxa" w:w="6480"/>
            <w:vAlign w:val="center"/>
          </w:tcPr>
          <w:p>
            <w:r/>
            <w:r>
              <w:rPr>
                <w:b w:val="0"/>
                <w:sz w:val="17"/>
              </w:rPr>
              <w:t>The platform shall accept a q-axis current or equivalent load reference for the load machine.</w:t>
            </w:r>
          </w:p>
        </w:tc>
        <w:tc>
          <w:tcPr>
            <w:tcW w:type="dxa" w:w="1728"/>
            <w:vAlign w:val="center"/>
          </w:tcPr>
          <w:p>
            <w:r/>
            <w:r>
              <w:rPr>
                <w:b w:val="0"/>
                <w:sz w:val="17"/>
              </w:rPr>
              <w:t>Functional test</w:t>
            </w:r>
          </w:p>
        </w:tc>
        <w:tc>
          <w:tcPr>
            <w:tcW w:type="dxa" w:w="1440"/>
            <w:vAlign w:val="center"/>
          </w:tcPr>
          <w:p>
            <w:r/>
            <w:r>
              <w:rPr>
                <w:b w:val="0"/>
                <w:sz w:val="17"/>
              </w:rPr>
              <w:t>Demonstrated</w:t>
            </w:r>
          </w:p>
        </w:tc>
      </w:tr>
      <w:tr>
        <w:tc>
          <w:tcPr>
            <w:tcW w:type="dxa" w:w="1152"/>
            <w:vAlign w:val="center"/>
          </w:tcPr>
          <w:p>
            <w:r/>
            <w:r>
              <w:rPr>
                <w:b w:val="0"/>
                <w:sz w:val="17"/>
              </w:rPr>
              <w:t>SYS-005</w:t>
            </w:r>
          </w:p>
        </w:tc>
        <w:tc>
          <w:tcPr>
            <w:tcW w:type="dxa" w:w="6480"/>
            <w:vAlign w:val="center"/>
          </w:tcPr>
          <w:p>
            <w:r/>
            <w:r>
              <w:rPr>
                <w:b w:val="0"/>
                <w:sz w:val="17"/>
              </w:rPr>
              <w:t>The platform shall provide explicit enable and disable control for commanded operation.</w:t>
            </w:r>
          </w:p>
        </w:tc>
        <w:tc>
          <w:tcPr>
            <w:tcW w:type="dxa" w:w="1728"/>
            <w:vAlign w:val="center"/>
          </w:tcPr>
          <w:p>
            <w:r/>
            <w:r>
              <w:rPr>
                <w:b w:val="0"/>
                <w:sz w:val="17"/>
              </w:rPr>
              <w:t>Inspection + test</w:t>
            </w:r>
          </w:p>
        </w:tc>
        <w:tc>
          <w:tcPr>
            <w:tcW w:type="dxa" w:w="1440"/>
            <w:vAlign w:val="center"/>
          </w:tcPr>
          <w:p>
            <w:r/>
            <w:r>
              <w:rPr>
                <w:b w:val="0"/>
                <w:sz w:val="17"/>
              </w:rPr>
              <w:t>Demonstrated</w:t>
            </w:r>
          </w:p>
        </w:tc>
      </w:tr>
      <w:tr>
        <w:tc>
          <w:tcPr>
            <w:tcW w:type="dxa" w:w="1152"/>
            <w:vAlign w:val="center"/>
          </w:tcPr>
          <w:p>
            <w:r/>
            <w:r>
              <w:rPr>
                <w:b w:val="0"/>
                <w:sz w:val="17"/>
              </w:rPr>
              <w:t>SYS-006</w:t>
            </w:r>
          </w:p>
        </w:tc>
        <w:tc>
          <w:tcPr>
            <w:tcW w:type="dxa" w:w="6480"/>
            <w:vAlign w:val="center"/>
          </w:tcPr>
          <w:p>
            <w:r/>
            <w:r>
              <w:rPr>
                <w:b w:val="0"/>
                <w:sz w:val="17"/>
              </w:rPr>
              <w:t>The platform shall maintain independent encoder feedback paths for both machines.</w:t>
            </w:r>
          </w:p>
        </w:tc>
        <w:tc>
          <w:tcPr>
            <w:tcW w:type="dxa" w:w="1728"/>
            <w:vAlign w:val="center"/>
          </w:tcPr>
          <w:p>
            <w:r/>
            <w:r>
              <w:rPr>
                <w:b w:val="0"/>
                <w:sz w:val="17"/>
              </w:rPr>
              <w:t>Inspection + feedback test</w:t>
            </w:r>
          </w:p>
        </w:tc>
        <w:tc>
          <w:tcPr>
            <w:tcW w:type="dxa" w:w="1440"/>
            <w:vAlign w:val="center"/>
          </w:tcPr>
          <w:p>
            <w:r/>
            <w:r>
              <w:rPr>
                <w:b w:val="0"/>
                <w:sz w:val="17"/>
              </w:rPr>
              <w:t>Demonstrated</w:t>
            </w:r>
          </w:p>
        </w:tc>
      </w:tr>
      <w:tr>
        <w:tc>
          <w:tcPr>
            <w:tcW w:type="dxa" w:w="1152"/>
            <w:vAlign w:val="center"/>
          </w:tcPr>
          <w:p>
            <w:r/>
            <w:r>
              <w:rPr>
                <w:b w:val="0"/>
                <w:sz w:val="17"/>
              </w:rPr>
              <w:t>SYS-007</w:t>
            </w:r>
          </w:p>
        </w:tc>
        <w:tc>
          <w:tcPr>
            <w:tcW w:type="dxa" w:w="6480"/>
            <w:vAlign w:val="center"/>
          </w:tcPr>
          <w:p>
            <w:r/>
            <w:r>
              <w:rPr>
                <w:b w:val="0"/>
                <w:sz w:val="17"/>
              </w:rPr>
              <w:t>The released workflow shall support repeatable parameter setup, capture, and post-run review.</w:t>
            </w:r>
          </w:p>
        </w:tc>
        <w:tc>
          <w:tcPr>
            <w:tcW w:type="dxa" w:w="1728"/>
            <w:vAlign w:val="center"/>
          </w:tcPr>
          <w:p>
            <w:r/>
            <w:r>
              <w:rPr>
                <w:b w:val="0"/>
                <w:sz w:val="17"/>
              </w:rPr>
              <w:t>Procedure review</w:t>
            </w:r>
          </w:p>
        </w:tc>
        <w:tc>
          <w:tcPr>
            <w:tcW w:type="dxa" w:w="1440"/>
            <w:vAlign w:val="center"/>
          </w:tcPr>
          <w:p>
            <w:r/>
            <w:r>
              <w:rPr>
                <w:b w:val="0"/>
                <w:sz w:val="17"/>
              </w:rPr>
              <w:t>Verified</w:t>
            </w:r>
          </w:p>
        </w:tc>
      </w:tr>
    </w:tbl>
    <w:p/>
    <w:p>
      <w:pPr>
        <w:pStyle w:val="Heading2"/>
      </w:pPr>
      <w:r>
        <w:t>2.1 Requirement Rationale</w:t>
      </w:r>
    </w:p>
    <w:p>
      <w:pPr/>
      <w:r>
        <w:t>SYS-001 prevents nondeterministic host refresh or file I/O from becoming part of the current-control timing chain. SYS-002 through SYS-006 preserve the dual-machine dynamometer role and the feedback separation required to diagnose either machine. SYS-007 establishes repeatability as a release obligation rather than an informal operator practice.</w:t>
      </w:r>
    </w:p>
    <w:p>
      <w:pPr>
        <w:pStyle w:val="Heading1"/>
      </w:pPr>
      <w:r>
        <w:t>3. External Interface Requirements</w:t>
      </w:r>
    </w:p>
    <w:p>
      <w:pPr/>
      <w:r>
        <w:t>Interface requirements control the boundaries most likely to cause hardware damage, command ambiguity, or invalid evidence: DC input, motor phases, encoders, CAN, deployment connection, and analog acquisition.</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1152"/>
            <w:vAlign w:val="center"/>
            <w:shd w:fill="243B55"/>
          </w:tcPr>
          <w:p>
            <w:r/>
            <w:r>
              <w:rPr>
                <w:b/>
                <w:color w:val="FFFFFF"/>
                <w:sz w:val="17"/>
              </w:rPr>
              <w:t>ID</w:t>
            </w:r>
          </w:p>
        </w:tc>
        <w:tc>
          <w:tcPr>
            <w:tcW w:type="dxa" w:w="6480"/>
            <w:vAlign w:val="center"/>
            <w:shd w:fill="243B55"/>
          </w:tcPr>
          <w:p>
            <w:r/>
            <w:r>
              <w:rPr>
                <w:b/>
                <w:color w:val="FFFFFF"/>
                <w:sz w:val="17"/>
              </w:rPr>
              <w:t>Requirement</w:t>
            </w:r>
          </w:p>
        </w:tc>
        <w:tc>
          <w:tcPr>
            <w:tcW w:type="dxa" w:w="1728"/>
            <w:vAlign w:val="center"/>
            <w:shd w:fill="243B55"/>
          </w:tcPr>
          <w:p>
            <w:r/>
            <w:r>
              <w:rPr>
                <w:b/>
                <w:color w:val="FFFFFF"/>
                <w:sz w:val="17"/>
              </w:rPr>
              <w:t>Verification</w:t>
            </w:r>
          </w:p>
        </w:tc>
        <w:tc>
          <w:tcPr>
            <w:tcW w:type="dxa" w:w="1440"/>
            <w:vAlign w:val="center"/>
            <w:shd w:fill="243B55"/>
          </w:tcPr>
          <w:p>
            <w:r/>
            <w:r>
              <w:rPr>
                <w:b/>
                <w:color w:val="FFFFFF"/>
                <w:sz w:val="17"/>
              </w:rPr>
              <w:t>Status</w:t>
            </w:r>
          </w:p>
        </w:tc>
      </w:tr>
      <w:tr>
        <w:tc>
          <w:tcPr>
            <w:tcW w:type="dxa" w:w="1152"/>
            <w:vAlign w:val="center"/>
          </w:tcPr>
          <w:p>
            <w:r/>
            <w:r>
              <w:rPr>
                <w:b w:val="0"/>
                <w:sz w:val="17"/>
              </w:rPr>
              <w:t>IF-001</w:t>
            </w:r>
          </w:p>
        </w:tc>
        <w:tc>
          <w:tcPr>
            <w:tcW w:type="dxa" w:w="6480"/>
            <w:vAlign w:val="center"/>
          </w:tcPr>
          <w:p>
            <w:r/>
            <w:r>
              <w:rPr>
                <w:b w:val="0"/>
                <w:sz w:val="17"/>
              </w:rPr>
              <w:t>The inverter stack shall be supplied from 24 V DC with verified polarity and current limiting before enable.</w:t>
            </w:r>
          </w:p>
        </w:tc>
        <w:tc>
          <w:tcPr>
            <w:tcW w:type="dxa" w:w="1728"/>
            <w:vAlign w:val="center"/>
          </w:tcPr>
          <w:p>
            <w:r/>
            <w:r>
              <w:rPr>
                <w:b w:val="0"/>
                <w:sz w:val="17"/>
              </w:rPr>
              <w:t>DMM check + startup test</w:t>
            </w:r>
          </w:p>
        </w:tc>
        <w:tc>
          <w:tcPr>
            <w:tcW w:type="dxa" w:w="1440"/>
            <w:vAlign w:val="center"/>
          </w:tcPr>
          <w:p>
            <w:r/>
            <w:r>
              <w:rPr>
                <w:b w:val="0"/>
                <w:sz w:val="17"/>
              </w:rPr>
              <w:t>Demonstrated</w:t>
            </w:r>
          </w:p>
        </w:tc>
      </w:tr>
      <w:tr>
        <w:tc>
          <w:tcPr>
            <w:tcW w:type="dxa" w:w="1152"/>
            <w:vAlign w:val="center"/>
          </w:tcPr>
          <w:p>
            <w:r/>
            <w:r>
              <w:rPr>
                <w:b w:val="0"/>
                <w:sz w:val="17"/>
              </w:rPr>
              <w:t>IF-002</w:t>
            </w:r>
          </w:p>
        </w:tc>
        <w:tc>
          <w:tcPr>
            <w:tcW w:type="dxa" w:w="6480"/>
            <w:vAlign w:val="center"/>
          </w:tcPr>
          <w:p>
            <w:r/>
            <w:r>
              <w:rPr>
                <w:b w:val="0"/>
                <w:sz w:val="17"/>
              </w:rPr>
              <w:t>Each motor shall remain connected consistently to its assigned three-phase inverter output.</w:t>
            </w:r>
          </w:p>
        </w:tc>
        <w:tc>
          <w:tcPr>
            <w:tcW w:type="dxa" w:w="1728"/>
            <w:vAlign w:val="center"/>
          </w:tcPr>
          <w:p>
            <w:r/>
            <w:r>
              <w:rPr>
                <w:b w:val="0"/>
                <w:sz w:val="17"/>
              </w:rPr>
              <w:t>Continuity / wiring inspection</w:t>
            </w:r>
          </w:p>
        </w:tc>
        <w:tc>
          <w:tcPr>
            <w:tcW w:type="dxa" w:w="1440"/>
            <w:vAlign w:val="center"/>
          </w:tcPr>
          <w:p>
            <w:r/>
            <w:r>
              <w:rPr>
                <w:b w:val="0"/>
                <w:sz w:val="17"/>
              </w:rPr>
              <w:t>Demonstrated</w:t>
            </w:r>
          </w:p>
        </w:tc>
      </w:tr>
      <w:tr>
        <w:tc>
          <w:tcPr>
            <w:tcW w:type="dxa" w:w="1152"/>
            <w:vAlign w:val="center"/>
          </w:tcPr>
          <w:p>
            <w:r/>
            <w:r>
              <w:rPr>
                <w:b w:val="0"/>
                <w:sz w:val="17"/>
              </w:rPr>
              <w:t>IF-003</w:t>
            </w:r>
          </w:p>
        </w:tc>
        <w:tc>
          <w:tcPr>
            <w:tcW w:type="dxa" w:w="6480"/>
            <w:vAlign w:val="center"/>
          </w:tcPr>
          <w:p>
            <w:r/>
            <w:r>
              <w:rPr>
                <w:b w:val="0"/>
                <w:sz w:val="17"/>
              </w:rPr>
              <w:t>Motor 1 and Motor 2 encoder channels shall remain electrically and logically distinct.</w:t>
            </w:r>
          </w:p>
        </w:tc>
        <w:tc>
          <w:tcPr>
            <w:tcW w:type="dxa" w:w="1728"/>
            <w:vAlign w:val="center"/>
          </w:tcPr>
          <w:p>
            <w:r/>
            <w:r>
              <w:rPr>
                <w:b w:val="0"/>
                <w:sz w:val="17"/>
              </w:rPr>
              <w:t>Pin inspection + feedback test</w:t>
            </w:r>
          </w:p>
        </w:tc>
        <w:tc>
          <w:tcPr>
            <w:tcW w:type="dxa" w:w="1440"/>
            <w:vAlign w:val="center"/>
          </w:tcPr>
          <w:p>
            <w:r/>
            <w:r>
              <w:rPr>
                <w:b w:val="0"/>
                <w:sz w:val="17"/>
              </w:rPr>
              <w:t>Demonstrated</w:t>
            </w:r>
          </w:p>
        </w:tc>
      </w:tr>
      <w:tr>
        <w:tc>
          <w:tcPr>
            <w:tcW w:type="dxa" w:w="1152"/>
            <w:vAlign w:val="center"/>
          </w:tcPr>
          <w:p>
            <w:r/>
            <w:r>
              <w:rPr>
                <w:b w:val="0"/>
                <w:sz w:val="17"/>
              </w:rPr>
              <w:t>IF-004</w:t>
            </w:r>
          </w:p>
        </w:tc>
        <w:tc>
          <w:tcPr>
            <w:tcW w:type="dxa" w:w="6480"/>
            <w:vAlign w:val="center"/>
          </w:tcPr>
          <w:p>
            <w:r/>
            <w:r>
              <w:rPr>
                <w:b w:val="0"/>
                <w:sz w:val="17"/>
              </w:rPr>
              <w:t>The CAN bus shall provide CANH, CANL, reference ground, and appropriate termination.</w:t>
            </w:r>
          </w:p>
        </w:tc>
        <w:tc>
          <w:tcPr>
            <w:tcW w:type="dxa" w:w="1728"/>
            <w:vAlign w:val="center"/>
          </w:tcPr>
          <w:p>
            <w:r/>
            <w:r>
              <w:rPr>
                <w:b w:val="0"/>
                <w:sz w:val="17"/>
              </w:rPr>
              <w:t>Resistance + communication test</w:t>
            </w:r>
          </w:p>
        </w:tc>
        <w:tc>
          <w:tcPr>
            <w:tcW w:type="dxa" w:w="1440"/>
            <w:vAlign w:val="center"/>
          </w:tcPr>
          <w:p>
            <w:r/>
            <w:r>
              <w:rPr>
                <w:b w:val="0"/>
                <w:sz w:val="17"/>
              </w:rPr>
              <w:t>Demonstrated</w:t>
            </w:r>
          </w:p>
        </w:tc>
      </w:tr>
      <w:tr>
        <w:tc>
          <w:tcPr>
            <w:tcW w:type="dxa" w:w="1152"/>
            <w:vAlign w:val="center"/>
          </w:tcPr>
          <w:p>
            <w:r/>
            <w:r>
              <w:rPr>
                <w:b w:val="0"/>
                <w:sz w:val="17"/>
              </w:rPr>
              <w:t>IF-005</w:t>
            </w:r>
          </w:p>
        </w:tc>
        <w:tc>
          <w:tcPr>
            <w:tcW w:type="dxa" w:w="6480"/>
            <w:vAlign w:val="center"/>
          </w:tcPr>
          <w:p>
            <w:r/>
            <w:r>
              <w:rPr>
                <w:b w:val="0"/>
                <w:sz w:val="17"/>
              </w:rPr>
              <w:t>The target shall retain the debug/deployment interface required for configuration and diagnostics.</w:t>
            </w:r>
          </w:p>
        </w:tc>
        <w:tc>
          <w:tcPr>
            <w:tcW w:type="dxa" w:w="1728"/>
            <w:vAlign w:val="center"/>
          </w:tcPr>
          <w:p>
            <w:r/>
            <w:r>
              <w:rPr>
                <w:b w:val="0"/>
                <w:sz w:val="17"/>
              </w:rPr>
              <w:t>Connection inspection</w:t>
            </w:r>
          </w:p>
        </w:tc>
        <w:tc>
          <w:tcPr>
            <w:tcW w:type="dxa" w:w="1440"/>
            <w:vAlign w:val="center"/>
          </w:tcPr>
          <w:p>
            <w:r/>
            <w:r>
              <w:rPr>
                <w:b w:val="0"/>
                <w:sz w:val="17"/>
              </w:rPr>
              <w:t>Demonstrated</w:t>
            </w:r>
          </w:p>
        </w:tc>
      </w:tr>
      <w:tr>
        <w:tc>
          <w:tcPr>
            <w:tcW w:type="dxa" w:w="1152"/>
            <w:vAlign w:val="center"/>
          </w:tcPr>
          <w:p>
            <w:r/>
            <w:r>
              <w:rPr>
                <w:b w:val="0"/>
                <w:sz w:val="17"/>
              </w:rPr>
              <w:t>IF-006</w:t>
            </w:r>
          </w:p>
        </w:tc>
        <w:tc>
          <w:tcPr>
            <w:tcW w:type="dxa" w:w="6480"/>
            <w:vAlign w:val="center"/>
          </w:tcPr>
          <w:p>
            <w:r/>
            <w:r>
              <w:rPr>
                <w:b w:val="0"/>
                <w:sz w:val="17"/>
              </w:rPr>
              <w:t>The custom ADC integration shall configure the released simultaneous-sampling channels, trigger sources, acquisition windows, and end-of-conversion interrupt routing.</w:t>
            </w:r>
          </w:p>
        </w:tc>
        <w:tc>
          <w:tcPr>
            <w:tcW w:type="dxa" w:w="1728"/>
            <w:vAlign w:val="center"/>
          </w:tcPr>
          <w:p>
            <w:r/>
            <w:r>
              <w:rPr>
                <w:b w:val="0"/>
                <w:sz w:val="17"/>
              </w:rPr>
              <w:t>Source inspection</w:t>
            </w:r>
          </w:p>
        </w:tc>
        <w:tc>
          <w:tcPr>
            <w:tcW w:type="dxa" w:w="1440"/>
            <w:vAlign w:val="center"/>
          </w:tcPr>
          <w:p>
            <w:r/>
            <w:r>
              <w:rPr>
                <w:b w:val="0"/>
                <w:sz w:val="17"/>
              </w:rPr>
              <w:t>Verified</w:t>
            </w:r>
          </w:p>
        </w:tc>
      </w:tr>
    </w:tbl>
    <w:p/>
    <w:p>
      <w:pPr>
        <w:pStyle w:val="Heading2"/>
      </w:pPr>
      <w:r>
        <w:t>3.1 Controlled CAN Contract</w:t>
      </w:r>
    </w:p>
    <w:tbl>
      <w:tblPr>
        <w:tblStyle w:val="TableGrid"/>
        <w:tblW w:type="auto" w:w="0"/>
        <w:jc w:val="center"/>
        <w:tblLook w:firstColumn="1" w:firstRow="1" w:lastColumn="0" w:lastRow="0" w:noHBand="0" w:noVBand="1" w:val="04A0"/>
      </w:tblPr>
      <w:tblGrid>
        <w:gridCol w:w="5141"/>
        <w:gridCol w:w="5141"/>
      </w:tblGrid>
      <w:tr>
        <w:tc>
          <w:tcPr>
            <w:tcW w:type="dxa" w:w="2592"/>
            <w:vAlign w:val="center"/>
            <w:shd w:fill="243B55"/>
          </w:tcPr>
          <w:p>
            <w:r/>
            <w:r>
              <w:rPr>
                <w:b/>
                <w:color w:val="FFFFFF"/>
                <w:sz w:val="17"/>
              </w:rPr>
              <w:t>Item</w:t>
            </w:r>
          </w:p>
        </w:tc>
        <w:tc>
          <w:tcPr>
            <w:tcW w:type="dxa" w:w="8064"/>
            <w:vAlign w:val="center"/>
            <w:shd w:fill="243B55"/>
          </w:tcPr>
          <w:p>
            <w:r/>
            <w:r>
              <w:rPr>
                <w:b/>
                <w:color w:val="FFFFFF"/>
                <w:sz w:val="17"/>
              </w:rPr>
              <w:t>Public requirement</w:t>
            </w:r>
          </w:p>
        </w:tc>
      </w:tr>
      <w:tr>
        <w:tc>
          <w:tcPr>
            <w:tcW w:type="dxa" w:w="2592"/>
            <w:vAlign w:val="center"/>
          </w:tcPr>
          <w:p>
            <w:r/>
            <w:r>
              <w:rPr>
                <w:b w:val="0"/>
                <w:sz w:val="17"/>
              </w:rPr>
              <w:t>Command identifier</w:t>
            </w:r>
          </w:p>
        </w:tc>
        <w:tc>
          <w:tcPr>
            <w:tcW w:type="dxa" w:w="8064"/>
            <w:vAlign w:val="center"/>
          </w:tcPr>
          <w:p>
            <w:r/>
            <w:r>
              <w:rPr>
                <w:b w:val="0"/>
                <w:sz w:val="17"/>
              </w:rPr>
              <w:t>Standard CAN identifier 0x100.</w:t>
            </w:r>
          </w:p>
        </w:tc>
      </w:tr>
      <w:tr>
        <w:tc>
          <w:tcPr>
            <w:tcW w:type="dxa" w:w="2592"/>
            <w:vAlign w:val="center"/>
          </w:tcPr>
          <w:p>
            <w:r/>
            <w:r>
              <w:rPr>
                <w:b w:val="0"/>
                <w:sz w:val="17"/>
              </w:rPr>
              <w:t>Command payload</w:t>
            </w:r>
          </w:p>
        </w:tc>
        <w:tc>
          <w:tcPr>
            <w:tcW w:type="dxa" w:w="8064"/>
            <w:vAlign w:val="center"/>
          </w:tcPr>
          <w:p>
            <w:r/>
            <w:r>
              <w:rPr>
                <w:b w:val="0"/>
                <w:sz w:val="17"/>
              </w:rPr>
              <w:t>Eight-byte payload containing four 16-bit supervisory command words.</w:t>
            </w:r>
          </w:p>
        </w:tc>
      </w:tr>
      <w:tr>
        <w:tc>
          <w:tcPr>
            <w:tcW w:type="dxa" w:w="2592"/>
            <w:vAlign w:val="center"/>
          </w:tcPr>
          <w:p>
            <w:r/>
            <w:r>
              <w:rPr>
                <w:b w:val="0"/>
                <w:sz w:val="17"/>
              </w:rPr>
              <w:t>Return identifier</w:t>
            </w:r>
          </w:p>
        </w:tc>
        <w:tc>
          <w:tcPr>
            <w:tcW w:type="dxa" w:w="8064"/>
            <w:vAlign w:val="center"/>
          </w:tcPr>
          <w:p>
            <w:r/>
            <w:r>
              <w:rPr>
                <w:b w:val="0"/>
                <w:sz w:val="17"/>
              </w:rPr>
              <w:t>Standard CAN identifier 0x101 for command echo or diagnostic return.</w:t>
            </w:r>
          </w:p>
        </w:tc>
      </w:tr>
      <w:tr>
        <w:tc>
          <w:tcPr>
            <w:tcW w:type="dxa" w:w="2592"/>
            <w:vAlign w:val="center"/>
          </w:tcPr>
          <w:p>
            <w:r/>
            <w:r>
              <w:rPr>
                <w:b w:val="0"/>
                <w:sz w:val="17"/>
              </w:rPr>
              <w:t>Control integration</w:t>
            </w:r>
          </w:p>
        </w:tc>
        <w:tc>
          <w:tcPr>
            <w:tcW w:type="dxa" w:w="8064"/>
            <w:vAlign w:val="center"/>
          </w:tcPr>
          <w:p>
            <w:r/>
            <w:r>
              <w:rPr>
                <w:b w:val="0"/>
                <w:sz w:val="17"/>
              </w:rPr>
              <w:t>Decoded command words feed the existing reference, enable, selection, and FOC signal paths.</w:t>
            </w:r>
          </w:p>
        </w:tc>
      </w:tr>
    </w:tbl>
    <w:p/>
    <w:p>
      <w:pPr>
        <w:pStyle w:val="Heading2"/>
      </w:pPr>
      <w:r>
        <w:t>3.2 Controlled ADC Contract</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1728"/>
            <w:vAlign w:val="center"/>
            <w:shd w:fill="243B55"/>
          </w:tcPr>
          <w:p>
            <w:r/>
            <w:r>
              <w:rPr>
                <w:b/>
                <w:color w:val="FFFFFF"/>
                <w:sz w:val="17"/>
              </w:rPr>
              <w:t>SOC pair</w:t>
            </w:r>
          </w:p>
        </w:tc>
        <w:tc>
          <w:tcPr>
            <w:tcW w:type="dxa" w:w="2592"/>
            <w:vAlign w:val="center"/>
            <w:shd w:fill="243B55"/>
          </w:tcPr>
          <w:p>
            <w:r/>
            <w:r>
              <w:rPr>
                <w:b/>
                <w:color w:val="FFFFFF"/>
                <w:sz w:val="17"/>
              </w:rPr>
              <w:t>Inputs</w:t>
            </w:r>
          </w:p>
        </w:tc>
        <w:tc>
          <w:tcPr>
            <w:tcW w:type="dxa" w:w="2160"/>
            <w:vAlign w:val="center"/>
            <w:shd w:fill="243B55"/>
          </w:tcPr>
          <w:p>
            <w:r/>
            <w:r>
              <w:rPr>
                <w:b/>
                <w:color w:val="FFFFFF"/>
                <w:sz w:val="17"/>
              </w:rPr>
              <w:t>Trigger</w:t>
            </w:r>
          </w:p>
        </w:tc>
        <w:tc>
          <w:tcPr>
            <w:tcW w:type="dxa" w:w="3600"/>
            <w:vAlign w:val="center"/>
            <w:shd w:fill="243B55"/>
          </w:tcPr>
          <w:p>
            <w:r/>
            <w:r>
              <w:rPr>
                <w:b/>
                <w:color w:val="FFFFFF"/>
                <w:sz w:val="17"/>
              </w:rPr>
              <w:t>Completion</w:t>
            </w:r>
          </w:p>
        </w:tc>
      </w:tr>
      <w:tr>
        <w:tc>
          <w:tcPr>
            <w:tcW w:type="dxa" w:w="1728"/>
            <w:vAlign w:val="center"/>
          </w:tcPr>
          <w:p>
            <w:r/>
            <w:r>
              <w:rPr>
                <w:b w:val="0"/>
                <w:sz w:val="17"/>
              </w:rPr>
              <w:t>SOC12 / SOC13</w:t>
            </w:r>
          </w:p>
        </w:tc>
        <w:tc>
          <w:tcPr>
            <w:tcW w:type="dxa" w:w="2592"/>
            <w:vAlign w:val="center"/>
          </w:tcPr>
          <w:p>
            <w:r/>
            <w:r>
              <w:rPr>
                <w:b w:val="0"/>
                <w:sz w:val="17"/>
              </w:rPr>
              <w:t>ADCINA2 / ADCINB2</w:t>
            </w:r>
          </w:p>
        </w:tc>
        <w:tc>
          <w:tcPr>
            <w:tcW w:type="dxa" w:w="2160"/>
            <w:vAlign w:val="center"/>
          </w:tcPr>
          <w:p>
            <w:r/>
            <w:r>
              <w:rPr>
                <w:b w:val="0"/>
                <w:sz w:val="17"/>
              </w:rPr>
              <w:t>ePWM1</w:t>
            </w:r>
          </w:p>
        </w:tc>
        <w:tc>
          <w:tcPr>
            <w:tcW w:type="dxa" w:w="3600"/>
            <w:vAlign w:val="center"/>
          </w:tcPr>
          <w:p>
            <w:r/>
            <w:r>
              <w:rPr>
                <w:b w:val="0"/>
                <w:sz w:val="17"/>
              </w:rPr>
              <w:t>EOC13 -&gt; ADCINT5</w:t>
            </w:r>
          </w:p>
        </w:tc>
      </w:tr>
      <w:tr>
        <w:tc>
          <w:tcPr>
            <w:tcW w:type="dxa" w:w="1728"/>
            <w:vAlign w:val="center"/>
          </w:tcPr>
          <w:p>
            <w:r/>
            <w:r>
              <w:rPr>
                <w:b w:val="0"/>
                <w:sz w:val="17"/>
              </w:rPr>
              <w:t>SOC14 / SOC15</w:t>
            </w:r>
          </w:p>
        </w:tc>
        <w:tc>
          <w:tcPr>
            <w:tcW w:type="dxa" w:w="2592"/>
            <w:vAlign w:val="center"/>
          </w:tcPr>
          <w:p>
            <w:r/>
            <w:r>
              <w:rPr>
                <w:b w:val="0"/>
                <w:sz w:val="17"/>
              </w:rPr>
              <w:t>ADCINA1 / ADCINB1</w:t>
            </w:r>
          </w:p>
        </w:tc>
        <w:tc>
          <w:tcPr>
            <w:tcW w:type="dxa" w:w="2160"/>
            <w:vAlign w:val="center"/>
          </w:tcPr>
          <w:p>
            <w:r/>
            <w:r>
              <w:rPr>
                <w:b w:val="0"/>
                <w:sz w:val="17"/>
              </w:rPr>
              <w:t>ePWM1</w:t>
            </w:r>
          </w:p>
        </w:tc>
        <w:tc>
          <w:tcPr>
            <w:tcW w:type="dxa" w:w="3600"/>
            <w:vAlign w:val="center"/>
          </w:tcPr>
          <w:p>
            <w:r/>
            <w:r>
              <w:rPr>
                <w:b w:val="0"/>
                <w:sz w:val="17"/>
              </w:rPr>
              <w:t>EOC15 -&gt; ADCINT9</w:t>
            </w:r>
          </w:p>
        </w:tc>
      </w:tr>
    </w:tbl>
    <w:p/>
    <w:p>
      <w:pPr/>
      <w:r>
        <w:t>The custom source establishes the additional analog acquisition path. Detailed register-level implementation and source excerpts are maintained in the companion engineering report and embedded-control folder.</w:t>
      </w:r>
    </w:p>
    <w:p>
      <w:pPr>
        <w:pStyle w:val="Heading1"/>
      </w:pPr>
      <w:r>
        <w:t>4. Evidence and Data Requirements</w:t>
      </w:r>
    </w:p>
    <w:p>
      <w:pPr/>
      <w:r>
        <w:t>The public release must preserve enough evidence to confirm required behavior without distributing private raw datasets, generated firmware, or vendor manufacturing packages.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1152"/>
            <w:vAlign w:val="center"/>
            <w:shd w:fill="243B55"/>
          </w:tcPr>
          <w:p>
            <w:r/>
            <w:r>
              <w:rPr>
                <w:b/>
                <w:color w:val="FFFFFF"/>
                <w:sz w:val="17"/>
              </w:rPr>
              <w:t>ID</w:t>
            </w:r>
          </w:p>
        </w:tc>
        <w:tc>
          <w:tcPr>
            <w:tcW w:type="dxa" w:w="6480"/>
            <w:vAlign w:val="center"/>
            <w:shd w:fill="243B55"/>
          </w:tcPr>
          <w:p>
            <w:r/>
            <w:r>
              <w:rPr>
                <w:b/>
                <w:color w:val="FFFFFF"/>
                <w:sz w:val="17"/>
              </w:rPr>
              <w:t>Requirement</w:t>
            </w:r>
          </w:p>
        </w:tc>
        <w:tc>
          <w:tcPr>
            <w:tcW w:type="dxa" w:w="1728"/>
            <w:vAlign w:val="center"/>
            <w:shd w:fill="243B55"/>
          </w:tcPr>
          <w:p>
            <w:r/>
            <w:r>
              <w:rPr>
                <w:b/>
                <w:color w:val="FFFFFF"/>
                <w:sz w:val="17"/>
              </w:rPr>
              <w:t>Verification</w:t>
            </w:r>
          </w:p>
        </w:tc>
        <w:tc>
          <w:tcPr>
            <w:tcW w:type="dxa" w:w="1440"/>
            <w:vAlign w:val="center"/>
            <w:shd w:fill="243B55"/>
          </w:tcPr>
          <w:p>
            <w:r/>
            <w:r>
              <w:rPr>
                <w:b/>
                <w:color w:val="FFFFFF"/>
                <w:sz w:val="17"/>
              </w:rPr>
              <w:t>Status</w:t>
            </w:r>
          </w:p>
        </w:tc>
      </w:tr>
      <w:tr>
        <w:tc>
          <w:tcPr>
            <w:tcW w:type="dxa" w:w="1152"/>
            <w:vAlign w:val="center"/>
          </w:tcPr>
          <w:p>
            <w:r/>
            <w:r>
              <w:rPr>
                <w:b w:val="0"/>
                <w:sz w:val="17"/>
              </w:rPr>
              <w:t>DAT-001</w:t>
            </w:r>
          </w:p>
        </w:tc>
        <w:tc>
          <w:tcPr>
            <w:tcW w:type="dxa" w:w="6480"/>
            <w:vAlign w:val="center"/>
          </w:tcPr>
          <w:p>
            <w:r/>
            <w:r>
              <w:rPr>
                <w:b w:val="0"/>
                <w:sz w:val="17"/>
              </w:rPr>
              <w:t>The release shall expose the speed, current, voltage, torque-related, power-related, and diagnostic quantities required by the approved verification workflow.</w:t>
            </w:r>
          </w:p>
        </w:tc>
        <w:tc>
          <w:tcPr>
            <w:tcW w:type="dxa" w:w="1728"/>
            <w:vAlign w:val="center"/>
          </w:tcPr>
          <w:p>
            <w:r/>
            <w:r>
              <w:rPr>
                <w:b w:val="0"/>
                <w:sz w:val="17"/>
              </w:rPr>
              <w:t>Model/script inspection</w:t>
            </w:r>
          </w:p>
        </w:tc>
        <w:tc>
          <w:tcPr>
            <w:tcW w:type="dxa" w:w="1440"/>
            <w:vAlign w:val="center"/>
          </w:tcPr>
          <w:p>
            <w:r/>
            <w:r>
              <w:rPr>
                <w:b w:val="0"/>
                <w:sz w:val="17"/>
              </w:rPr>
              <w:t>Demonstrated</w:t>
            </w:r>
          </w:p>
        </w:tc>
      </w:tr>
      <w:tr>
        <w:tc>
          <w:tcPr>
            <w:tcW w:type="dxa" w:w="1152"/>
            <w:vAlign w:val="center"/>
          </w:tcPr>
          <w:p>
            <w:r/>
            <w:r>
              <w:rPr>
                <w:b w:val="0"/>
                <w:sz w:val="17"/>
              </w:rPr>
              <w:t>DAT-002</w:t>
            </w:r>
          </w:p>
        </w:tc>
        <w:tc>
          <w:tcPr>
            <w:tcW w:type="dxa" w:w="6480"/>
            <w:vAlign w:val="center"/>
          </w:tcPr>
          <w:p>
            <w:r/>
            <w:r>
              <w:rPr>
                <w:b w:val="0"/>
                <w:sz w:val="17"/>
              </w:rPr>
              <w:t>Published evidence shall remain traceable to retained source models, scripts, or approved outputs.</w:t>
            </w:r>
          </w:p>
        </w:tc>
        <w:tc>
          <w:tcPr>
            <w:tcW w:type="dxa" w:w="1728"/>
            <w:vAlign w:val="center"/>
          </w:tcPr>
          <w:p>
            <w:r/>
            <w:r>
              <w:rPr>
                <w:b w:val="0"/>
                <w:sz w:val="17"/>
              </w:rPr>
              <w:t>Repository inspection</w:t>
            </w:r>
          </w:p>
        </w:tc>
        <w:tc>
          <w:tcPr>
            <w:tcW w:type="dxa" w:w="1440"/>
            <w:vAlign w:val="center"/>
          </w:tcPr>
          <w:p>
            <w:r/>
            <w:r>
              <w:rPr>
                <w:b w:val="0"/>
                <w:sz w:val="17"/>
              </w:rPr>
              <w:t>Verified</w:t>
            </w:r>
          </w:p>
        </w:tc>
      </w:tr>
      <w:tr>
        <w:tc>
          <w:tcPr>
            <w:tcW w:type="dxa" w:w="1152"/>
            <w:vAlign w:val="center"/>
          </w:tcPr>
          <w:p>
            <w:r/>
            <w:r>
              <w:rPr>
                <w:b w:val="0"/>
                <w:sz w:val="17"/>
              </w:rPr>
              <w:t>DAT-003</w:t>
            </w:r>
          </w:p>
        </w:tc>
        <w:tc>
          <w:tcPr>
            <w:tcW w:type="dxa" w:w="6480"/>
            <w:vAlign w:val="center"/>
          </w:tcPr>
          <w:p>
            <w:r/>
            <w:r>
              <w:rPr>
                <w:b w:val="0"/>
                <w:sz w:val="17"/>
              </w:rPr>
              <w:t>Measured evidence shall distinguish observed operating regions from unmeasured or unsupported regions.</w:t>
            </w:r>
          </w:p>
        </w:tc>
        <w:tc>
          <w:tcPr>
            <w:tcW w:type="dxa" w:w="1728"/>
            <w:vAlign w:val="center"/>
          </w:tcPr>
          <w:p>
            <w:r/>
            <w:r>
              <w:rPr>
                <w:b w:val="0"/>
                <w:sz w:val="17"/>
              </w:rPr>
              <w:t>Figure/report inspection</w:t>
            </w:r>
          </w:p>
        </w:tc>
        <w:tc>
          <w:tcPr>
            <w:tcW w:type="dxa" w:w="1440"/>
            <w:vAlign w:val="center"/>
          </w:tcPr>
          <w:p>
            <w:r/>
            <w:r>
              <w:rPr>
                <w:b w:val="0"/>
                <w:sz w:val="17"/>
              </w:rPr>
              <w:t>Verified</w:t>
            </w:r>
          </w:p>
        </w:tc>
      </w:tr>
      <w:tr>
        <w:tc>
          <w:tcPr>
            <w:tcW w:type="dxa" w:w="1152"/>
            <w:vAlign w:val="center"/>
          </w:tcPr>
          <w:p>
            <w:r/>
            <w:r>
              <w:rPr>
                <w:b w:val="0"/>
                <w:sz w:val="17"/>
              </w:rPr>
              <w:t>DAT-004</w:t>
            </w:r>
          </w:p>
        </w:tc>
        <w:tc>
          <w:tcPr>
            <w:tcW w:type="dxa" w:w="6480"/>
            <w:vAlign w:val="center"/>
          </w:tcPr>
          <w:p>
            <w:r/>
            <w:r>
              <w:rPr>
                <w:b w:val="0"/>
                <w:sz w:val="17"/>
              </w:rPr>
              <w:t>Interrupted or incomplete acquisition shall not be represented as complete evidence.</w:t>
            </w:r>
          </w:p>
        </w:tc>
        <w:tc>
          <w:tcPr>
            <w:tcW w:type="dxa" w:w="1728"/>
            <w:vAlign w:val="center"/>
          </w:tcPr>
          <w:p>
            <w:r/>
            <w:r>
              <w:rPr>
                <w:b w:val="0"/>
                <w:sz w:val="17"/>
              </w:rPr>
              <w:t>Procedure inspection</w:t>
            </w:r>
          </w:p>
        </w:tc>
        <w:tc>
          <w:tcPr>
            <w:tcW w:type="dxa" w:w="1440"/>
            <w:vAlign w:val="center"/>
          </w:tcPr>
          <w:p>
            <w:r/>
            <w:r>
              <w:rPr>
                <w:b w:val="0"/>
                <w:sz w:val="17"/>
              </w:rPr>
              <w:t>Verified</w:t>
            </w:r>
          </w:p>
        </w:tc>
      </w:tr>
      <w:tr>
        <w:tc>
          <w:tcPr>
            <w:tcW w:type="dxa" w:w="1152"/>
            <w:vAlign w:val="center"/>
          </w:tcPr>
          <w:p>
            <w:r/>
            <w:r>
              <w:rPr>
                <w:b w:val="0"/>
                <w:sz w:val="17"/>
              </w:rPr>
              <w:t>DAT-005</w:t>
            </w:r>
          </w:p>
        </w:tc>
        <w:tc>
          <w:tcPr>
            <w:tcW w:type="dxa" w:w="6480"/>
            <w:vAlign w:val="center"/>
          </w:tcPr>
          <w:p>
            <w:r/>
            <w:r>
              <w:rPr>
                <w:b w:val="0"/>
                <w:sz w:val="17"/>
              </w:rPr>
              <w:t>The public release shall exclude generated code, binaries, private raw data, and institution-specific instructional material.</w:t>
            </w:r>
          </w:p>
        </w:tc>
        <w:tc>
          <w:tcPr>
            <w:tcW w:type="dxa" w:w="1728"/>
            <w:vAlign w:val="center"/>
          </w:tcPr>
          <w:p>
            <w:r/>
            <w:r>
              <w:rPr>
                <w:b w:val="0"/>
                <w:sz w:val="17"/>
              </w:rPr>
              <w:t>Release inspection</w:t>
            </w:r>
          </w:p>
        </w:tc>
        <w:tc>
          <w:tcPr>
            <w:tcW w:type="dxa" w:w="1440"/>
            <w:vAlign w:val="center"/>
          </w:tcPr>
          <w:p>
            <w:r/>
            <w:r>
              <w:rPr>
                <w:b w:val="0"/>
                <w:sz w:val="17"/>
              </w:rPr>
              <w:t>Verified</w:t>
            </w:r>
          </w:p>
        </w:tc>
      </w:tr>
    </w:tbl>
    <w:p/>
    <w:p>
      <w:pPr/>
      <w:r>
        <w:t>Efficiency methodology and maps are not part of this FRD. They are contained only in the Embedded Control &amp; Characterization Report. This document controls the evidence obligations and acceptance basis, not the interpretation of characterization results.</w:t>
      </w:r>
    </w:p>
    <w:p>
      <w:pPr>
        <w:pStyle w:val="Heading1"/>
      </w:pPr>
      <w:r>
        <w:t>5. Safety, Constraints, and Release Limitations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1152"/>
            <w:vAlign w:val="center"/>
            <w:shd w:fill="243B55"/>
          </w:tcPr>
          <w:p>
            <w:r/>
            <w:r>
              <w:rPr>
                <w:b/>
                <w:color w:val="FFFFFF"/>
                <w:sz w:val="17"/>
              </w:rPr>
              <w:t>ID</w:t>
            </w:r>
          </w:p>
        </w:tc>
        <w:tc>
          <w:tcPr>
            <w:tcW w:type="dxa" w:w="6480"/>
            <w:vAlign w:val="center"/>
            <w:shd w:fill="243B55"/>
          </w:tcPr>
          <w:p>
            <w:r/>
            <w:r>
              <w:rPr>
                <w:b/>
                <w:color w:val="FFFFFF"/>
                <w:sz w:val="17"/>
              </w:rPr>
              <w:t>Requirement</w:t>
            </w:r>
          </w:p>
        </w:tc>
        <w:tc>
          <w:tcPr>
            <w:tcW w:type="dxa" w:w="1728"/>
            <w:vAlign w:val="center"/>
            <w:shd w:fill="243B55"/>
          </w:tcPr>
          <w:p>
            <w:r/>
            <w:r>
              <w:rPr>
                <w:b/>
                <w:color w:val="FFFFFF"/>
                <w:sz w:val="17"/>
              </w:rPr>
              <w:t>Verification</w:t>
            </w:r>
          </w:p>
        </w:tc>
        <w:tc>
          <w:tcPr>
            <w:tcW w:type="dxa" w:w="1440"/>
            <w:vAlign w:val="center"/>
            <w:shd w:fill="243B55"/>
          </w:tcPr>
          <w:p>
            <w:r/>
            <w:r>
              <w:rPr>
                <w:b/>
                <w:color w:val="FFFFFF"/>
                <w:sz w:val="17"/>
              </w:rPr>
              <w:t>Status</w:t>
            </w:r>
          </w:p>
        </w:tc>
      </w:tr>
      <w:tr>
        <w:tc>
          <w:tcPr>
            <w:tcW w:type="dxa" w:w="1152"/>
            <w:vAlign w:val="center"/>
          </w:tcPr>
          <w:p>
            <w:r/>
            <w:r>
              <w:rPr>
                <w:b w:val="0"/>
                <w:sz w:val="17"/>
              </w:rPr>
              <w:t>SAFE-001</w:t>
            </w:r>
          </w:p>
        </w:tc>
        <w:tc>
          <w:tcPr>
            <w:tcW w:type="dxa" w:w="6480"/>
            <w:vAlign w:val="center"/>
          </w:tcPr>
          <w:p>
            <w:r/>
            <w:r>
              <w:rPr>
                <w:b w:val="0"/>
                <w:sz w:val="17"/>
              </w:rPr>
              <w:t>DC polarity shall be verified before inverter power is applied.</w:t>
            </w:r>
          </w:p>
        </w:tc>
        <w:tc>
          <w:tcPr>
            <w:tcW w:type="dxa" w:w="1728"/>
            <w:vAlign w:val="center"/>
          </w:tcPr>
          <w:p>
            <w:r/>
            <w:r>
              <w:rPr>
                <w:b w:val="0"/>
                <w:sz w:val="17"/>
              </w:rPr>
              <w:t>Inspection</w:t>
            </w:r>
          </w:p>
        </w:tc>
        <w:tc>
          <w:tcPr>
            <w:tcW w:type="dxa" w:w="1440"/>
            <w:vAlign w:val="center"/>
          </w:tcPr>
          <w:p>
            <w:r/>
            <w:r>
              <w:rPr>
                <w:b w:val="0"/>
                <w:sz w:val="17"/>
              </w:rPr>
              <w:t>Required</w:t>
            </w:r>
          </w:p>
        </w:tc>
      </w:tr>
      <w:tr>
        <w:tc>
          <w:tcPr>
            <w:tcW w:type="dxa" w:w="1152"/>
            <w:vAlign w:val="center"/>
          </w:tcPr>
          <w:p>
            <w:r/>
            <w:r>
              <w:rPr>
                <w:b w:val="0"/>
                <w:sz w:val="17"/>
              </w:rPr>
              <w:t>SAFE-002</w:t>
            </w:r>
          </w:p>
        </w:tc>
        <w:tc>
          <w:tcPr>
            <w:tcW w:type="dxa" w:w="6480"/>
            <w:vAlign w:val="center"/>
          </w:tcPr>
          <w:p>
            <w:r/>
            <w:r>
              <w:rPr>
                <w:b w:val="0"/>
                <w:sz w:val="17"/>
              </w:rPr>
              <w:t>Initial operation after wiring or software change shall begin at low speed and bounded load.</w:t>
            </w:r>
          </w:p>
        </w:tc>
        <w:tc>
          <w:tcPr>
            <w:tcW w:type="dxa" w:w="1728"/>
            <w:vAlign w:val="center"/>
          </w:tcPr>
          <w:p>
            <w:r/>
            <w:r>
              <w:rPr>
                <w:b w:val="0"/>
                <w:sz w:val="17"/>
              </w:rPr>
              <w:t>Procedure review</w:t>
            </w:r>
          </w:p>
        </w:tc>
        <w:tc>
          <w:tcPr>
            <w:tcW w:type="dxa" w:w="1440"/>
            <w:vAlign w:val="center"/>
          </w:tcPr>
          <w:p>
            <w:r/>
            <w:r>
              <w:rPr>
                <w:b w:val="0"/>
                <w:sz w:val="17"/>
              </w:rPr>
              <w:t>Required</w:t>
            </w:r>
          </w:p>
        </w:tc>
      </w:tr>
      <w:tr>
        <w:tc>
          <w:tcPr>
            <w:tcW w:type="dxa" w:w="1152"/>
            <w:vAlign w:val="center"/>
          </w:tcPr>
          <w:p>
            <w:r/>
            <w:r>
              <w:rPr>
                <w:b w:val="0"/>
                <w:sz w:val="17"/>
              </w:rPr>
              <w:t>SAFE-003</w:t>
            </w:r>
          </w:p>
        </w:tc>
        <w:tc>
          <w:tcPr>
            <w:tcW w:type="dxa" w:w="6480"/>
            <w:vAlign w:val="center"/>
          </w:tcPr>
          <w:p>
            <w:r/>
            <w:r>
              <w:rPr>
                <w:b w:val="0"/>
                <w:sz w:val="17"/>
              </w:rPr>
              <w:t>Software disable shall not be represented as an independent safety function.</w:t>
            </w:r>
          </w:p>
        </w:tc>
        <w:tc>
          <w:tcPr>
            <w:tcW w:type="dxa" w:w="1728"/>
            <w:vAlign w:val="center"/>
          </w:tcPr>
          <w:p>
            <w:r/>
            <w:r>
              <w:rPr>
                <w:b w:val="0"/>
                <w:sz w:val="17"/>
              </w:rPr>
              <w:t>Document review</w:t>
            </w:r>
          </w:p>
        </w:tc>
        <w:tc>
          <w:tcPr>
            <w:tcW w:type="dxa" w:w="1440"/>
            <w:vAlign w:val="center"/>
          </w:tcPr>
          <w:p>
            <w:r/>
            <w:r>
              <w:rPr>
                <w:b w:val="0"/>
                <w:sz w:val="17"/>
              </w:rPr>
              <w:t>Verified</w:t>
            </w:r>
          </w:p>
        </w:tc>
      </w:tr>
      <w:tr>
        <w:tc>
          <w:tcPr>
            <w:tcW w:type="dxa" w:w="1152"/>
            <w:vAlign w:val="center"/>
          </w:tcPr>
          <w:p>
            <w:r/>
            <w:r>
              <w:rPr>
                <w:b w:val="0"/>
                <w:sz w:val="17"/>
              </w:rPr>
              <w:t>SAFE-004</w:t>
            </w:r>
          </w:p>
        </w:tc>
        <w:tc>
          <w:tcPr>
            <w:tcW w:type="dxa" w:w="6480"/>
            <w:vAlign w:val="center"/>
          </w:tcPr>
          <w:p>
            <w:r/>
            <w:r>
              <w:rPr>
                <w:b w:val="0"/>
                <w:sz w:val="17"/>
              </w:rPr>
              <w:t>Rotating components shall be secured and kept clear during operation.</w:t>
            </w:r>
          </w:p>
        </w:tc>
        <w:tc>
          <w:tcPr>
            <w:tcW w:type="dxa" w:w="1728"/>
            <w:vAlign w:val="center"/>
          </w:tcPr>
          <w:p>
            <w:r/>
            <w:r>
              <w:rPr>
                <w:b w:val="0"/>
                <w:sz w:val="17"/>
              </w:rPr>
              <w:t>Procedure review</w:t>
            </w:r>
          </w:p>
        </w:tc>
        <w:tc>
          <w:tcPr>
            <w:tcW w:type="dxa" w:w="1440"/>
            <w:vAlign w:val="center"/>
          </w:tcPr>
          <w:p>
            <w:r/>
            <w:r>
              <w:rPr>
                <w:b w:val="0"/>
                <w:sz w:val="17"/>
              </w:rPr>
              <w:t>Required</w:t>
            </w:r>
          </w:p>
        </w:tc>
      </w:tr>
      <w:tr>
        <w:tc>
          <w:tcPr>
            <w:tcW w:type="dxa" w:w="1152"/>
            <w:vAlign w:val="center"/>
          </w:tcPr>
          <w:p>
            <w:r/>
            <w:r>
              <w:rPr>
                <w:b w:val="0"/>
                <w:sz w:val="17"/>
              </w:rPr>
              <w:t>REL-001</w:t>
            </w:r>
          </w:p>
        </w:tc>
        <w:tc>
          <w:tcPr>
            <w:tcW w:type="dxa" w:w="6480"/>
            <w:vAlign w:val="center"/>
          </w:tcPr>
          <w:p>
            <w:r/>
            <w:r>
              <w:rPr>
                <w:b w:val="0"/>
                <w:sz w:val="17"/>
              </w:rPr>
              <w:t>The release shall not claim calibrated metrology, production safety certification, EMC qualification, or long-duration thermal qualification.</w:t>
            </w:r>
          </w:p>
        </w:tc>
        <w:tc>
          <w:tcPr>
            <w:tcW w:type="dxa" w:w="1728"/>
            <w:vAlign w:val="center"/>
          </w:tcPr>
          <w:p>
            <w:r/>
            <w:r>
              <w:rPr>
                <w:b w:val="0"/>
                <w:sz w:val="17"/>
              </w:rPr>
              <w:t>Document review</w:t>
            </w:r>
          </w:p>
        </w:tc>
        <w:tc>
          <w:tcPr>
            <w:tcW w:type="dxa" w:w="1440"/>
            <w:vAlign w:val="center"/>
          </w:tcPr>
          <w:p>
            <w:r/>
            <w:r>
              <w:rPr>
                <w:b w:val="0"/>
                <w:sz w:val="17"/>
              </w:rPr>
              <w:t>Verified</w:t>
            </w:r>
          </w:p>
        </w:tc>
      </w:tr>
    </w:tbl>
    <w:p/>
    <w:p>
      <w:pPr>
        <w:pStyle w:val="Heading2"/>
      </w:pPr>
      <w:r>
        <w:t>5.1 Assumptions and Dependencies</w:t>
      </w:r>
    </w:p>
    <w:p>
      <w:pPr>
        <w:pStyle w:val="ListBullet"/>
      </w:pPr>
      <w:r>
        <w:t>Compatible MATLAB/Simulink and C2000 support packages are available.</w:t>
      </w:r>
    </w:p>
    <w:p>
      <w:pPr>
        <w:pStyle w:val="ListBullet"/>
      </w:pPr>
      <w:r>
        <w:t>Vendor controller and inverter documentation is used to verify board-revision pin assignments.</w:t>
      </w:r>
    </w:p>
    <w:p>
      <w:pPr>
        <w:pStyle w:val="ListBullet"/>
      </w:pPr>
      <w:r>
        <w:t>Bench wiring, motor mounting, and coupler integrity are checked before operation.</w:t>
      </w:r>
    </w:p>
    <w:p>
      <w:pPr>
        <w:pStyle w:val="ListBullet"/>
      </w:pPr>
      <w:r>
        <w:t>Instrumentation calibration remains outside the public release unless separately documented.</w:t>
      </w:r>
    </w:p>
    <w:p>
      <w:pPr>
        <w:pStyle w:val="Heading1"/>
      </w:pPr>
      <w:r>
        <w:t>6. Verification and Acceptance Plan</w:t>
      </w:r>
    </w:p>
    <w:p>
      <w:pPr/>
      <w:r>
        <w:t>Verification confirms that each requirement is satisfied by inspection, analysis, demonstration, or test. Validation confirms that the integrated platform supports its intended drive/load, supervisory-control, and evidence-generation use cases.</w:t>
      </w:r>
    </w:p>
    <w:tbl>
      <w:tblPr>
        <w:tblStyle w:val="TableGrid"/>
        <w:tblW w:type="auto" w:w="0"/>
        <w:jc w:val="center"/>
        <w:tblLook w:firstColumn="1" w:firstRow="1" w:lastColumn="0" w:lastRow="0" w:noHBand="0" w:noVBand="1" w:val="04A0"/>
      </w:tblPr>
      <w:tblGrid>
        <w:gridCol w:w="5141"/>
        <w:gridCol w:w="5141"/>
      </w:tblGrid>
      <w:tr>
        <w:tc>
          <w:tcPr>
            <w:tcW w:type="dxa" w:w="1872"/>
            <w:vAlign w:val="center"/>
            <w:shd w:fill="243B55"/>
          </w:tcPr>
          <w:p>
            <w:r/>
            <w:r>
              <w:rPr>
                <w:b/>
                <w:color w:val="FFFFFF"/>
                <w:sz w:val="17"/>
              </w:rPr>
              <w:t>Method</w:t>
            </w:r>
          </w:p>
        </w:tc>
        <w:tc>
          <w:tcPr>
            <w:tcW w:type="dxa" w:w="8784"/>
            <w:vAlign w:val="center"/>
            <w:shd w:fill="243B55"/>
          </w:tcPr>
          <w:p>
            <w:r/>
            <w:r>
              <w:rPr>
                <w:b/>
                <w:color w:val="FFFFFF"/>
                <w:sz w:val="17"/>
              </w:rPr>
              <w:t>Application</w:t>
            </w:r>
          </w:p>
        </w:tc>
      </w:tr>
      <w:tr>
        <w:tc>
          <w:tcPr>
            <w:tcW w:type="dxa" w:w="1872"/>
            <w:vAlign w:val="center"/>
          </w:tcPr>
          <w:p>
            <w:r/>
            <w:r>
              <w:rPr>
                <w:b w:val="0"/>
                <w:sz w:val="17"/>
              </w:rPr>
              <w:t>Inspection</w:t>
            </w:r>
          </w:p>
        </w:tc>
        <w:tc>
          <w:tcPr>
            <w:tcW w:type="dxa" w:w="8784"/>
            <w:vAlign w:val="center"/>
          </w:tcPr>
          <w:p>
            <w:r/>
            <w:r>
              <w:rPr>
                <w:b w:val="0"/>
                <w:sz w:val="17"/>
              </w:rPr>
              <w:t>Review source models, custom C source, wiring references, repository contents, and document statements.</w:t>
            </w:r>
          </w:p>
        </w:tc>
      </w:tr>
      <w:tr>
        <w:tc>
          <w:tcPr>
            <w:tcW w:type="dxa" w:w="1872"/>
            <w:vAlign w:val="center"/>
          </w:tcPr>
          <w:p>
            <w:r/>
            <w:r>
              <w:rPr>
                <w:b w:val="0"/>
                <w:sz w:val="17"/>
              </w:rPr>
              <w:t>Analysis</w:t>
            </w:r>
          </w:p>
        </w:tc>
        <w:tc>
          <w:tcPr>
            <w:tcW w:type="dxa" w:w="8784"/>
            <w:vAlign w:val="center"/>
          </w:tcPr>
          <w:p>
            <w:r/>
            <w:r>
              <w:rPr>
                <w:b w:val="0"/>
                <w:sz w:val="17"/>
              </w:rPr>
              <w:t>Evaluate equations, signal definitions, and consistency of the evidence workflow.</w:t>
            </w:r>
          </w:p>
        </w:tc>
      </w:tr>
      <w:tr>
        <w:tc>
          <w:tcPr>
            <w:tcW w:type="dxa" w:w="1872"/>
            <w:vAlign w:val="center"/>
          </w:tcPr>
          <w:p>
            <w:r/>
            <w:r>
              <w:rPr>
                <w:b w:val="0"/>
                <w:sz w:val="17"/>
              </w:rPr>
              <w:t>Demonstration</w:t>
            </w:r>
          </w:p>
        </w:tc>
        <w:tc>
          <w:tcPr>
            <w:tcW w:type="dxa" w:w="8784"/>
            <w:vAlign w:val="center"/>
          </w:tcPr>
          <w:p>
            <w:r/>
            <w:r>
              <w:rPr>
                <w:b w:val="0"/>
                <w:sz w:val="17"/>
              </w:rPr>
              <w:t>Observe integrated command, feedback, CAN, and acquisition behavior.</w:t>
            </w:r>
          </w:p>
        </w:tc>
      </w:tr>
      <w:tr>
        <w:tc>
          <w:tcPr>
            <w:tcW w:type="dxa" w:w="1872"/>
            <w:vAlign w:val="center"/>
          </w:tcPr>
          <w:p>
            <w:r/>
            <w:r>
              <w:rPr>
                <w:b w:val="0"/>
                <w:sz w:val="17"/>
              </w:rPr>
              <w:t>Test</w:t>
            </w:r>
          </w:p>
        </w:tc>
        <w:tc>
          <w:tcPr>
            <w:tcW w:type="dxa" w:w="8784"/>
            <w:vAlign w:val="center"/>
          </w:tcPr>
          <w:p>
            <w:r/>
            <w:r>
              <w:rPr>
                <w:b w:val="0"/>
                <w:sz w:val="17"/>
              </w:rPr>
              <w:t>Apply controlled speed/load commands and confirm required responses and interface operation.</w:t>
            </w:r>
          </w:p>
        </w:tc>
      </w:tr>
    </w:tbl>
    <w:p/>
    <w:p>
      <w:pPr>
        <w:pStyle w:val="Heading2"/>
      </w:pPr>
      <w:r>
        <w:t>6.1 Requirements Traceability Matrix</w:t>
      </w:r>
    </w:p>
    <w:tbl>
      <w:tblPr>
        <w:tblStyle w:val="TableGrid"/>
        <w:tblW w:type="auto" w:w="0"/>
        <w:jc w:val="center"/>
        <w:tblLook w:firstColumn="1" w:firstRow="1" w:lastColumn="0" w:lastRow="0" w:noHBand="0" w:noVBand="1" w:val="04A0"/>
      </w:tblPr>
      <w:tblGrid>
        <w:gridCol w:w="3427"/>
        <w:gridCol w:w="3427"/>
        <w:gridCol w:w="3427"/>
      </w:tblGrid>
      <w:tr>
        <w:tc>
          <w:tcPr>
            <w:tcW w:type="dxa" w:w="1728"/>
            <w:vAlign w:val="center"/>
            <w:shd w:fill="243B55"/>
          </w:tcPr>
          <w:p>
            <w:r/>
            <w:r>
              <w:rPr>
                <w:b/>
                <w:color w:val="FFFFFF"/>
                <w:sz w:val="17"/>
              </w:rPr>
              <w:t>Requirement</w:t>
            </w:r>
          </w:p>
        </w:tc>
        <w:tc>
          <w:tcPr>
            <w:tcW w:type="dxa" w:w="6912"/>
            <w:vAlign w:val="center"/>
            <w:shd w:fill="243B55"/>
          </w:tcPr>
          <w:p>
            <w:r/>
            <w:r>
              <w:rPr>
                <w:b/>
                <w:color w:val="FFFFFF"/>
                <w:sz w:val="17"/>
              </w:rPr>
              <w:t>Retained evidence</w:t>
            </w:r>
          </w:p>
        </w:tc>
        <w:tc>
          <w:tcPr>
            <w:tcW w:type="dxa" w:w="2016"/>
            <w:vAlign w:val="center"/>
            <w:shd w:fill="243B55"/>
          </w:tcPr>
          <w:p>
            <w:r/>
            <w:r>
              <w:rPr>
                <w:b/>
                <w:color w:val="FFFFFF"/>
                <w:sz w:val="17"/>
              </w:rPr>
              <w:t>Status</w:t>
            </w:r>
          </w:p>
        </w:tc>
      </w:tr>
      <w:tr>
        <w:tc>
          <w:tcPr>
            <w:tcW w:type="dxa" w:w="1728"/>
            <w:vAlign w:val="center"/>
          </w:tcPr>
          <w:p>
            <w:r/>
            <w:r>
              <w:rPr>
                <w:b w:val="0"/>
                <w:sz w:val="17"/>
              </w:rPr>
              <w:t>SYS-001</w:t>
            </w:r>
          </w:p>
        </w:tc>
        <w:tc>
          <w:tcPr>
            <w:tcW w:type="dxa" w:w="6912"/>
            <w:vAlign w:val="center"/>
          </w:tcPr>
          <w:p>
            <w:r/>
            <w:r>
              <w:rPr>
                <w:b w:val="0"/>
                <w:sz w:val="17"/>
              </w:rPr>
              <w:t>Target model and deployment evidence</w:t>
            </w:r>
          </w:p>
        </w:tc>
        <w:tc>
          <w:tcPr>
            <w:tcW w:type="dxa" w:w="2016"/>
            <w:vAlign w:val="center"/>
          </w:tcPr>
          <w:p>
            <w:r/>
            <w:r>
              <w:rPr>
                <w:b w:val="0"/>
                <w:sz w:val="17"/>
              </w:rPr>
              <w:t>Demonstrated</w:t>
            </w:r>
          </w:p>
        </w:tc>
      </w:tr>
      <w:tr>
        <w:tc>
          <w:tcPr>
            <w:tcW w:type="dxa" w:w="1728"/>
            <w:vAlign w:val="center"/>
          </w:tcPr>
          <w:p>
            <w:r/>
            <w:r>
              <w:rPr>
                <w:b w:val="0"/>
                <w:sz w:val="17"/>
              </w:rPr>
              <w:t>SYS-002</w:t>
            </w:r>
          </w:p>
        </w:tc>
        <w:tc>
          <w:tcPr>
            <w:tcW w:type="dxa" w:w="6912"/>
            <w:vAlign w:val="center"/>
          </w:tcPr>
          <w:p>
            <w:r/>
            <w:r>
              <w:rPr>
                <w:b w:val="0"/>
                <w:sz w:val="17"/>
              </w:rPr>
              <w:t>Dual-machine target/host models</w:t>
            </w:r>
          </w:p>
        </w:tc>
        <w:tc>
          <w:tcPr>
            <w:tcW w:type="dxa" w:w="2016"/>
            <w:vAlign w:val="center"/>
          </w:tcPr>
          <w:p>
            <w:r/>
            <w:r>
              <w:rPr>
                <w:b w:val="0"/>
                <w:sz w:val="17"/>
              </w:rPr>
              <w:t>Demonstrated</w:t>
            </w:r>
          </w:p>
        </w:tc>
      </w:tr>
      <w:tr>
        <w:tc>
          <w:tcPr>
            <w:tcW w:type="dxa" w:w="1728"/>
            <w:vAlign w:val="center"/>
          </w:tcPr>
          <w:p>
            <w:r/>
            <w:r>
              <w:rPr>
                <w:b w:val="0"/>
                <w:sz w:val="17"/>
              </w:rPr>
              <w:t>SYS-003</w:t>
            </w:r>
          </w:p>
        </w:tc>
        <w:tc>
          <w:tcPr>
            <w:tcW w:type="dxa" w:w="6912"/>
            <w:vAlign w:val="center"/>
          </w:tcPr>
          <w:p>
            <w:r/>
            <w:r>
              <w:rPr>
                <w:b w:val="0"/>
                <w:sz w:val="17"/>
              </w:rPr>
              <w:t>Host reference path</w:t>
            </w:r>
          </w:p>
        </w:tc>
        <w:tc>
          <w:tcPr>
            <w:tcW w:type="dxa" w:w="2016"/>
            <w:vAlign w:val="center"/>
          </w:tcPr>
          <w:p>
            <w:r/>
            <w:r>
              <w:rPr>
                <w:b w:val="0"/>
                <w:sz w:val="17"/>
              </w:rPr>
              <w:t>Demonstrated</w:t>
            </w:r>
          </w:p>
        </w:tc>
      </w:tr>
      <w:tr>
        <w:tc>
          <w:tcPr>
            <w:tcW w:type="dxa" w:w="1728"/>
            <w:vAlign w:val="center"/>
          </w:tcPr>
          <w:p>
            <w:r/>
            <w:r>
              <w:rPr>
                <w:b w:val="0"/>
                <w:sz w:val="17"/>
              </w:rPr>
              <w:t>SYS-004</w:t>
            </w:r>
          </w:p>
        </w:tc>
        <w:tc>
          <w:tcPr>
            <w:tcW w:type="dxa" w:w="6912"/>
            <w:vAlign w:val="center"/>
          </w:tcPr>
          <w:p>
            <w:r/>
            <w:r>
              <w:rPr>
                <w:b w:val="0"/>
                <w:sz w:val="17"/>
              </w:rPr>
              <w:t>Load-command path</w:t>
            </w:r>
          </w:p>
        </w:tc>
        <w:tc>
          <w:tcPr>
            <w:tcW w:type="dxa" w:w="2016"/>
            <w:vAlign w:val="center"/>
          </w:tcPr>
          <w:p>
            <w:r/>
            <w:r>
              <w:rPr>
                <w:b w:val="0"/>
                <w:sz w:val="17"/>
              </w:rPr>
              <w:t>Demonstrated</w:t>
            </w:r>
          </w:p>
        </w:tc>
      </w:tr>
      <w:tr>
        <w:tc>
          <w:tcPr>
            <w:tcW w:type="dxa" w:w="1728"/>
            <w:vAlign w:val="center"/>
          </w:tcPr>
          <w:p>
            <w:r/>
            <w:r>
              <w:rPr>
                <w:b w:val="0"/>
                <w:sz w:val="17"/>
              </w:rPr>
              <w:t>SYS-005</w:t>
            </w:r>
          </w:p>
        </w:tc>
        <w:tc>
          <w:tcPr>
            <w:tcW w:type="dxa" w:w="6912"/>
            <w:vAlign w:val="center"/>
          </w:tcPr>
          <w:p>
            <w:r/>
            <w:r>
              <w:rPr>
                <w:b w:val="0"/>
                <w:sz w:val="17"/>
              </w:rPr>
              <w:t>Enable path</w:t>
            </w:r>
          </w:p>
        </w:tc>
        <w:tc>
          <w:tcPr>
            <w:tcW w:type="dxa" w:w="2016"/>
            <w:vAlign w:val="center"/>
          </w:tcPr>
          <w:p>
            <w:r/>
            <w:r>
              <w:rPr>
                <w:b w:val="0"/>
                <w:sz w:val="17"/>
              </w:rPr>
              <w:t>Demonstrated</w:t>
            </w:r>
          </w:p>
        </w:tc>
      </w:tr>
      <w:tr>
        <w:tc>
          <w:tcPr>
            <w:tcW w:type="dxa" w:w="1728"/>
            <w:vAlign w:val="center"/>
          </w:tcPr>
          <w:p>
            <w:r/>
            <w:r>
              <w:rPr>
                <w:b w:val="0"/>
                <w:sz w:val="17"/>
              </w:rPr>
              <w:t>SYS-006</w:t>
            </w:r>
          </w:p>
        </w:tc>
        <w:tc>
          <w:tcPr>
            <w:tcW w:type="dxa" w:w="6912"/>
            <w:vAlign w:val="center"/>
          </w:tcPr>
          <w:p>
            <w:r/>
            <w:r>
              <w:rPr>
                <w:b w:val="0"/>
                <w:sz w:val="17"/>
              </w:rPr>
              <w:t>Encoder interface evidence</w:t>
            </w:r>
          </w:p>
        </w:tc>
        <w:tc>
          <w:tcPr>
            <w:tcW w:type="dxa" w:w="2016"/>
            <w:vAlign w:val="center"/>
          </w:tcPr>
          <w:p>
            <w:r/>
            <w:r>
              <w:rPr>
                <w:b w:val="0"/>
                <w:sz w:val="17"/>
              </w:rPr>
              <w:t>Demonstrated</w:t>
            </w:r>
          </w:p>
        </w:tc>
      </w:tr>
      <w:tr>
        <w:tc>
          <w:tcPr>
            <w:tcW w:type="dxa" w:w="1728"/>
            <w:vAlign w:val="center"/>
          </w:tcPr>
          <w:p>
            <w:r/>
            <w:r>
              <w:rPr>
                <w:b w:val="0"/>
                <w:sz w:val="17"/>
              </w:rPr>
              <w:t>SYS-007</w:t>
            </w:r>
          </w:p>
        </w:tc>
        <w:tc>
          <w:tcPr>
            <w:tcW w:type="dxa" w:w="6912"/>
            <w:vAlign w:val="center"/>
          </w:tcPr>
          <w:p>
            <w:r/>
            <w:r>
              <w:rPr>
                <w:b w:val="0"/>
                <w:sz w:val="17"/>
              </w:rPr>
              <w:t>Setup and capture scripts</w:t>
            </w:r>
          </w:p>
        </w:tc>
        <w:tc>
          <w:tcPr>
            <w:tcW w:type="dxa" w:w="2016"/>
            <w:vAlign w:val="center"/>
          </w:tcPr>
          <w:p>
            <w:r/>
            <w:r>
              <w:rPr>
                <w:b w:val="0"/>
                <w:sz w:val="17"/>
              </w:rPr>
              <w:t>Verified</w:t>
            </w:r>
          </w:p>
        </w:tc>
      </w:tr>
      <w:tr>
        <w:tc>
          <w:tcPr>
            <w:tcW w:type="dxa" w:w="1728"/>
            <w:vAlign w:val="center"/>
          </w:tcPr>
          <w:p>
            <w:r/>
            <w:r>
              <w:rPr>
                <w:b w:val="0"/>
                <w:sz w:val="17"/>
              </w:rPr>
              <w:t>IF-001</w:t>
            </w:r>
          </w:p>
        </w:tc>
        <w:tc>
          <w:tcPr>
            <w:tcW w:type="dxa" w:w="6912"/>
            <w:vAlign w:val="center"/>
          </w:tcPr>
          <w:p>
            <w:r/>
            <w:r>
              <w:rPr>
                <w:b w:val="0"/>
                <w:sz w:val="17"/>
              </w:rPr>
              <w:t>Power-up procedure</w:t>
            </w:r>
          </w:p>
        </w:tc>
        <w:tc>
          <w:tcPr>
            <w:tcW w:type="dxa" w:w="2016"/>
            <w:vAlign w:val="center"/>
          </w:tcPr>
          <w:p>
            <w:r/>
            <w:r>
              <w:rPr>
                <w:b w:val="0"/>
                <w:sz w:val="17"/>
              </w:rPr>
              <w:t>Demonstrated</w:t>
            </w:r>
          </w:p>
        </w:tc>
      </w:tr>
      <w:tr>
        <w:tc>
          <w:tcPr>
            <w:tcW w:type="dxa" w:w="1728"/>
            <w:vAlign w:val="center"/>
          </w:tcPr>
          <w:p>
            <w:r/>
            <w:r>
              <w:rPr>
                <w:b w:val="0"/>
                <w:sz w:val="17"/>
              </w:rPr>
              <w:t>IF-002</w:t>
            </w:r>
          </w:p>
        </w:tc>
        <w:tc>
          <w:tcPr>
            <w:tcW w:type="dxa" w:w="6912"/>
            <w:vAlign w:val="center"/>
          </w:tcPr>
          <w:p>
            <w:r/>
            <w:r>
              <w:rPr>
                <w:b w:val="0"/>
                <w:sz w:val="17"/>
              </w:rPr>
              <w:t>Interface summary</w:t>
            </w:r>
          </w:p>
        </w:tc>
        <w:tc>
          <w:tcPr>
            <w:tcW w:type="dxa" w:w="2016"/>
            <w:vAlign w:val="center"/>
          </w:tcPr>
          <w:p>
            <w:r/>
            <w:r>
              <w:rPr>
                <w:b w:val="0"/>
                <w:sz w:val="17"/>
              </w:rPr>
              <w:t>Demonstrated</w:t>
            </w:r>
          </w:p>
        </w:tc>
      </w:tr>
      <w:tr>
        <w:tc>
          <w:tcPr>
            <w:tcW w:type="dxa" w:w="1728"/>
            <w:vAlign w:val="center"/>
          </w:tcPr>
          <w:p>
            <w:r/>
            <w:r>
              <w:rPr>
                <w:b w:val="0"/>
                <w:sz w:val="17"/>
              </w:rPr>
              <w:t>IF-003</w:t>
            </w:r>
          </w:p>
        </w:tc>
        <w:tc>
          <w:tcPr>
            <w:tcW w:type="dxa" w:w="6912"/>
            <w:vAlign w:val="center"/>
          </w:tcPr>
          <w:p>
            <w:r/>
            <w:r>
              <w:rPr>
                <w:b w:val="0"/>
                <w:sz w:val="17"/>
              </w:rPr>
              <w:t>Connector map and feedback test</w:t>
            </w:r>
          </w:p>
        </w:tc>
        <w:tc>
          <w:tcPr>
            <w:tcW w:type="dxa" w:w="2016"/>
            <w:vAlign w:val="center"/>
          </w:tcPr>
          <w:p>
            <w:r/>
            <w:r>
              <w:rPr>
                <w:b w:val="0"/>
                <w:sz w:val="17"/>
              </w:rPr>
              <w:t>Demonstrated</w:t>
            </w:r>
          </w:p>
        </w:tc>
      </w:tr>
      <w:tr>
        <w:tc>
          <w:tcPr>
            <w:tcW w:type="dxa" w:w="1728"/>
            <w:vAlign w:val="center"/>
          </w:tcPr>
          <w:p>
            <w:r/>
            <w:r>
              <w:rPr>
                <w:b w:val="0"/>
                <w:sz w:val="17"/>
              </w:rPr>
              <w:t>IF-004</w:t>
            </w:r>
          </w:p>
        </w:tc>
        <w:tc>
          <w:tcPr>
            <w:tcW w:type="dxa" w:w="6912"/>
            <w:vAlign w:val="center"/>
          </w:tcPr>
          <w:p>
            <w:r/>
            <w:r>
              <w:rPr>
                <w:b w:val="0"/>
                <w:sz w:val="17"/>
              </w:rPr>
              <w:t>CAN architecture and bus test</w:t>
            </w:r>
          </w:p>
        </w:tc>
        <w:tc>
          <w:tcPr>
            <w:tcW w:type="dxa" w:w="2016"/>
            <w:vAlign w:val="center"/>
          </w:tcPr>
          <w:p>
            <w:r/>
            <w:r>
              <w:rPr>
                <w:b w:val="0"/>
                <w:sz w:val="17"/>
              </w:rPr>
              <w:t>Demonstrated</w:t>
            </w:r>
          </w:p>
        </w:tc>
      </w:tr>
      <w:tr>
        <w:tc>
          <w:tcPr>
            <w:tcW w:type="dxa" w:w="1728"/>
            <w:vAlign w:val="center"/>
          </w:tcPr>
          <w:p>
            <w:r/>
            <w:r>
              <w:rPr>
                <w:b w:val="0"/>
                <w:sz w:val="17"/>
              </w:rPr>
              <w:t>IF-005</w:t>
            </w:r>
          </w:p>
        </w:tc>
        <w:tc>
          <w:tcPr>
            <w:tcW w:type="dxa" w:w="6912"/>
            <w:vAlign w:val="center"/>
          </w:tcPr>
          <w:p>
            <w:r/>
            <w:r>
              <w:rPr>
                <w:b w:val="0"/>
                <w:sz w:val="17"/>
              </w:rPr>
              <w:t>Deployment workflow</w:t>
            </w:r>
          </w:p>
        </w:tc>
        <w:tc>
          <w:tcPr>
            <w:tcW w:type="dxa" w:w="2016"/>
            <w:vAlign w:val="center"/>
          </w:tcPr>
          <w:p>
            <w:r/>
            <w:r>
              <w:rPr>
                <w:b w:val="0"/>
                <w:sz w:val="17"/>
              </w:rPr>
              <w:t>Demonstrated</w:t>
            </w:r>
          </w:p>
        </w:tc>
      </w:tr>
      <w:tr>
        <w:tc>
          <w:tcPr>
            <w:tcW w:type="dxa" w:w="1728"/>
            <w:vAlign w:val="center"/>
          </w:tcPr>
          <w:p>
            <w:r/>
            <w:r>
              <w:rPr>
                <w:b w:val="0"/>
                <w:sz w:val="17"/>
              </w:rPr>
              <w:t>IF-006</w:t>
            </w:r>
          </w:p>
        </w:tc>
        <w:tc>
          <w:tcPr>
            <w:tcW w:type="dxa" w:w="6912"/>
            <w:vAlign w:val="center"/>
          </w:tcPr>
          <w:p>
            <w:r/>
            <w:r>
              <w:rPr>
                <w:b w:val="0"/>
                <w:sz w:val="17"/>
              </w:rPr>
              <w:t>F28069M_ADC_Custom_Config.c</w:t>
            </w:r>
          </w:p>
        </w:tc>
        <w:tc>
          <w:tcPr>
            <w:tcW w:type="dxa" w:w="2016"/>
            <w:vAlign w:val="center"/>
          </w:tcPr>
          <w:p>
            <w:r/>
            <w:r>
              <w:rPr>
                <w:b w:val="0"/>
                <w:sz w:val="17"/>
              </w:rPr>
              <w:t>Verified</w:t>
            </w:r>
          </w:p>
        </w:tc>
      </w:tr>
      <w:tr>
        <w:tc>
          <w:tcPr>
            <w:tcW w:type="dxa" w:w="1728"/>
            <w:vAlign w:val="center"/>
          </w:tcPr>
          <w:p>
            <w:r/>
            <w:r>
              <w:rPr>
                <w:b w:val="0"/>
                <w:sz w:val="17"/>
              </w:rPr>
              <w:t>DAT-001</w:t>
            </w:r>
          </w:p>
        </w:tc>
        <w:tc>
          <w:tcPr>
            <w:tcW w:type="dxa" w:w="6912"/>
            <w:vAlign w:val="center"/>
          </w:tcPr>
          <w:p>
            <w:r/>
            <w:r>
              <w:rPr>
                <w:b w:val="0"/>
                <w:sz w:val="17"/>
              </w:rPr>
              <w:t>Models and logging scripts</w:t>
            </w:r>
          </w:p>
        </w:tc>
        <w:tc>
          <w:tcPr>
            <w:tcW w:type="dxa" w:w="2016"/>
            <w:vAlign w:val="center"/>
          </w:tcPr>
          <w:p>
            <w:r/>
            <w:r>
              <w:rPr>
                <w:b w:val="0"/>
                <w:sz w:val="17"/>
              </w:rPr>
              <w:t>Demonstrated</w:t>
            </w:r>
          </w:p>
        </w:tc>
      </w:tr>
      <w:tr>
        <w:tc>
          <w:tcPr>
            <w:tcW w:type="dxa" w:w="1728"/>
            <w:vAlign w:val="center"/>
          </w:tcPr>
          <w:p>
            <w:r/>
            <w:r>
              <w:rPr>
                <w:b w:val="0"/>
                <w:sz w:val="17"/>
              </w:rPr>
              <w:t>DAT-002</w:t>
            </w:r>
          </w:p>
        </w:tc>
        <w:tc>
          <w:tcPr>
            <w:tcW w:type="dxa" w:w="6912"/>
            <w:vAlign w:val="center"/>
          </w:tcPr>
          <w:p>
            <w:r/>
            <w:r>
              <w:rPr>
                <w:b w:val="0"/>
                <w:sz w:val="17"/>
              </w:rPr>
              <w:t>Repository evidence map</w:t>
            </w:r>
          </w:p>
        </w:tc>
        <w:tc>
          <w:tcPr>
            <w:tcW w:type="dxa" w:w="2016"/>
            <w:vAlign w:val="center"/>
          </w:tcPr>
          <w:p>
            <w:r/>
            <w:r>
              <w:rPr>
                <w:b w:val="0"/>
                <w:sz w:val="17"/>
              </w:rPr>
              <w:t>Verified</w:t>
            </w:r>
          </w:p>
        </w:tc>
      </w:tr>
      <w:tr>
        <w:tc>
          <w:tcPr>
            <w:tcW w:type="dxa" w:w="1728"/>
            <w:vAlign w:val="center"/>
          </w:tcPr>
          <w:p>
            <w:r/>
            <w:r>
              <w:rPr>
                <w:b w:val="0"/>
                <w:sz w:val="17"/>
              </w:rPr>
              <w:t>DAT-003</w:t>
            </w:r>
          </w:p>
        </w:tc>
        <w:tc>
          <w:tcPr>
            <w:tcW w:type="dxa" w:w="6912"/>
            <w:vAlign w:val="center"/>
          </w:tcPr>
          <w:p>
            <w:r/>
            <w:r>
              <w:rPr>
                <w:b w:val="0"/>
                <w:sz w:val="17"/>
              </w:rPr>
              <w:t>Companion characterization report</w:t>
            </w:r>
          </w:p>
        </w:tc>
        <w:tc>
          <w:tcPr>
            <w:tcW w:type="dxa" w:w="2016"/>
            <w:vAlign w:val="center"/>
          </w:tcPr>
          <w:p>
            <w:r/>
            <w:r>
              <w:rPr>
                <w:b w:val="0"/>
                <w:sz w:val="17"/>
              </w:rPr>
              <w:t>Verified</w:t>
            </w:r>
          </w:p>
        </w:tc>
      </w:tr>
      <w:tr>
        <w:tc>
          <w:tcPr>
            <w:tcW w:type="dxa" w:w="1728"/>
            <w:vAlign w:val="center"/>
          </w:tcPr>
          <w:p>
            <w:r/>
            <w:r>
              <w:rPr>
                <w:b w:val="0"/>
                <w:sz w:val="17"/>
              </w:rPr>
              <w:t>DAT-004</w:t>
            </w:r>
          </w:p>
        </w:tc>
        <w:tc>
          <w:tcPr>
            <w:tcW w:type="dxa" w:w="6912"/>
            <w:vAlign w:val="center"/>
          </w:tcPr>
          <w:p>
            <w:r/>
            <w:r>
              <w:rPr>
                <w:b w:val="0"/>
                <w:sz w:val="17"/>
              </w:rPr>
              <w:t>Acquisition procedure</w:t>
            </w:r>
          </w:p>
        </w:tc>
        <w:tc>
          <w:tcPr>
            <w:tcW w:type="dxa" w:w="2016"/>
            <w:vAlign w:val="center"/>
          </w:tcPr>
          <w:p>
            <w:r/>
            <w:r>
              <w:rPr>
                <w:b w:val="0"/>
                <w:sz w:val="17"/>
              </w:rPr>
              <w:t>Verified</w:t>
            </w:r>
          </w:p>
        </w:tc>
      </w:tr>
      <w:tr>
        <w:tc>
          <w:tcPr>
            <w:tcW w:type="dxa" w:w="1728"/>
            <w:vAlign w:val="center"/>
          </w:tcPr>
          <w:p>
            <w:r/>
            <w:r>
              <w:rPr>
                <w:b w:val="0"/>
                <w:sz w:val="17"/>
              </w:rPr>
              <w:t>DAT-005</w:t>
            </w:r>
          </w:p>
        </w:tc>
        <w:tc>
          <w:tcPr>
            <w:tcW w:type="dxa" w:w="6912"/>
            <w:vAlign w:val="center"/>
          </w:tcPr>
          <w:p>
            <w:r/>
            <w:r>
              <w:rPr>
                <w:b w:val="0"/>
                <w:sz w:val="17"/>
              </w:rPr>
              <w:t>NOTICE.md and ZIP inspection</w:t>
            </w:r>
          </w:p>
        </w:tc>
        <w:tc>
          <w:tcPr>
            <w:tcW w:type="dxa" w:w="2016"/>
            <w:vAlign w:val="center"/>
          </w:tcPr>
          <w:p>
            <w:r/>
            <w:r>
              <w:rPr>
                <w:b w:val="0"/>
                <w:sz w:val="17"/>
              </w:rPr>
              <w:t>Verified</w:t>
            </w:r>
          </w:p>
        </w:tc>
      </w:tr>
    </w:tbl>
    <w:p/>
    <w:p>
      <w:pPr>
        <w:pStyle w:val="Heading2"/>
      </w:pPr>
      <w:r>
        <w:t>6.2 Acceptance Basis</w:t>
      </w:r>
    </w:p>
    <w:p>
      <w:pPr/>
      <w:r>
        <w:t>A release is acceptable when all mandatory requirements are verified or explicitly bounded as open, the repository passes release inspection, report references resolve to retained evidence, and no excluded private or institution-specific materials are present.</w:t>
      </w:r>
    </w:p>
    <w:p>
      <w:pPr>
        <w:pStyle w:val="Heading1"/>
      </w:pPr>
      <w:r>
        <w:t>7. Document Control and Release Gate</w:t>
      </w:r>
    </w:p>
    <w:tbl>
      <w:tblPr>
        <w:tblStyle w:val="TableGrid"/>
        <w:tblW w:type="auto" w:w="0"/>
        <w:jc w:val="center"/>
        <w:tblLook w:firstColumn="1" w:firstRow="1" w:lastColumn="0" w:lastRow="0" w:noHBand="0" w:noVBand="1" w:val="04A0"/>
      </w:tblPr>
      <w:tblGrid>
        <w:gridCol w:w="5141"/>
        <w:gridCol w:w="5141"/>
      </w:tblGrid>
      <w:tr>
        <w:tc>
          <w:tcPr>
            <w:tcW w:type="dxa" w:w="2880"/>
            <w:vAlign w:val="center"/>
            <w:shd w:fill="243B55"/>
          </w:tcPr>
          <w:p>
            <w:r/>
            <w:r>
              <w:rPr>
                <w:b/>
                <w:color w:val="FFFFFF"/>
                <w:sz w:val="17"/>
              </w:rPr>
              <w:t>Release check</w:t>
            </w:r>
          </w:p>
        </w:tc>
        <w:tc>
          <w:tcPr>
            <w:tcW w:type="dxa" w:w="7776"/>
            <w:vAlign w:val="center"/>
            <w:shd w:fill="243B55"/>
          </w:tcPr>
          <w:p>
            <w:r/>
            <w:r>
              <w:rPr>
                <w:b/>
                <w:color w:val="FFFFFF"/>
                <w:sz w:val="17"/>
              </w:rPr>
              <w:t>Acceptance criterion</w:t>
            </w:r>
          </w:p>
        </w:tc>
      </w:tr>
      <w:tr>
        <w:tc>
          <w:tcPr>
            <w:tcW w:type="dxa" w:w="2880"/>
            <w:vAlign w:val="center"/>
          </w:tcPr>
          <w:p>
            <w:r/>
            <w:r>
              <w:rPr>
                <w:b w:val="0"/>
                <w:sz w:val="17"/>
              </w:rPr>
              <w:t>Requirement quality</w:t>
            </w:r>
          </w:p>
        </w:tc>
        <w:tc>
          <w:tcPr>
            <w:tcW w:type="dxa" w:w="7776"/>
            <w:vAlign w:val="center"/>
          </w:tcPr>
          <w:p>
            <w:r/>
            <w:r>
              <w:rPr>
                <w:b w:val="0"/>
                <w:sz w:val="17"/>
              </w:rPr>
              <w:t>Identifiers are unique; mandatory statements are atomic and use “shall.”</w:t>
            </w:r>
          </w:p>
        </w:tc>
      </w:tr>
      <w:tr>
        <w:tc>
          <w:tcPr>
            <w:tcW w:type="dxa" w:w="2880"/>
            <w:vAlign w:val="center"/>
          </w:tcPr>
          <w:p>
            <w:r/>
            <w:r>
              <w:rPr>
                <w:b w:val="0"/>
                <w:sz w:val="17"/>
              </w:rPr>
              <w:t>Traceability</w:t>
            </w:r>
          </w:p>
        </w:tc>
        <w:tc>
          <w:tcPr>
            <w:tcW w:type="dxa" w:w="7776"/>
            <w:vAlign w:val="center"/>
          </w:tcPr>
          <w:p>
            <w:r/>
            <w:r>
              <w:rPr>
                <w:b w:val="0"/>
                <w:sz w:val="17"/>
              </w:rPr>
              <w:t>Every mandatory requirement maps to a verification method and retained evidence.</w:t>
            </w:r>
          </w:p>
        </w:tc>
      </w:tr>
      <w:tr>
        <w:tc>
          <w:tcPr>
            <w:tcW w:type="dxa" w:w="2880"/>
            <w:vAlign w:val="center"/>
          </w:tcPr>
          <w:p>
            <w:r/>
            <w:r>
              <w:rPr>
                <w:b w:val="0"/>
                <w:sz w:val="17"/>
              </w:rPr>
              <w:t>Document separation</w:t>
            </w:r>
          </w:p>
        </w:tc>
        <w:tc>
          <w:tcPr>
            <w:tcW w:type="dxa" w:w="7776"/>
            <w:vAlign w:val="center"/>
          </w:tcPr>
          <w:p>
            <w:r/>
            <w:r>
              <w:rPr>
                <w:b w:val="0"/>
                <w:sz w:val="17"/>
              </w:rPr>
              <w:t>Efficiency characterization appears only in the companion engineering report.</w:t>
            </w:r>
          </w:p>
        </w:tc>
      </w:tr>
      <w:tr>
        <w:tc>
          <w:tcPr>
            <w:tcW w:type="dxa" w:w="2880"/>
            <w:vAlign w:val="center"/>
          </w:tcPr>
          <w:p>
            <w:r/>
            <w:r>
              <w:rPr>
                <w:b w:val="0"/>
                <w:sz w:val="17"/>
              </w:rPr>
              <w:t>Public boundary</w:t>
            </w:r>
          </w:p>
        </w:tc>
        <w:tc>
          <w:tcPr>
            <w:tcW w:type="dxa" w:w="7776"/>
            <w:vAlign w:val="center"/>
          </w:tcPr>
          <w:p>
            <w:r/>
            <w:r>
              <w:rPr>
                <w:b w:val="0"/>
                <w:sz w:val="17"/>
              </w:rPr>
              <w:t>Generated code, binaries, private raw data, and instructional material are excluded.</w:t>
            </w:r>
          </w:p>
        </w:tc>
      </w:tr>
      <w:tr>
        <w:tc>
          <w:tcPr>
            <w:tcW w:type="dxa" w:w="2880"/>
            <w:vAlign w:val="center"/>
          </w:tcPr>
          <w:p>
            <w:r/>
            <w:r>
              <w:rPr>
                <w:b w:val="0"/>
                <w:sz w:val="17"/>
              </w:rPr>
              <w:t>Visual QA</w:t>
            </w:r>
          </w:p>
        </w:tc>
        <w:tc>
          <w:tcPr>
            <w:tcW w:type="dxa" w:w="7776"/>
            <w:vAlign w:val="center"/>
          </w:tcPr>
          <w:p>
            <w:r/>
            <w:r>
              <w:rPr>
                <w:b w:val="0"/>
                <w:sz w:val="17"/>
              </w:rPr>
              <w:t>The DOCX and PDF are rendered and reviewed page by page.</w:t>
            </w:r>
          </w:p>
        </w:tc>
      </w:tr>
      <w:tr>
        <w:tc>
          <w:tcPr>
            <w:tcW w:type="dxa" w:w="2880"/>
            <w:vAlign w:val="center"/>
          </w:tcPr>
          <w:p>
            <w:r/>
            <w:r>
              <w:rPr>
                <w:b w:val="0"/>
                <w:sz w:val="17"/>
              </w:rPr>
              <w:t>Archive QA</w:t>
            </w:r>
          </w:p>
        </w:tc>
        <w:tc>
          <w:tcPr>
            <w:tcW w:type="dxa" w:w="7776"/>
            <w:vAlign w:val="center"/>
          </w:tcPr>
          <w:p>
            <w:r/>
            <w:r>
              <w:rPr>
                <w:b w:val="0"/>
                <w:sz w:val="17"/>
              </w:rPr>
              <w:t>The ZIP opens at repository root and passes integrity testing.</w:t>
            </w:r>
          </w:p>
        </w:tc>
      </w:tr>
    </w:tbl>
    <w:p/>
    <w:p>
      <w:pPr/>
      <w:r>
        <w:t>Revision 2.2 applies the actual controlled FRD template structure, cover, typography, headers, table system, and document-control hierarchy from the approved Dual-Core Optical Motion Testbed FRD package.</w:t>
      </w:r>
    </w:p>
    <w:sectPr w:rsidR="00FC693F" w:rsidRPr="0006063C" w:rsidSect="00034616">
      <w:headerReference w:type="default" r:id="rId9"/>
      <w:footerReference w:type="default" r:id="rId10"/>
      <w:pgSz w:w="12240" w:h="15840"/>
      <w:pgMar w:top="893" w:right="979" w:bottom="893"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B6670"/>
        <w:sz w:val="14"/>
      </w:rPr>
    </w:r>
    <w:r>
      <w:t>Dual-Motor PMSM Dynamometer Platform  •  Controlled engineering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8" w:space="3" w:color="20364F"/>
      </w:pBdr>
    </w:pPr>
    <w:r>
      <w:rPr>
        <w:rFonts w:ascii="Aptos" w:hAnsi="Aptos" w:eastAsia="Aptos"/>
        <w:b/>
        <w:color w:val="5B6670"/>
        <w:sz w:val="15"/>
      </w:rPr>
    </w:r>
    <w:r>
      <w:t>HERDER ELEKTRONISCHE SYSTEMEN   |   ENGINEERING REQUIREMENTS   |   REV 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227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20364F"/>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eastAsia="Aptos Display"/>
      <w:b/>
      <w:bCs/>
      <w:color w:val="2F506F"/>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eastAsia="Aptos Display"/>
      <w:b/>
      <w:bCs/>
      <w:color w:val="B31B3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160"/>
      <w:contextualSpacing/>
    </w:pPr>
    <w:rPr>
      <w:rFonts w:asciiTheme="majorHAnsi" w:eastAsiaTheme="majorEastAsia" w:hAnsiTheme="majorHAnsi" w:cstheme="majorBidi" w:ascii="Aptos Display" w:hAnsi="Aptos Display"/>
      <w:b/>
      <w:color w:val="C8102E"/>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259" w:hanging="173"/>
      <w:contextualSpacing/>
    </w:pPr>
    <w:rPr>
      <w:rFonts w:ascii="Aptos" w:hAnsi="Aptos"/>
      <w:color w:val="22272B"/>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Aptos" w:hAnsi="Aptos" w:eastAsia="Aptos"/>
      <w:b/>
      <w:bCs/>
      <w:i/>
      <w:color w:val="5B667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Dual-Motor PMSM Dynamometer Platform - Functional Requirements and Validation</dc:title>
  <dc:subject>Controlled functional requirements, interfaces, verification, and acceptance</dc:subject>
  <dc:creator>Herder Elektronische Systemen</dc:creator>
  <cp:keywords/>
  <dc:description>Customer-facing controlled engineering requirements document</dc:description>
  <cp:lastModifiedBy/>
  <cp:revision>1</cp:revision>
  <dcterms:created xsi:type="dcterms:W3CDTF">2013-12-23T23:15:00Z</dcterms:created>
  <dcterms:modified xsi:type="dcterms:W3CDTF">2013-12-23T23:15:00Z</dcterms:modified>
  <cp:category/>
</cp:coreProperties>
</file>