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0" w:color="CC002B"/>
          <w:start w:val="single" w:sz="0" w:color="CC002B"/>
          <w:bottom w:val="single" w:sz="0" w:color="CC002B"/>
          <w:end w:val="single" w:sz="0" w:color="CC002B"/>
          <w:insideH w:val="single" w:sz="0" w:color="CC002B"/>
          <w:insideV w:val="single" w:sz="0" w:color="CC002B"/>
        </w:tblBorders>
      </w:tblPr>
      <w:tblGrid>
        <w:gridCol w:w="10224"/>
      </w:tblGrid>
      <w:tr>
        <w:tc>
          <w:tcPr>
            <w:tcW w:type="dxa" w:w="10224"/>
            <w:shd w:fill="FFFFFF"/>
            <w:tcMar>
              <w:top w:w="260" w:type="dxa"/>
              <w:start w:w="180" w:type="dxa"/>
              <w:bottom w:w="260" w:type="dxa"/>
              <w:end w:w="1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00"/>
              <w:jc w:val="left"/>
            </w:pPr>
            <w:r/>
            <w:r>
              <w:rPr>
                <w:rFonts w:ascii="Noto Serif" w:hAnsi="Noto Serif" w:eastAsia="Noto Serif"/>
                <w:b/>
                <w:color w:val="243B57"/>
                <w:sz w:val="56"/>
              </w:rPr>
              <w:t>DUAL-MOTOR PMSM</w:t>
            </w:r>
          </w:p>
          <w:p>
            <w:pPr>
              <w:spacing w:after="100"/>
              <w:jc w:val="left"/>
            </w:pPr>
            <w:r>
              <w:rPr>
                <w:rFonts w:ascii="Noto Serif" w:hAnsi="Noto Serif" w:eastAsia="Noto Serif"/>
                <w:b/>
                <w:color w:val="243B57"/>
                <w:sz w:val="56"/>
              </w:rPr>
              <w:t>DYNAMOMETER PLATFORM</w:t>
            </w:r>
          </w:p>
          <w:p>
            <w:pPr>
              <w:spacing w:after="40"/>
              <w:jc w:val="left"/>
            </w:pPr>
            <w:r>
              <w:rPr>
                <w:rFonts w:ascii="Noto Serif" w:hAnsi="Noto Serif" w:eastAsia="Noto Serif"/>
                <w:b/>
                <w:color w:val="C7203C"/>
                <w:sz w:val="38"/>
              </w:rPr>
              <w:t>EMBEDDED CONTROL &amp; CHARACTERIZATION</w:t>
            </w:r>
          </w:p>
          <w:p>
            <w:pPr>
              <w:spacing w:before="160"/>
            </w:pPr>
            <w:r>
              <w:rPr>
                <w:rFonts w:ascii="Noto Serif" w:hAnsi="Noto Serif" w:eastAsia="Noto Serif"/>
                <w:b/>
                <w:color w:val="5B6875"/>
                <w:sz w:val="23"/>
              </w:rPr>
              <w:t>C2000/Simulink implementation, custom ADC integration, CAN, acquisition, and measured results</w:t>
            </w:r>
          </w:p>
          <w:p>
            <w:pPr>
              <w:spacing w:before="160"/>
            </w:pPr>
            <w:r>
              <w:rPr>
                <w:rFonts w:ascii="Noto Serif" w:hAnsi="Noto Serif" w:eastAsia="Noto Serif"/>
                <w:b/>
                <w:color w:val="243B57"/>
                <w:sz w:val="18"/>
              </w:rPr>
              <w:t>ENGINEERING REQUIREMENTS DOCUMENT  |  REVISION 2.2  |  5 AUGUST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2736"/>
        <w:gridCol w:w="7488"/>
      </w:tblGrid>
      <w:tr>
        <w:trPr>
          <w:cantSplit/>
        </w:trPr>
        <w:tc>
          <w:tcPr>
            <w:tcW w:type="dxa" w:w="5112"/>
            <w:shd w:fill="243B5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11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8"/>
              </w:rPr>
              <w:t>Herder Elektronische Systemen</w:t>
            </w:r>
          </w:p>
        </w:tc>
      </w:tr>
      <w:tr>
        <w:trPr>
          <w:cantSplit/>
        </w:trPr>
        <w:tc>
          <w:tcPr>
            <w:tcW w:type="dxa" w:w="5112"/>
            <w:shd w:fill="E8EEF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28313A"/>
                <w:sz w:val="18"/>
              </w:rPr>
              <w:t>Document scope</w:t>
            </w:r>
          </w:p>
        </w:tc>
        <w:tc>
          <w:tcPr>
            <w:tcW w:type="dxa" w:w="511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8"/>
              </w:rPr>
              <w:t>Embedded implementation, editable models, custom firmware, acquisition workflow, and characterization evidence</w:t>
            </w:r>
          </w:p>
        </w:tc>
      </w:tr>
      <w:tr>
        <w:trPr>
          <w:cantSplit/>
        </w:trPr>
        <w:tc>
          <w:tcPr>
            <w:tcW w:type="dxa" w:w="5112"/>
            <w:shd w:fill="E8EEF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28313A"/>
                <w:sz w:val="18"/>
              </w:rPr>
              <w:t>Evidence basis</w:t>
            </w:r>
          </w:p>
        </w:tc>
        <w:tc>
          <w:tcPr>
            <w:tcW w:type="dxa" w:w="511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8"/>
              </w:rPr>
              <w:t>Simulink source models, handwritten F28069M ADC source, MATLAB tooling, plots, and interface references</w:t>
            </w:r>
          </w:p>
        </w:tc>
      </w:tr>
      <w:tr>
        <w:trPr>
          <w:cantSplit/>
        </w:trPr>
        <w:tc>
          <w:tcPr>
            <w:tcW w:type="dxa" w:w="5112"/>
            <w:shd w:fill="E8EEF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28313A"/>
                <w:sz w:val="18"/>
              </w:rPr>
              <w:t>Distribution</w:t>
            </w:r>
          </w:p>
        </w:tc>
        <w:tc>
          <w:tcPr>
            <w:tcW w:type="dxa" w:w="511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8"/>
              </w:rPr>
              <w:t>Customer-facing; controlled source models, custom firmware, and engineering evidence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4F4F4"/>
          <w:start w:val="single" w:sz="0" w:color="F4F4F4"/>
          <w:bottom w:val="single" w:sz="0" w:color="F4F4F4"/>
          <w:end w:val="single" w:sz="0" w:color="F4F4F4"/>
          <w:insideH w:val="single" w:sz="0" w:color="F4F4F4"/>
          <w:insideV w:val="single" w:sz="0" w:color="F4F4F4"/>
        </w:tblBorders>
      </w:tblPr>
      <w:tblGrid>
        <w:gridCol w:w="10224"/>
      </w:tblGrid>
      <w:tr>
        <w:tc>
          <w:tcPr>
            <w:tcW w:type="dxa" w:w="10224"/>
            <w:shd w:fill="E8EEF3"/>
            <w:tcMar>
              <w:top w:w="140" w:type="dxa"/>
              <w:start w:w="140" w:type="dxa"/>
              <w:bottom w:w="140" w:type="dxa"/>
              <w:end w:w="140" w:type="dxa"/>
            </w:tcMar>
            <w:tcBorders>
              <w:left w:val="single" w:sz="18" w:color="C7203C"/>
              <w:top w:val="single" w:sz="4" w:color="CBD5DF"/>
              <w:bottom w:val="single" w:sz="4" w:color="CBD5DF"/>
              <w:right w:val="single" w:sz="4" w:color="CBD5DF"/>
            </w:tcBorders>
          </w:tcPr>
          <w:p>
            <w:r/>
            <w:r>
              <w:rPr>
                <w:rFonts w:ascii="Noto Serif" w:hAnsi="Noto Serif" w:eastAsia="Noto Serif"/>
                <w:b/>
                <w:color w:val="243B57"/>
                <w:sz w:val="20"/>
              </w:rPr>
              <w:t>DOCUMENT PURPOSE</w:t>
            </w:r>
          </w:p>
          <w:p>
            <w:r>
              <w:rPr>
                <w:rFonts w:ascii="Noto Serif" w:hAnsi="Noto Serif" w:eastAsia="Noto Serif"/>
                <w:b/>
                <w:color w:val="243B57"/>
                <w:sz w:val="20"/>
              </w:rPr>
              <w:t>Documents how the platform was implemented and what the retained engineering evidence demonstrates. Functional requirements and verification status remain controlled by the companion FRD.</w:t>
            </w:r>
          </w:p>
        </w:tc>
      </w:tr>
    </w:tbl>
    <w:p>
      <w:r>
        <w:rPr>
          <w:rFonts w:ascii="Noto Serif" w:hAnsi="Noto Serif" w:eastAsia="Noto Serif"/>
          <w:color w:val="28313A"/>
          <w:sz w:val="20"/>
        </w:rPr>
      </w:r>
    </w:p>
    <w:p>
      <w:pPr>
        <w:pStyle w:val="Heading1"/>
      </w:pPr>
      <w:r>
        <w:t>1. Engineering Overview</w:t>
      </w:r>
    </w:p>
    <w:p>
      <w:pPr>
        <w:spacing w:after="100" w:line="259" w:lineRule="auto"/>
      </w:pPr>
      <w:r>
        <w:rPr>
          <w:rFonts w:ascii="Noto Serif" w:hAnsi="Noto Serif" w:eastAsia="Noto Serif"/>
          <w:color w:val="28313A"/>
          <w:sz w:val="20"/>
        </w:rPr>
        <w:t>The implementation combines model-based embedded control with a small, clearly identified handwritten peripheral layer. Editable Simulink models define the real-time dual-motor application, CAN interfaces, current-control subsystem, and supervisory hosts. A custom C source file extends the F28069M ADC configuration for additional simultaneous measurements. MATLAB utilities configure tests, capture sessions, and process the retained efficiency evidence.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7D7D7"/>
          <w:start w:val="single" w:sz="4" w:color="D7D7D7"/>
          <w:bottom w:val="single" w:sz="4" w:color="D7D7D7"/>
          <w:end w:val="single" w:sz="4" w:color="D7D7D7"/>
          <w:insideH w:val="single" w:sz="4" w:color="D7D7D7"/>
          <w:insideV w:val="single" w:sz="4" w:color="D7D7D7"/>
        </w:tblBorders>
      </w:tblPr>
      <w:tblGrid>
        <w:gridCol w:w="10224"/>
      </w:tblGrid>
      <w:tr>
        <w:tc>
          <w:tcPr>
            <w:tcW w:type="dxa" w:w="10224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COMPANION RELATIONSHIP</w:t>
            </w:r>
          </w:p>
          <w:p>
            <w:pPr>
              <w:spacing w:after="0"/>
            </w:pPr>
            <w:r>
              <w:rPr>
                <w:rFonts w:ascii="Noto Serif" w:hAnsi="Noto Serif" w:eastAsia="Noto Serif"/>
                <w:b/>
                <w:color w:val="FFFFFF"/>
                <w:sz w:val="17"/>
              </w:rPr>
              <w:t>Requirement IDs and verification status are controlled by the FRD. This report supplies implementation detail and evidence interpretation only.</w:t>
            </w:r>
          </w:p>
        </w:tc>
      </w:tr>
    </w:tbl>
    <w:p>
      <w:pPr>
        <w:pStyle w:val="Heading1"/>
      </w:pPr>
      <w:r>
        <w:t>2. Repository Source Inventory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1800"/>
        <w:gridCol w:w="4464"/>
        <w:gridCol w:w="3672"/>
      </w:tblGrid>
      <w:tr>
        <w:trPr>
          <w:tblHeader w:val="true"/>
        </w:trPr>
        <w:tc>
          <w:tcPr>
            <w:tcW w:type="dxa" w:w="3408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08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Public path</w:t>
            </w:r>
          </w:p>
        </w:tc>
        <w:tc>
          <w:tcPr>
            <w:tcW w:type="dxa" w:w="3408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Target application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models/simulink/target/C2000_Dual_Motor_CAN_Target.slx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Editable real-time application model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Host models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models/simulink/host/*.slx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Efficiency, drive-cycle, and Speedgoat/CAN supervision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Subsystem models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models/simulink/subsystems/*.slx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CAN receive, CAN transmit, and current control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Custom firmware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embedded-control/custom-firmware/F28069M_ADC_Custom_Config.c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Handwritten register-level ADC configuration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MATLAB tooling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host-software/setup, logging, analysis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Configuration, capture, export, plotting, and processing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Evidence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results/*.png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Raw signals, filters, measured bins, density, and contours</w:t>
            </w:r>
          </w:p>
        </w:tc>
      </w:tr>
    </w:tbl>
    <w:p>
      <w:pPr>
        <w:spacing w:after="20"/>
      </w:pPr>
    </w:p>
    <w:p>
      <w:pPr>
        <w:pStyle w:val="Heading1"/>
      </w:pPr>
      <w:r>
        <w:t>3. Embedded Control Architecture</w:t>
      </w:r>
    </w:p>
    <w:p>
      <w:pPr>
        <w:keepNext/>
        <w:jc w:val="center"/>
      </w:pPr>
      <w:r>
        <w:rPr>
          <w:rFonts w:ascii="Noto Serif" w:hAnsi="Noto Serif" w:eastAsia="Noto Serif"/>
          <w:color w:val="28313A"/>
          <w:sz w:val="20"/>
        </w:rPr>
      </w:r>
      <w:r>
        <w:rPr>
          <w:rFonts w:ascii="Noto Serif" w:hAnsi="Noto Serif" w:eastAsia="Noto Serif"/>
          <w:color w:val="28313A"/>
          <w:sz w:val="20"/>
        </w:rPr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28313A"/>
          <w:sz w:val="20"/>
        </w:rPr>
        <w:t>Figure 1. Control and telemetry architecture used by the public implementation.</w:t>
      </w:r>
    </w:p>
    <w:p>
      <w:pPr>
        <w:spacing w:after="100" w:line="259" w:lineRule="auto"/>
      </w:pPr>
      <w:r>
        <w:rPr>
          <w:rFonts w:ascii="Noto Serif" w:hAnsi="Noto Serif" w:eastAsia="Noto Serif"/>
          <w:color w:val="28313A"/>
          <w:sz w:val="20"/>
        </w:rPr>
        <w:t>The C2000 target owns the high-rate field-oriented control loops and machine feedback. The host supplies supervisory references and test sequencing but does not act as the current-loop or speed-loop scheduler. Motor 1 operates as the drive machine. Motor 2 applies opposing or assisting q-axis current to create a controllable load condition.</w:t>
      </w:r>
    </w:p>
    <w:p>
      <w:pPr>
        <w:pStyle w:val="Heading2"/>
      </w:pPr>
      <w:r>
        <w:t>3.1 Simulink model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3672"/>
        <w:gridCol w:w="6264"/>
      </w:tblGrid>
      <w:tr>
        <w:trPr>
          <w:tblHeader w:val="true"/>
        </w:trPr>
        <w:tc>
          <w:tcPr>
            <w:tcW w:type="dxa" w:w="5112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5112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Engineering role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C2000_Dual_Motor_CAN_Target.slx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Integrated C2000 target model containing dual-machine control, feedback, CAN paths, and deployable target logic.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Current_Control.slx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Reusable current-control implementation supporting the target FOC path.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CAN_Receive.slx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Receives and unpacks the supervisory command payload.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CAN_Transmit.slx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Returns command echo or selected telemetry for diagnostic separation.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Efficiency_Mapping_Host.slx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Commands repeatable speed/load points and supports efficiency acquisition.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Drive_Cycle_Host.slx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Runs time-varying speed and load profiles.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Speedgoat_CAN_Host.slx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Provides the real-time supervisory CAN endpoint.</w:t>
            </w:r>
          </w:p>
        </w:tc>
      </w:tr>
    </w:tbl>
    <w:p>
      <w:pPr>
        <w:spacing w:after="20"/>
      </w:pPr>
    </w:p>
    <w:p>
      <w:pPr>
        <w:pStyle w:val="Heading1"/>
      </w:pPr>
      <w:r>
        <w:t>4. Custom F28069M ADC Integration</w:t>
      </w:r>
    </w:p>
    <w:p>
      <w:pPr>
        <w:spacing w:after="100" w:line="259" w:lineRule="auto"/>
      </w:pPr>
      <w:r>
        <w:rPr>
          <w:rFonts w:ascii="Noto Serif" w:hAnsi="Noto Serif" w:eastAsia="Noto Serif"/>
          <w:color w:val="28313A"/>
          <w:sz w:val="20"/>
        </w:rPr>
        <w:t>The public release includes handwritten source rather than only generated support code. F28069M_ADC_Custom_Config.c configures two additional simultaneous ADC pairs for the measurement path and integrates them with the target application.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1512"/>
        <w:gridCol w:w="2088"/>
        <w:gridCol w:w="1440"/>
        <w:gridCol w:w="1944"/>
        <w:gridCol w:w="2376"/>
      </w:tblGrid>
      <w:tr>
        <w:trPr>
          <w:tblHeader w:val="true"/>
        </w:trPr>
        <w:tc>
          <w:tcPr>
            <w:tcW w:type="dxa" w:w="2045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SOC pair</w:t>
            </w:r>
          </w:p>
        </w:tc>
        <w:tc>
          <w:tcPr>
            <w:tcW w:type="dxa" w:w="2045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Analog inputs</w:t>
            </w:r>
          </w:p>
        </w:tc>
        <w:tc>
          <w:tcPr>
            <w:tcW w:type="dxa" w:w="2045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045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Acquisition window</w:t>
            </w:r>
          </w:p>
        </w:tc>
        <w:tc>
          <w:tcPr>
            <w:tcW w:type="dxa" w:w="2045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Interrupt routing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SOC12 / SOC13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ADCINA2 / ADCINB2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ePWM1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7 ADC clocks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EOC13 → ADCINT5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SOC14 / SOC15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ADCINA1 / ADCINB1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ePWM1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7 ADC clocks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EOC15 → ADCINT9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7D7D7"/>
          <w:start w:val="single" w:sz="4" w:color="D7D7D7"/>
          <w:bottom w:val="single" w:sz="4" w:color="D7D7D7"/>
          <w:end w:val="single" w:sz="4" w:color="D7D7D7"/>
          <w:insideH w:val="single" w:sz="4" w:color="D7D7D7"/>
          <w:insideV w:val="single" w:sz="4" w:color="D7D7D7"/>
        </w:tblBorders>
      </w:tblPr>
      <w:tblGrid>
        <w:gridCol w:w="10224"/>
      </w:tblGrid>
      <w:tr>
        <w:tc>
          <w:tcPr>
            <w:tcW w:type="dxa" w:w="10224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OWNERSHIP AND ACCURACY</w:t>
            </w:r>
          </w:p>
          <w:p>
            <w:pPr>
              <w:spacing w:after="0"/>
            </w:pPr>
            <w:r>
              <w:rPr>
                <w:rFonts w:ascii="Noto Serif" w:hAnsi="Noto Serif" w:eastAsia="Noto Serif"/>
                <w:b/>
                <w:color w:val="FFFFFF"/>
                <w:sz w:val="17"/>
              </w:rPr>
              <w:t>The custom file is presented as register-level peripheral integration. Generated C/C++ support files and TI library internals are excluded; the release does not claim a ground-up ADC driver.</w:t>
            </w:r>
          </w:p>
        </w:tc>
      </w:tr>
    </w:tbl>
    <w:p>
      <w:pPr>
        <w:pStyle w:val="Heading1"/>
      </w:pPr>
      <w:r>
        <w:t>5. CAN Command and Diagnostic Path</w:t>
      </w:r>
    </w:p>
    <w:p>
      <w:pPr>
        <w:spacing w:after="100" w:line="259" w:lineRule="auto"/>
      </w:pPr>
      <w:r>
        <w:rPr>
          <w:rFonts w:ascii="Noto Serif" w:hAnsi="Noto Serif" w:eastAsia="Noto Serif"/>
          <w:color w:val="28313A"/>
          <w:sz w:val="20"/>
        </w:rPr>
        <w:t>The supervisory transport uses a standard CAN command frame containing four 16-bit words. The receive subsystem decodes references and control state into the existing target signal paths. A separate return identifier carries command echo or selected diagnostic telemetry, helping distinguish physical-link faults from target-logic faults.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1800"/>
        <w:gridCol w:w="2376"/>
        <w:gridCol w:w="5760"/>
      </w:tblGrid>
      <w:tr>
        <w:trPr>
          <w:tblHeader w:val="true"/>
        </w:trPr>
        <w:tc>
          <w:tcPr>
            <w:tcW w:type="dxa" w:w="3408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08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Public definition</w:t>
            </w:r>
          </w:p>
        </w:tc>
        <w:tc>
          <w:tcPr>
            <w:tcW w:type="dxa" w:w="3408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Implementation role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Command ID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0x100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Four 16-bit command words in an 8-byte standard frame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Return ID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0x101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Command echo or selected diagnostic telemetry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Target integration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CAN receive and unpack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Decoded signals feed reference, enable, selection, and FOC paths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Diagnostic purpose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Return traffic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Separates bus-level failure from model-level interpretation</w:t>
            </w:r>
          </w:p>
        </w:tc>
      </w:tr>
    </w:tbl>
    <w:p>
      <w:pPr>
        <w:spacing w:after="20"/>
      </w:pPr>
    </w:p>
    <w:p>
      <w:pPr>
        <w:pStyle w:val="Heading1"/>
      </w:pPr>
      <w:r>
        <w:t>6. Host Software and Acquisition Workflow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efficiency_test_setup.m configures repeatable speed/load sweeps and opens the neutral customer-facing host model.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drive_cycle_setup.m configures time-varying command profiles without school or course references.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save_debug_session.m exports timeseries, constants, metadata, and a session README.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post_dyno_export.m and plot_all_dyno_runs.m organize retained datasets and produce reviewable plots.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motor_efficiency_processing.m performs signal alignment, power calculations, validity filtering, binning, density review, and contour generation.</w:t>
      </w:r>
    </w:p>
    <w:p>
      <w:pPr>
        <w:pStyle w:val="Heading1"/>
      </w:pPr>
      <w:r>
        <w:t>7. Characterization Method</w:t>
      </w:r>
    </w:p>
    <w:p>
      <w:pPr>
        <w:spacing w:after="100" w:line="259" w:lineRule="auto"/>
      </w:pPr>
      <w:r>
        <w:rPr>
          <w:rFonts w:ascii="Noto Serif" w:hAnsi="Noto Serif" w:eastAsia="Noto Serif"/>
          <w:color w:val="28313A"/>
          <w:sz w:val="20"/>
        </w:rPr>
        <w:t>The processing chain intentionally exposes intermediate decisions. Raw command and feedback signals are aligned, forced or invalid values are identified, physics-based masks are applied, retained operating points are reviewed, measured bins are formed, sample counts are inspected, and interpolation is presented only after measured coverage is visible.</w:t>
      </w:r>
    </w:p>
    <w:p>
      <w:pPr>
        <w:keepNext/>
        <w:jc w:val="center"/>
      </w:pPr>
      <w:r>
        <w:rPr>
          <w:rFonts w:ascii="Noto Serif" w:hAnsi="Noto Serif" w:eastAsia="Noto Serif"/>
          <w:color w:val="28313A"/>
          <w:sz w:val="20"/>
        </w:rPr>
      </w:r>
      <w:r>
        <w:rPr>
          <w:rFonts w:ascii="Noto Serif" w:hAnsi="Noto Serif" w:eastAsia="Noto Serif"/>
          <w:color w:val="28313A"/>
          <w:sz w:val="20"/>
        </w:rPr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28313A"/>
          <w:sz w:val="20"/>
        </w:rPr>
        <w:t>Figure 2. Raw speed, current, voltage, mechanical, and torque-related signals retained before filtering.</w:t>
      </w:r>
    </w:p>
    <w:p>
      <w:pPr>
        <w:keepNext/>
        <w:jc w:val="center"/>
      </w:pPr>
      <w:r>
        <w:rPr>
          <w:rFonts w:ascii="Noto Serif" w:hAnsi="Noto Serif" w:eastAsia="Noto Serif"/>
          <w:color w:val="28313A"/>
          <w:sz w:val="20"/>
        </w:rPr>
      </w:r>
      <w:r>
        <w:rPr>
          <w:rFonts w:ascii="Noto Serif" w:hAnsi="Noto Serif" w:eastAsia="Noto Serif"/>
          <w:color w:val="28313A"/>
          <w:sz w:val="20"/>
        </w:rPr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28313A"/>
          <w:sz w:val="20"/>
        </w:rPr>
        <w:t>Figure 3. Explicit electrical-power, mechanical-power, torque, and combined validity masks.</w:t>
      </w:r>
    </w:p>
    <w:p>
      <w:pPr>
        <w:pStyle w:val="Heading1"/>
      </w:pPr>
      <w:r>
        <w:t>8. Measured Evidence</w:t>
      </w:r>
    </w:p>
    <w:p>
      <w:pPr>
        <w:keepNext/>
        <w:jc w:val="center"/>
      </w:pPr>
      <w:r>
        <w:rPr>
          <w:rFonts w:ascii="Noto Serif" w:hAnsi="Noto Serif" w:eastAsia="Noto Serif"/>
          <w:color w:val="28313A"/>
          <w:sz w:val="20"/>
        </w:rPr>
      </w:r>
      <w:r>
        <w:rPr>
          <w:rFonts w:ascii="Noto Serif" w:hAnsi="Noto Serif" w:eastAsia="Noto Serif"/>
          <w:color w:val="28313A"/>
          <w:sz w:val="20"/>
        </w:rPr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28313A"/>
          <w:sz w:val="20"/>
        </w:rPr>
        <w:t>Figure 4. Retained speed-torque operating points colored by calculated efficiency.</w:t>
      </w:r>
    </w:p>
    <w:p>
      <w:pPr>
        <w:keepNext/>
        <w:jc w:val="center"/>
      </w:pPr>
      <w:r>
        <w:rPr>
          <w:rFonts w:ascii="Noto Serif" w:hAnsi="Noto Serif" w:eastAsia="Noto Serif"/>
          <w:color w:val="28313A"/>
          <w:sz w:val="20"/>
        </w:rPr>
      </w:r>
      <w:r>
        <w:rPr>
          <w:rFonts w:ascii="Noto Serif" w:hAnsi="Noto Serif" w:eastAsia="Noto Serif"/>
          <w:color w:val="28313A"/>
          <w:sz w:val="20"/>
        </w:rPr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28313A"/>
          <w:sz w:val="20"/>
        </w:rPr>
        <w:t>Figure 5. Measured-bin efficiency map; unpopulated regions remain visibly distinct.</w:t>
      </w:r>
    </w:p>
    <w:p>
      <w:pPr>
        <w:keepNext/>
        <w:jc w:val="center"/>
      </w:pPr>
      <w:r>
        <w:rPr>
          <w:rFonts w:ascii="Noto Serif" w:hAnsi="Noto Serif" w:eastAsia="Noto Serif"/>
          <w:color w:val="28313A"/>
          <w:sz w:val="20"/>
        </w:rPr>
      </w:r>
      <w:r>
        <w:rPr>
          <w:rFonts w:ascii="Noto Serif" w:hAnsi="Noto Serif" w:eastAsia="Noto Serif"/>
          <w:color w:val="28313A"/>
          <w:sz w:val="20"/>
        </w:rPr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28313A"/>
          <w:sz w:val="20"/>
        </w:rPr>
        <w:t>Figure 6. Sample-count map used to judge operating-region density and confidence.</w:t>
      </w:r>
    </w:p>
    <w:p>
      <w:pPr>
        <w:pStyle w:val="Heading2"/>
      </w:pPr>
      <w:r>
        <w:t>8.1 Controlled interpretation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Published speed sweeps approach 4000 RPM in the retained evidence.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Demonstrated torque-related operating points are concentrated roughly between 0.045 and 0.17 N·m.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Efficiency values are filtered using explicit power, torque, and bounded-efficiency criteria before binning.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Measured bins and sample density are the primary evidence used for public interpretation.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The results demonstrate bench integration and processing discipline, not calibrated product efficiency or regulatory qualification.</w:t>
      </w:r>
    </w:p>
    <w:p>
      <w:pPr>
        <w:pStyle w:val="Heading1"/>
      </w:pPr>
      <w:r>
        <w:t>9. Physical Interface Evidence</w:t>
      </w:r>
    </w:p>
    <w:p>
      <w:pPr>
        <w:keepNext/>
        <w:jc w:val="center"/>
      </w:pPr>
      <w:r>
        <w:rPr>
          <w:rFonts w:ascii="Noto Serif" w:hAnsi="Noto Serif" w:eastAsia="Noto Serif"/>
          <w:color w:val="28313A"/>
          <w:sz w:val="20"/>
        </w:rPr>
      </w:r>
      <w:r>
        <w:rPr>
          <w:rFonts w:ascii="Noto Serif" w:hAnsi="Noto Serif" w:eastAsia="Noto Serif"/>
          <w:color w:val="28313A"/>
          <w:sz w:val="20"/>
        </w:rPr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28313A"/>
          <w:sz w:val="20"/>
        </w:rPr>
        <w:t>Figure 7. BoosterPack-to-LaunchPad interface reference used during hardware integration.</w:t>
      </w:r>
    </w:p>
    <w:p>
      <w:pPr>
        <w:spacing w:after="100" w:line="259" w:lineRule="auto"/>
      </w:pPr>
      <w:r>
        <w:rPr>
          <w:rFonts w:ascii="Noto Serif" w:hAnsi="Noto Serif" w:eastAsia="Noto Serif"/>
          <w:color w:val="28313A"/>
          <w:sz w:val="20"/>
        </w:rPr>
        <w:t>The release also retains the applicable LaunchPad and BOOSTXL-DRV8305EVM public schematics and a concise interface summary. These references support pinout review and connection traceability without redistributing editable vendor manufacturing sources.</w:t>
      </w:r>
    </w:p>
    <w:p>
      <w:pPr>
        <w:pStyle w:val="Heading1"/>
      </w:pPr>
      <w:r>
        <w:t>10. Limitations and Next Validation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2376"/>
        <w:gridCol w:w="7560"/>
      </w:tblGrid>
      <w:tr>
        <w:trPr>
          <w:tblHeader w:val="true"/>
        </w:trPr>
        <w:tc>
          <w:tcPr>
            <w:tcW w:type="dxa" w:w="5112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Controlled statement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Torque and electrical calibration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Independent traceable calibration is outside the retained public evidence.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Thermal endurance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Long-duration thermal and derating qualification is not included.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Fault coverage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A complete independent protection chain and production fault tree are not claimed.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EMC and environment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Formal EMC, vibration, ingress, and environmental testing are not included.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Model dependencies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Opening and deploying the models requires compatible MATLAB/Simulink, C2000 support packages, and relevant licensed hardware blocks.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Physical demonstration media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A dedicated platform video or full-bench photograph should be added when approved and available.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pgSz w:w="12240" w:h="15840"/>
      <w:pgMar w:top="893" w:right="1152" w:bottom="792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erif" w:hAnsi="Noto Serif" w:eastAsia="Noto Serif"/>
        <w:color w:val="5B6875"/>
        <w:sz w:val="16"/>
      </w:rPr>
      <w:t>Dual-Motor PMSM Dynamometer Platform  •  Controlled engineering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8" w:space="3" w:color="243B57"/>
      </w:pBdr>
    </w:pPr>
    <w:r>
      <w:rPr>
        <w:rFonts w:ascii="Noto Serif" w:hAnsi="Noto Serif" w:eastAsia="Noto Serif"/>
        <w:b/>
        <w:color w:val="5B6875"/>
        <w:sz w:val="16"/>
      </w:rPr>
      <w:t>HERDER ELEKTRONISCHE SYSTEMEN   |   ENGINEERING REQUIREMENTS   |   REV 2.2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color="FFFFFF"/>
        <w:start w:val="single" w:sz="0" w:color="FFFFFF"/>
        <w:bottom w:val="single" w:sz="0" w:color="FFFFFF"/>
        <w:end w:val="single" w:sz="0" w:color="FFFFFF"/>
        <w:insideH w:val="single" w:sz="0" w:color="FFFFFF"/>
        <w:insideV w:val="single" w:sz="0" w:color="FFFFFF"/>
      </w:tblBorders>
    </w:tblPr>
    <w:tblGrid>
      <w:gridCol w:w="6480"/>
      <w:gridCol w:w="3744"/>
    </w:tblGrid>
    <w:tr>
      <w:tc>
        <w:tcPr>
          <w:tcW w:type="dxa" w:w="5112"/>
        </w:tcPr>
        <w:p>
          <w:r>
            <w:rPr>
              <w:rFonts w:ascii="Arial" w:hAnsi="Arial"/>
              <w:color w:val="CC002B"/>
              <w:sz w:val="18"/>
            </w:rPr>
            <w:t>HERDER ELEKTRONISCHE SYSTEMEN</w:t>
          </w:r>
        </w:p>
      </w:tc>
      <w:tc>
        <w:tcPr>
          <w:tcW w:type="dxa" w:w="5112"/>
        </w:tcPr>
        <w:p>
          <w:pPr>
            <w:jc w:val="right"/>
          </w:pPr>
          <w:r>
            <w:rPr>
              <w:rFonts w:ascii="Arial" w:hAnsi="Arial"/>
              <w:sz w:val="20"/>
            </w:rPr>
            <w:t>ENGINEERING REPORT  |</w:t>
            <w:br/>
            <w:t>REV 1.8</w:t>
          </w:r>
        </w:p>
      </w:tc>
    </w:tr>
  </w:tbl>
  <w:p>
    <w:pPr>
      <w:pBdr>
        <w:bottom w:val="single" w:sz="10" w:color="CC002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Noto Serif" w:hAnsi="Noto Serif" w:eastAsia="Noto Serif"/>
      <w:color w:val="28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erif" w:hAnsi="Noto Serif" w:eastAsia="Noto Serif"/>
      <w:b/>
      <w:bCs/>
      <w:color w:val="243B5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erif" w:hAnsi="Noto Serif" w:eastAsia="Noto Serif"/>
      <w:b/>
      <w:bCs/>
      <w:color w:val="24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erif" w:hAnsi="Noto Serif" w:eastAsia="Noto Serif"/>
      <w:b/>
      <w:bCs/>
      <w:color w:val="C720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FFFF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Noto Serif" w:hAnsi="Noto Serif" w:eastAsia="Noto Serif"/>
      <w:color w:val="28313A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" w:hAnsi="Noto Serif" w:eastAsia="Noto Serif"/>
      <w:color w:val="28313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" w:hAnsi="Noto Serif" w:eastAsia="Noto Serif"/>
      <w:color w:val="28313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erif" w:hAnsi="Noto Serif" w:eastAsia="Noto Serif"/>
      <w:b/>
      <w:bCs/>
      <w:i/>
      <w:color w:val="5B68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Revision 2.0</dc:description>
  <cp:lastModifiedBy/>
  <cp:revision>1</cp:revision>
  <dcterms:created xsi:type="dcterms:W3CDTF">2013-12-23T23:15:00Z</dcterms:created>
  <dcterms:modified xsi:type="dcterms:W3CDTF">2013-12-23T23:15:00Z</dcterms:modified>
  <cp:category/>
  <cp:version>1.7</cp:version>
</cp:coreProperties>
</file>