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CC002B"/>
          <w:start w:val="single" w:sz="0" w:color="CC002B"/>
          <w:bottom w:val="single" w:sz="0" w:color="CC002B"/>
          <w:end w:val="single" w:sz="0" w:color="CC002B"/>
          <w:insideH w:val="single" w:sz="0" w:color="CC002B"/>
          <w:insideV w:val="single" w:sz="0" w:color="CC002B"/>
        </w:tblBorders>
      </w:tblPr>
      <w:tblGrid>
        <w:gridCol w:w="10224"/>
      </w:tblGrid>
      <w:tr>
        <w:tc>
          <w:tcPr>
            <w:tcW w:type="dxa" w:w="10224"/>
            <w:shd w:fill="CC002B"/>
            <w:tcMar>
              <w:top w:w="360" w:type="dxa"/>
              <w:start w:w="300" w:type="dxa"/>
              <w:bottom w:w="260" w:type="dxa"/>
              <w:end w:w="300" w:type="dxa"/>
            </w:tcMar>
          </w:tcPr>
          <w:p>
            <w:r>
              <w:rPr>
                <w:rFonts w:ascii="Arial" w:hAnsi="Arial"/>
                <w:b/>
                <w:color w:val="FFFFFF"/>
                <w:sz w:val="54"/>
              </w:rPr>
              <w:t>DUAL-MOTOR PMSM</w:t>
              <w:br/>
              <w:t>DYNAMOMETER PLATFORM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FUNCTIONAL REQUIREMENTS &amp;</w:t>
              <w:br/>
              <w:t>VALIDATION REPORT</w:t>
            </w:r>
          </w:p>
          <w:p>
            <w:r>
              <w:rPr>
                <w:rFonts w:ascii="Arial" w:hAnsi="Arial"/>
                <w:b/>
                <w:color w:val="FFFFFF"/>
                <w:sz w:val="24"/>
              </w:rPr>
              <w:t>TI C2000 F28069M, dual-inverter control, interfaces, and verification</w:t>
            </w:r>
          </w:p>
          <w:p>
            <w:r>
              <w:rPr>
                <w:rFonts w:ascii="Arial" w:hAnsi="Arial"/>
                <w:color w:val="FFFFFF"/>
                <w:sz w:val="21"/>
              </w:rPr>
              <w:t>Customer-facing technical report</w:t>
              <w:br/>
              <w:t>Revision 1.7 - 5 August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2736"/>
        <w:gridCol w:w="7488"/>
      </w:tblGrid>
      <w:tr>
        <w:trPr>
          <w:cantSplit/>
        </w:trPr>
        <w:tc>
          <w:tcPr>
            <w:tcW w:type="dxa" w:w="5112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112"/>
            <w:shd w:fill="F1F2F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Herder Elektronische Systemen</w:t>
            </w:r>
          </w:p>
        </w:tc>
      </w:tr>
      <w:tr>
        <w:trPr>
          <w:cantSplit/>
        </w:trPr>
        <w:tc>
          <w:tcPr>
            <w:tcW w:type="dxa" w:w="5112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subject</w:t>
            </w:r>
          </w:p>
        </w:tc>
        <w:tc>
          <w:tcPr>
            <w:tcW w:type="dxa" w:w="5112"/>
            <w:shd w:fill="F1F2F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System requirements, interfaces, verification status, and public release boundary</w:t>
            </w:r>
          </w:p>
        </w:tc>
      </w:tr>
      <w:tr>
        <w:trPr>
          <w:cantSplit/>
        </w:trPr>
        <w:tc>
          <w:tcPr>
            <w:tcW w:type="dxa" w:w="5112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Evidence basis</w:t>
            </w:r>
          </w:p>
        </w:tc>
        <w:tc>
          <w:tcPr>
            <w:tcW w:type="dxa" w:w="5112"/>
            <w:shd w:fill="F1F2F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Simulink source models, custom ADC source, CAN interfaces, scripts, figures, and schematics</w:t>
            </w:r>
          </w:p>
        </w:tc>
      </w:tr>
      <w:tr>
        <w:trPr>
          <w:cantSplit/>
        </w:trPr>
        <w:tc>
          <w:tcPr>
            <w:tcW w:type="dxa" w:w="5112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5112"/>
            <w:shd w:fill="F1F2F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Customer-facing; selected source models, custom firmware, and engineering evidence included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4F4F4"/>
          <w:start w:val="single" w:sz="0" w:color="F4F4F4"/>
          <w:bottom w:val="single" w:sz="0" w:color="F4F4F4"/>
          <w:end w:val="single" w:sz="0" w:color="F4F4F4"/>
          <w:insideH w:val="single" w:sz="0" w:color="F4F4F4"/>
          <w:insideV w:val="single" w:sz="0" w:color="F4F4F4"/>
        </w:tblBorders>
      </w:tblPr>
      <w:tblGrid>
        <w:gridCol w:w="10224"/>
      </w:tblGrid>
      <w:tr>
        <w:tc>
          <w:tcPr>
            <w:tcW w:type="dxa" w:w="10224"/>
            <w:shd w:fill="F4F4F4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CC002B"/>
                <w:sz w:val="18"/>
              </w:rPr>
              <w:t>DOCUMENT PURPOSE</w:t>
            </w:r>
          </w:p>
          <w:p>
            <w:r>
              <w:rPr>
                <w:rFonts w:ascii="Arial" w:hAnsi="Arial"/>
                <w:sz w:val="19"/>
              </w:rPr>
              <w:t>This report defines what the public Dual-Motor PMSM Dynamometer Platform is required to do, how each requirement is verified, what evidence is retained, and which capabilities remain outside the release. Implementation details and measured-result interpretation are intentionally assigned to the companion engineering report.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00" w:line="259" w:lineRule="auto"/>
      </w:pPr>
      <w:r>
        <w:t>The platform is a coupled two-machine dynamometer built around a TI C2000 F28069M controller, two DRV8305 inverter stages, encoder feedback, supervisory host models, CAN communication, and a structured data-processing workflow. This FRD is deliberately concise: it defines mandatory behavior, interfaces, verification methods, and release limitations without duplicating the implementation narrative.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7D7"/>
          <w:start w:val="single" w:sz="4" w:color="D7D7D7"/>
          <w:bottom w:val="single" w:sz="4" w:color="D7D7D7"/>
          <w:end w:val="single" w:sz="4" w:color="D7D7D7"/>
          <w:insideH w:val="single" w:sz="4" w:color="D7D7D7"/>
          <w:insideV w:val="single" w:sz="4" w:color="D7D7D7"/>
        </w:tblBorders>
      </w:tblPr>
      <w:tblGrid>
        <w:gridCol w:w="10224"/>
      </w:tblGrid>
      <w:tr>
        <w:tc>
          <w:tcPr>
            <w:tcW w:type="dxa" w:w="10224"/>
            <w:shd w:fill="F4F4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CC002B"/>
                <w:sz w:val="18"/>
              </w:rPr>
              <w:t>DOCUMENT BOUNDARY</w:t>
            </w:r>
          </w:p>
          <w:p>
            <w:pPr>
              <w:spacing w:after="0"/>
            </w:pPr>
            <w:r>
              <w:t>This FRD answers “what shall the system do and how is compliance shown?” The companion Embedded Control, CAN &amp; Characterization Report answers “how was it implemented and what did testing show?”</w:t>
            </w:r>
          </w:p>
        </w:tc>
      </w:tr>
    </w:tbl>
    <w:p>
      <w:pPr>
        <w:pStyle w:val="Heading1"/>
      </w:pPr>
      <w:r>
        <w:t>2. Scope and System Boundary</w:t>
      </w:r>
    </w:p>
    <w:p>
      <w:pPr>
        <w:pStyle w:val="ListBullet"/>
        <w:spacing w:after="40"/>
      </w:pPr>
      <w:r>
        <w:t>Embedded field-oriented control for two coupled PMSMs.</w:t>
      </w:r>
    </w:p>
    <w:p>
      <w:pPr>
        <w:pStyle w:val="ListBullet"/>
        <w:spacing w:after="40"/>
      </w:pPr>
      <w:r>
        <w:t>Drive-machine speed command and load-machine q-axis current command.</w:t>
      </w:r>
    </w:p>
    <w:p>
      <w:pPr>
        <w:pStyle w:val="ListBullet"/>
        <w:spacing w:after="40"/>
      </w:pPr>
      <w:r>
        <w:t>Independent encoder feedback and target-derived acquisition signals.</w:t>
      </w:r>
    </w:p>
    <w:p>
      <w:pPr>
        <w:pStyle w:val="ListBullet"/>
        <w:spacing w:after="40"/>
      </w:pPr>
      <w:r>
        <w:t>Supervisory CAN command path and diagnostic return path.</w:t>
      </w:r>
    </w:p>
    <w:p>
      <w:pPr>
        <w:pStyle w:val="ListBullet"/>
        <w:spacing w:after="40"/>
      </w:pPr>
      <w:r>
        <w:t>Selected editable Simulink models, custom ADC C source, MATLAB utilities, public figures, and interface documentation.</w:t>
      </w:r>
    </w:p>
    <w:p>
      <w:pPr>
        <w:pStyle w:val="Heading2"/>
      </w:pPr>
      <w:r>
        <w:t>2.1 Excluded claims and assets</w:t>
      </w:r>
    </w:p>
    <w:p>
      <w:pPr>
        <w:pStyle w:val="ListBullet"/>
        <w:spacing w:after="40"/>
      </w:pPr>
      <w:r>
        <w:t>No production functional-safety certification, calibrated torque traceability, EMC qualification, or environmental qualification.</w:t>
      </w:r>
    </w:p>
    <w:p>
      <w:pPr>
        <w:pStyle w:val="ListBullet"/>
        <w:spacing w:after="40"/>
      </w:pPr>
      <w:r>
        <w:t>No generated C/C++ code, binaries, caches, private raw MAT datasets, or workstation-specific build artifacts.</w:t>
      </w:r>
    </w:p>
    <w:p>
      <w:pPr>
        <w:pStyle w:val="ListBullet"/>
        <w:spacing w:after="40"/>
      </w:pPr>
      <w:r>
        <w:t>No vendor manufacturing packages, editable third-party PCB projects, Gerbers, or licensed software bundles.</w:t>
      </w:r>
    </w:p>
    <w:p>
      <w:pPr>
        <w:pStyle w:val="ListBullet"/>
        <w:spacing w:after="40"/>
      </w:pPr>
      <w:r>
        <w:t>No course instructions, student-facing lab material, answer keys, or internal university records.</w:t>
      </w:r>
    </w:p>
    <w:p>
      <w:pPr>
        <w:pStyle w:val="Heading1"/>
      </w:pPr>
      <w:r>
        <w:t>3. System Context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782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8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17"/>
        </w:rPr>
        <w:t>Figure 1. Public system boundary: supervisory host, C2000 real-time target, dual inverter stages, and coupled drive/load machines.</w:t>
      </w:r>
    </w:p>
    <w:p>
      <w:pPr>
        <w:pStyle w:val="Heading1"/>
      </w:pPr>
      <w:r>
        <w:t>4.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080"/>
        <w:gridCol w:w="1512"/>
        <w:gridCol w:w="4680"/>
        <w:gridCol w:w="1656"/>
        <w:gridCol w:w="1296"/>
      </w:tblGrid>
      <w:tr>
        <w:trPr>
          <w:tblHeader w:val="true"/>
        </w:trPr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Verification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Real-time control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execute fast motor-control loops on the embedded target independently of host display timing.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functional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Dual-machine operation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command one PMSM as the drive machine and the second as a controllable load or assist machine.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Speed reference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accept a supervisory speed reference for the drive machine.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SYS-004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Load reference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accept a q-axis current or equivalent load reference for the load machine.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SYS-005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Enable control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provide explicit enable and disable control for commanded operation.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SYS-006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Feedback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maintain independent encoder feedback paths for both machines.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feedback test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SYS-007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Observability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system shall expose speed, current, voltage, torque-related, power-related, and diagnostic quantities required by the public workflow.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analysis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SYS-008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Repeatable workflow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host workflow shall support repeatable setup, capture, export, and postprocessing.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Procedure review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</w:tbl>
    <w:p>
      <w:pPr>
        <w:spacing w:after="20"/>
      </w:pPr>
    </w:p>
    <w:p>
      <w:pPr>
        <w:pStyle w:val="Heading1"/>
      </w:pPr>
      <w:r>
        <w:t>5. Interface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080"/>
        <w:gridCol w:w="1656"/>
        <w:gridCol w:w="4464"/>
        <w:gridCol w:w="1800"/>
        <w:gridCol w:w="1224"/>
      </w:tblGrid>
      <w:tr>
        <w:trPr>
          <w:tblHeader w:val="true"/>
        </w:trPr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Interface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Verification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IF-001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DC input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inverter stack shall use a verified 24 VDC supply with current limiting during bring-up.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DMM + startup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IF-002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Motor phases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Each PMSM shall be connected consistently to its assigned inverter phase outputs.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Continuity + spin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IF-003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Encoder routing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Motor 1 and Motor 2 encoder channels shall remain electrically and logically distinct.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Pin inspection + feedback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IF-004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 physical layer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CAN bus shall provide CANH, CANL, reference ground, and appropriate termination.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Resistance + bus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IF-005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 command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target shall receive the four-word supervisory command payload on the documented command identifier.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Bus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IF-006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 diagnostics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target shall provide a return identifier for command echo or telemetry diagnostics.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Bus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IF-007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Custom ADC acquisition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target shall configure two additional simultaneous ADC input pairs using handwritten F28069M peripheral source.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Source inspection + acquisition test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316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sterpack_to_launchpad_board_inter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17"/>
        </w:rPr>
        <w:t>Figure 2. BoosterPack-to-LaunchPad board-interface reference retained with the public release.</w:t>
      </w:r>
    </w:p>
    <w:p>
      <w:pPr>
        <w:pStyle w:val="Heading1"/>
      </w:pPr>
      <w:r>
        <w:t>6. Data and Processing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080"/>
        <w:gridCol w:w="1656"/>
        <w:gridCol w:w="4464"/>
        <w:gridCol w:w="1800"/>
        <w:gridCol w:w="1224"/>
      </w:tblGrid>
      <w:tr>
        <w:trPr>
          <w:tblHeader w:val="true"/>
        </w:trPr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Verification</w:t>
            </w:r>
          </w:p>
        </w:tc>
        <w:tc>
          <w:tcPr>
            <w:tcW w:type="dxa" w:w="2045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DAT-001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Mechanical power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analysis shall compute mechanical power from torque and angular speed.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Equation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DAT-002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Electrical power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dq-frame workflow shall compute electrical power from 1.5 × Vq × Iq for the retained implementation.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Equation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DAT-003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Validity filtering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workflow shall apply explicit minimum-power, minimum-torque, and bounded-efficiency masks before binning.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Script + figure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DAT-004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Measured bins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Published efficiency maps shall distinguish populated measured bins from unmeasured regions.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Figure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DAT-005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Sample density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The release shall retain a sample-count view for operating-region confidence review.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Figure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DAT-006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Traceability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Published figures shall be traceable to retained scripts or approved evidence outputs.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Repository inspection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t>7. Safety and Release Constraints</w:t>
      </w:r>
    </w:p>
    <w:p>
      <w:pPr>
        <w:pStyle w:val="ListBullet"/>
        <w:spacing w:after="40"/>
      </w:pPr>
      <w:r>
        <w:t>Verify DC polarity before energizing either inverter stage.</w:t>
      </w:r>
    </w:p>
    <w:p>
      <w:pPr>
        <w:pStyle w:val="ListBullet"/>
        <w:spacing w:after="40"/>
      </w:pPr>
      <w:r>
        <w:t>Begin with low speed, zero load command, conservative limits, and accessible shutdown.</w:t>
      </w:r>
    </w:p>
    <w:p>
      <w:pPr>
        <w:pStyle w:val="ListBullet"/>
        <w:spacing w:after="40"/>
      </w:pPr>
      <w:r>
        <w:t>Confirm encoder direction and phase order before closed-loop sweeps.</w:t>
      </w:r>
    </w:p>
    <w:p>
      <w:pPr>
        <w:pStyle w:val="ListBullet"/>
        <w:spacing w:after="40"/>
      </w:pPr>
      <w:r>
        <w:t>Do not treat software disable as an independent safety function.</w:t>
      </w:r>
    </w:p>
    <w:p>
      <w:pPr>
        <w:pStyle w:val="ListBullet"/>
        <w:spacing w:after="40"/>
      </w:pPr>
      <w:r>
        <w:t>Do not represent the public platform as production-qualified or safety-certified.</w:t>
      </w:r>
    </w:p>
    <w:p>
      <w:pPr>
        <w:pStyle w:val="Heading1"/>
      </w:pPr>
      <w:r>
        <w:t>8. Requirements Traceability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440"/>
        <w:gridCol w:w="2376"/>
        <w:gridCol w:w="4752"/>
        <w:gridCol w:w="1440"/>
      </w:tblGrid>
      <w:tr>
        <w:trPr>
          <w:tblHeader w:val="true"/>
        </w:trPr>
        <w:tc>
          <w:tcPr>
            <w:tcW w:type="dxa" w:w="2556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556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Verification method</w:t>
            </w:r>
          </w:p>
        </w:tc>
        <w:tc>
          <w:tcPr>
            <w:tcW w:type="dxa" w:w="2556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Retained evidence</w:t>
            </w:r>
          </w:p>
        </w:tc>
        <w:tc>
          <w:tcPr>
            <w:tcW w:type="dxa" w:w="2556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SYS-001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functional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C2000_Dual_Motor_CAN_Target.slx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SYS-002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target and host models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SYS-003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host setup models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SYS-004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Functional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host setup models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SYS-005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host/target models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SYS-006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feedback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board interface + target model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SYS-007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Inspection + analysis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target model + processing scripts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SYS-008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Procedure review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setup/logging/analysis scripts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IF-001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DMM + startup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interface summary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IF-002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Continuity + spin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interface summary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IF-003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Pin inspection + feedback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board-interface figure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IF-004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Resistance + bus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 model set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IF-005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Bus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CAN_Receive.slx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IF-006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Bus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CAN_Transmit.slx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IF-007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Source inspection + acquisition test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F28069M_ADC_Custom_Config.c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DAT-001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Equation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motor_efficiency_processing.m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DAT-002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Equation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motor_efficiency_processing.m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DAT-003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Script + figure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03_filter_masks.png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DAT-004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Figure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05_measured_efficiency_map.png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DAT-005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Figure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06_sample_count_map.png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Demonstrated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DAT-006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Repository inspection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repository map and checksums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t>9. Validation and Release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3024"/>
        <w:gridCol w:w="5472"/>
        <w:gridCol w:w="1440"/>
      </w:tblGrid>
      <w:tr>
        <w:trPr>
          <w:tblHeader w:val="true"/>
        </w:trPr>
        <w:tc>
          <w:tcPr>
            <w:tcW w:type="dxa" w:w="3408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Validation objective</w:t>
            </w:r>
          </w:p>
        </w:tc>
        <w:tc>
          <w:tcPr>
            <w:tcW w:type="dxa" w:w="3408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basis</w:t>
            </w:r>
          </w:p>
        </w:tc>
        <w:tc>
          <w:tcPr>
            <w:tcW w:type="dxa" w:w="3408"/>
            <w:shd w:fill="2222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Coupled drive/load operation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Motor 1 establishes shaft speed while Motor 2 applies controlled loading.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Demonstrated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Efficiency workflow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Physics masks, measured bins, sample density, and contour outputs retained.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Demonstrated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CAN supervisory control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Command receipt and motor-spin validation retained in public models and documentation.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Demonstrated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Custom ADC path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Additional PWM-triggered simultaneous input pairs integrated with target application.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Demonstrated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Production qualification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Calibration, endurance, EMC, environmental, and independent safety validation.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Not claimed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7D7"/>
          <w:start w:val="single" w:sz="4" w:color="D7D7D7"/>
          <w:bottom w:val="single" w:sz="4" w:color="D7D7D7"/>
          <w:end w:val="single" w:sz="4" w:color="D7D7D7"/>
          <w:insideH w:val="single" w:sz="4" w:color="D7D7D7"/>
          <w:insideV w:val="single" w:sz="4" w:color="D7D7D7"/>
        </w:tblBorders>
      </w:tblPr>
      <w:tblGrid>
        <w:gridCol w:w="10224"/>
      </w:tblGrid>
      <w:tr>
        <w:tc>
          <w:tcPr>
            <w:tcW w:type="dxa" w:w="10224"/>
            <w:shd w:fill="F4F4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CC002B"/>
                <w:sz w:val="18"/>
              </w:rPr>
              <w:t>RELEASE GATE</w:t>
            </w:r>
          </w:p>
          <w:p>
            <w:pPr>
              <w:spacing w:after="0"/>
            </w:pPr>
            <w:r>
              <w:t>Publish only after PDFs are rendered page by page, report links resolve, the ZIP opens at repository root, and public files contain no school-specific lab instructions or private build artifacts.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pgSz w:w="12240" w:h="15840"/>
      <w:pgMar w:top="1008" w:right="1008" w:bottom="936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Herder Elektronische Systemen  |  Public technical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FUNCTIONAL REQUIREMENTS &amp; VALIDATION  |  REV 1.7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color="FFFFFF"/>
        <w:start w:val="single" w:sz="0" w:color="FFFFFF"/>
        <w:bottom w:val="single" w:sz="0" w:color="FFFFFF"/>
        <w:end w:val="single" w:sz="0" w:color="FFFFFF"/>
        <w:insideH w:val="single" w:sz="0" w:color="FFFFFF"/>
        <w:insideV w:val="single" w:sz="0" w:color="FFFFFF"/>
      </w:tblBorders>
    </w:tblPr>
    <w:tblGrid>
      <w:gridCol w:w="6480"/>
      <w:gridCol w:w="3744"/>
    </w:tblGrid>
    <w:tr>
      <w:tc>
        <w:tcPr>
          <w:tcW w:type="dxa" w:w="5112"/>
        </w:tcPr>
        <w:p>
          <w:r>
            <w:rPr>
              <w:rFonts w:ascii="Arial" w:hAnsi="Arial"/>
              <w:color w:val="CC002B"/>
              <w:sz w:val="18"/>
            </w:rPr>
            <w:t>HERDER ELEKTRONISCHE SYSTEMEN</w:t>
          </w:r>
        </w:p>
      </w:tc>
      <w:tc>
        <w:tcPr>
          <w:tcW w:type="dxa" w:w="5112"/>
        </w:tcPr>
        <w:p>
          <w:pPr>
            <w:jc w:val="right"/>
          </w:pPr>
          <w:r>
            <w:rPr>
              <w:rFonts w:ascii="Arial" w:hAnsi="Arial"/>
              <w:sz w:val="20"/>
            </w:rPr>
            <w:t>ENGINEERING REPORT  |</w:t>
            <w:br/>
            <w:t>REV 1.6</w:t>
          </w:r>
        </w:p>
      </w:tc>
    </w:tr>
  </w:tbl>
  <w:p>
    <w:pPr>
      <w:pBdr>
        <w:bottom w:val="single" w:sz="10" w:color="CC00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CC00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CC00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FF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1.7</cp:version>
</cp:coreProperties>
</file>