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0" w:color="CC002B"/>
          <w:start w:val="single" w:sz="0" w:color="CC002B"/>
          <w:bottom w:val="single" w:sz="0" w:color="CC002B"/>
          <w:end w:val="single" w:sz="0" w:color="CC002B"/>
          <w:insideH w:val="single" w:sz="0" w:color="CC002B"/>
          <w:insideV w:val="single" w:sz="0" w:color="CC002B"/>
        </w:tblBorders>
      </w:tblPr>
      <w:tblGrid>
        <w:gridCol w:w="10224"/>
      </w:tblGrid>
      <w:tr>
        <w:tc>
          <w:tcPr>
            <w:tcW w:type="dxa" w:w="10224"/>
            <w:shd w:fill="CC002B"/>
            <w:tcMar>
              <w:top w:w="360" w:type="dxa"/>
              <w:start w:w="300" w:type="dxa"/>
              <w:bottom w:w="260" w:type="dxa"/>
              <w:end w:w="300" w:type="dxa"/>
            </w:tcMar>
          </w:tcPr>
          <w:p>
            <w:r>
              <w:rPr>
                <w:rFonts w:ascii="Arial" w:hAnsi="Arial"/>
                <w:b/>
                <w:color w:val="FFFFFF"/>
                <w:sz w:val="54"/>
              </w:rPr>
              <w:t>DUAL-MOTOR PMSM</w:t>
              <w:br/>
              <w:t>DYNAMOMETER PLATFORM</w:t>
            </w:r>
          </w:p>
          <w:p>
            <w:r>
              <w:rPr>
                <w:rFonts w:ascii="Arial" w:hAnsi="Arial"/>
                <w:b/>
                <w:color w:val="FFFFFF"/>
                <w:sz w:val="40"/>
              </w:rPr>
              <w:t>EMBEDDED CONTROL &amp;</w:t>
              <w:br/>
              <w:t>CHARACTERIZATION</w:t>
            </w:r>
          </w:p>
          <w:p>
            <w:r>
              <w:rPr>
                <w:rFonts w:ascii="Arial" w:hAnsi="Arial"/>
                <w:b/>
                <w:color w:val="FFFFFF"/>
                <w:sz w:val="24"/>
              </w:rPr>
              <w:t>C2000/Simulink architecture, custom ADC firmware, CAN, host software, and measured results</w:t>
            </w:r>
          </w:p>
          <w:p>
            <w:r>
              <w:rPr>
                <w:rFonts w:ascii="Arial" w:hAnsi="Arial"/>
                <w:color w:val="FFFFFF"/>
                <w:sz w:val="21"/>
              </w:rPr>
              <w:t>Customer-facing technical report</w:t>
              <w:br/>
              <w:t>Revision 1.7 - 5 August 2026</w:t>
            </w:r>
          </w:p>
        </w:tc>
      </w:tr>
    </w:tbl>
    <w:tbl>
      <w:tblPr>
        <w:tblW w:type="auto" w:w="0"/>
        <w:jc w:val="center"/>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2736"/>
        <w:gridCol w:w="7488"/>
      </w:tblGrid>
      <w:tr>
        <w:trPr>
          <w:cantSplit/>
        </w:trPr>
        <w:tc>
          <w:tcPr>
            <w:tcW w:type="dxa" w:w="5112"/>
            <w:shd w:fill="222222"/>
            <w:tcMar>
              <w:top w:w="90" w:type="dxa"/>
              <w:start w:w="100" w:type="dxa"/>
              <w:bottom w:w="90" w:type="dxa"/>
              <w:end w:w="100" w:type="dxa"/>
            </w:tcMar>
          </w:tcPr>
          <w:p>
            <w:r>
              <w:rPr>
                <w:rFonts w:ascii="Arial" w:hAnsi="Arial"/>
                <w:b/>
                <w:color w:val="FFFFFF"/>
                <w:sz w:val="18"/>
              </w:rPr>
              <w:t>Prepared by</w:t>
            </w:r>
          </w:p>
        </w:tc>
        <w:tc>
          <w:tcPr>
            <w:tcW w:type="dxa" w:w="5112"/>
            <w:shd w:fill="F1F2F4"/>
            <w:tcMar>
              <w:top w:w="90" w:type="dxa"/>
              <w:start w:w="100" w:type="dxa"/>
              <w:bottom w:w="90" w:type="dxa"/>
              <w:end w:w="100" w:type="dxa"/>
            </w:tcMar>
          </w:tcPr>
          <w:p>
            <w:r>
              <w:rPr>
                <w:rFonts w:ascii="Arial" w:hAnsi="Arial"/>
                <w:sz w:val="18"/>
              </w:rPr>
              <w:t>Herder Elektronische Systemen</w:t>
            </w:r>
          </w:p>
        </w:tc>
      </w:tr>
      <w:tr>
        <w:trPr>
          <w:cantSplit/>
        </w:trPr>
        <w:tc>
          <w:tcPr>
            <w:tcW w:type="dxa" w:w="5112"/>
            <w:shd w:fill="222222"/>
            <w:tcMar>
              <w:top w:w="90" w:type="dxa"/>
              <w:start w:w="100" w:type="dxa"/>
              <w:bottom w:w="90" w:type="dxa"/>
              <w:end w:w="100" w:type="dxa"/>
            </w:tcMar>
          </w:tcPr>
          <w:p>
            <w:r>
              <w:rPr>
                <w:rFonts w:ascii="Arial" w:hAnsi="Arial"/>
                <w:b/>
                <w:color w:val="FFFFFF"/>
                <w:sz w:val="18"/>
              </w:rPr>
              <w:t>Primary subject</w:t>
            </w:r>
          </w:p>
        </w:tc>
        <w:tc>
          <w:tcPr>
            <w:tcW w:type="dxa" w:w="5112"/>
            <w:shd w:fill="F1F2F4"/>
            <w:tcMar>
              <w:top w:w="90" w:type="dxa"/>
              <w:start w:w="100" w:type="dxa"/>
              <w:bottom w:w="90" w:type="dxa"/>
              <w:end w:w="100" w:type="dxa"/>
            </w:tcMar>
          </w:tcPr>
          <w:p>
            <w:r>
              <w:rPr>
                <w:rFonts w:ascii="Arial" w:hAnsi="Arial"/>
                <w:sz w:val="18"/>
              </w:rPr>
              <w:t>Implementation architecture, source inventory, acquisition workflow, and characterization results</w:t>
            </w:r>
          </w:p>
        </w:tc>
      </w:tr>
      <w:tr>
        <w:trPr>
          <w:cantSplit/>
        </w:trPr>
        <w:tc>
          <w:tcPr>
            <w:tcW w:type="dxa" w:w="5112"/>
            <w:shd w:fill="222222"/>
            <w:tcMar>
              <w:top w:w="90" w:type="dxa"/>
              <w:start w:w="100" w:type="dxa"/>
              <w:bottom w:w="90" w:type="dxa"/>
              <w:end w:w="100" w:type="dxa"/>
            </w:tcMar>
          </w:tcPr>
          <w:p>
            <w:r>
              <w:rPr>
                <w:rFonts w:ascii="Arial" w:hAnsi="Arial"/>
                <w:b/>
                <w:color w:val="FFFFFF"/>
                <w:sz w:val="18"/>
              </w:rPr>
              <w:t>Evidence basis</w:t>
            </w:r>
          </w:p>
        </w:tc>
        <w:tc>
          <w:tcPr>
            <w:tcW w:type="dxa" w:w="5112"/>
            <w:shd w:fill="F1F2F4"/>
            <w:tcMar>
              <w:top w:w="90" w:type="dxa"/>
              <w:start w:w="100" w:type="dxa"/>
              <w:bottom w:w="90" w:type="dxa"/>
              <w:end w:w="100" w:type="dxa"/>
            </w:tcMar>
          </w:tcPr>
          <w:p>
            <w:r>
              <w:rPr>
                <w:rFonts w:ascii="Arial" w:hAnsi="Arial"/>
                <w:sz w:val="18"/>
              </w:rPr>
              <w:t>Editable Simulink models, handwritten F28069M C source, MATLAB tooling, plots, and interface references</w:t>
            </w:r>
          </w:p>
        </w:tc>
      </w:tr>
      <w:tr>
        <w:trPr>
          <w:cantSplit/>
        </w:trPr>
        <w:tc>
          <w:tcPr>
            <w:tcW w:type="dxa" w:w="5112"/>
            <w:shd w:fill="222222"/>
            <w:tcMar>
              <w:top w:w="90" w:type="dxa"/>
              <w:start w:w="100" w:type="dxa"/>
              <w:bottom w:w="90" w:type="dxa"/>
              <w:end w:w="100" w:type="dxa"/>
            </w:tcMar>
          </w:tcPr>
          <w:p>
            <w:r>
              <w:rPr>
                <w:rFonts w:ascii="Arial" w:hAnsi="Arial"/>
                <w:b/>
                <w:color w:val="FFFFFF"/>
                <w:sz w:val="18"/>
              </w:rPr>
              <w:t>Distribution</w:t>
            </w:r>
          </w:p>
        </w:tc>
        <w:tc>
          <w:tcPr>
            <w:tcW w:type="dxa" w:w="5112"/>
            <w:shd w:fill="F1F2F4"/>
            <w:tcMar>
              <w:top w:w="90" w:type="dxa"/>
              <w:start w:w="100" w:type="dxa"/>
              <w:bottom w:w="90" w:type="dxa"/>
              <w:end w:w="100" w:type="dxa"/>
            </w:tcMar>
          </w:tcPr>
          <w:p>
            <w:r>
              <w:rPr>
                <w:rFonts w:ascii="Arial" w:hAnsi="Arial"/>
                <w:sz w:val="18"/>
              </w:rPr>
              <w:t>Customer-facing; selected source models, custom firmware, and engineering evidence included</w:t>
            </w:r>
          </w:p>
        </w:tc>
      </w:tr>
    </w:tbl>
    <w:tbl>
      <w:tblPr>
        <w:tblW w:type="auto" w:w="0"/>
        <w:jc w:val="center"/>
        <w:tblLook w:firstColumn="1" w:firstRow="1" w:lastColumn="0" w:lastRow="0" w:noHBand="0" w:noVBand="1" w:val="04A0"/>
        <w:tblBorders>
          <w:top w:val="single" w:sz="0" w:color="F4F4F4"/>
          <w:start w:val="single" w:sz="0" w:color="F4F4F4"/>
          <w:bottom w:val="single" w:sz="0" w:color="F4F4F4"/>
          <w:end w:val="single" w:sz="0" w:color="F4F4F4"/>
          <w:insideH w:val="single" w:sz="0" w:color="F4F4F4"/>
          <w:insideV w:val="single" w:sz="0" w:color="F4F4F4"/>
        </w:tblBorders>
      </w:tblPr>
      <w:tblGrid>
        <w:gridCol w:w="10224"/>
      </w:tblGrid>
      <w:tr>
        <w:tc>
          <w:tcPr>
            <w:tcW w:type="dxa" w:w="10224"/>
            <w:shd w:fill="F4F4F4"/>
            <w:tcMar>
              <w:top w:w="150" w:type="dxa"/>
              <w:start w:w="150" w:type="dxa"/>
              <w:bottom w:w="150" w:type="dxa"/>
              <w:end w:w="150" w:type="dxa"/>
            </w:tcMar>
          </w:tcPr>
          <w:p>
            <w:r>
              <w:rPr>
                <w:rFonts w:ascii="Arial" w:hAnsi="Arial"/>
                <w:b/>
                <w:color w:val="CC002B"/>
                <w:sz w:val="18"/>
              </w:rPr>
              <w:t>DOCUMENT PURPOSE</w:t>
            </w:r>
          </w:p>
          <w:p>
            <w:r>
              <w:rPr>
                <w:rFonts w:ascii="Arial" w:hAnsi="Arial"/>
                <w:sz w:val="19"/>
              </w:rPr>
              <w:t>This report explains how the platform was implemented and what the retained engineering evidence demonstrates. It intentionally references the FRD for requirement definitions rather than repeating requirement tables, release gates, or system-boundary language.</w:t>
            </w:r>
          </w:p>
        </w:tc>
      </w:tr>
    </w:tbl>
    <w:p>
      <w:r>
        <w:br w:type="page"/>
      </w:r>
    </w:p>
    <w:p>
      <w:pPr>
        <w:pStyle w:val="Heading1"/>
      </w:pPr>
      <w:r>
        <w:t>1. Engineering Overview</w:t>
      </w:r>
    </w:p>
    <w:p>
      <w:pPr>
        <w:spacing w:after="100" w:line="259" w:lineRule="auto"/>
      </w:pPr>
      <w:r>
        <w:t>The implementation combines model-based embedded control with a small, clearly identified handwritten peripheral layer. Editable Simulink models define the real-time dual-motor application, CAN interfaces, current-control subsystem, and supervisory hosts. A custom C source file extends the F28069M ADC configuration for additional simultaneous measurements. MATLAB utilities configure tests, capture sessions, and process the retained efficiency evidence.</w:t>
      </w:r>
    </w:p>
    <w:tbl>
      <w:tblPr>
        <w:tblW w:type="auto" w:w="0"/>
        <w:jc w:val="center"/>
        <w:tblLook w:firstColumn="1" w:firstRow="1" w:lastColumn="0" w:lastRow="0" w:noHBand="0" w:noVBand="1" w:val="04A0"/>
        <w:tblBorders>
          <w:top w:val="single" w:sz="4" w:color="D7D7D7"/>
          <w:start w:val="single" w:sz="4" w:color="D7D7D7"/>
          <w:bottom w:val="single" w:sz="4" w:color="D7D7D7"/>
          <w:end w:val="single" w:sz="4" w:color="D7D7D7"/>
          <w:insideH w:val="single" w:sz="4" w:color="D7D7D7"/>
          <w:insideV w:val="single" w:sz="4" w:color="D7D7D7"/>
        </w:tblBorders>
      </w:tblPr>
      <w:tblGrid>
        <w:gridCol w:w="10224"/>
      </w:tblGrid>
      <w:tr>
        <w:tc>
          <w:tcPr>
            <w:tcW w:type="dxa" w:w="10224"/>
            <w:shd w:fill="F4F4F4"/>
            <w:tcMar>
              <w:top w:w="130" w:type="dxa"/>
              <w:start w:w="150" w:type="dxa"/>
              <w:bottom w:w="130" w:type="dxa"/>
              <w:end w:w="150" w:type="dxa"/>
            </w:tcMar>
          </w:tcPr>
          <w:p>
            <w:r>
              <w:rPr>
                <w:b/>
                <w:color w:val="CC002B"/>
                <w:sz w:val="18"/>
              </w:rPr>
              <w:t>COMPANION RELATIONSHIP</w:t>
            </w:r>
          </w:p>
          <w:p>
            <w:pPr>
              <w:spacing w:after="0"/>
            </w:pPr>
            <w:r>
              <w:t>Requirement IDs and verification status are controlled by the FRD. This report supplies implementation detail and evidence interpretation only.</w:t>
            </w:r>
          </w:p>
        </w:tc>
      </w:tr>
    </w:tbl>
    <w:p>
      <w:pPr>
        <w:pStyle w:val="Heading1"/>
      </w:pPr>
      <w:r>
        <w:t>2. Repository Source Inventory</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1800"/>
        <w:gridCol w:w="4464"/>
        <w:gridCol w:w="3672"/>
      </w:tblGrid>
      <w:tr>
        <w:trPr>
          <w:tblHeader w:val="true"/>
        </w:trPr>
        <w:tc>
          <w:tcPr>
            <w:tcW w:type="dxa" w:w="3408"/>
            <w:shd w:fill="222222"/>
            <w:tcMar>
              <w:top w:w="90" w:type="dxa"/>
              <w:start w:w="100" w:type="dxa"/>
              <w:bottom w:w="90" w:type="dxa"/>
              <w:end w:w="100" w:type="dxa"/>
            </w:tcMar>
          </w:tcPr>
          <w:p>
            <w:r>
              <w:rPr>
                <w:rFonts w:ascii="Arial" w:hAnsi="Arial"/>
                <w:b/>
                <w:color w:val="FFFFFF"/>
                <w:sz w:val="16"/>
              </w:rPr>
              <w:t>Layer</w:t>
            </w:r>
          </w:p>
        </w:tc>
        <w:tc>
          <w:tcPr>
            <w:tcW w:type="dxa" w:w="3408"/>
            <w:shd w:fill="222222"/>
            <w:tcMar>
              <w:top w:w="90" w:type="dxa"/>
              <w:start w:w="100" w:type="dxa"/>
              <w:bottom w:w="90" w:type="dxa"/>
              <w:end w:w="100" w:type="dxa"/>
            </w:tcMar>
          </w:tcPr>
          <w:p>
            <w:r>
              <w:rPr>
                <w:rFonts w:ascii="Arial" w:hAnsi="Arial"/>
                <w:b/>
                <w:color w:val="FFFFFF"/>
                <w:sz w:val="16"/>
              </w:rPr>
              <w:t>Public path</w:t>
            </w:r>
          </w:p>
        </w:tc>
        <w:tc>
          <w:tcPr>
            <w:tcW w:type="dxa" w:w="3408"/>
            <w:shd w:fill="222222"/>
            <w:tcMar>
              <w:top w:w="90" w:type="dxa"/>
              <w:start w:w="100" w:type="dxa"/>
              <w:bottom w:w="90" w:type="dxa"/>
              <w:end w:w="100" w:type="dxa"/>
            </w:tcMar>
          </w:tcPr>
          <w:p>
            <w:r>
              <w:rPr>
                <w:rFonts w:ascii="Arial" w:hAnsi="Arial"/>
                <w:b/>
                <w:color w:val="FFFFFF"/>
                <w:sz w:val="16"/>
              </w:rPr>
              <w:t>Purpose</w:t>
            </w:r>
          </w:p>
        </w:tc>
      </w:tr>
      <w:tr>
        <w:trPr>
          <w:cantSplit/>
        </w:trPr>
        <w:tc>
          <w:tcPr>
            <w:tcW w:type="dxa" w:w="1800"/>
            <w:tcMar>
              <w:top w:w="90" w:type="dxa"/>
              <w:start w:w="100" w:type="dxa"/>
              <w:bottom w:w="90" w:type="dxa"/>
              <w:end w:w="100" w:type="dxa"/>
            </w:tcMar>
            <w:vAlign w:val="center"/>
          </w:tcPr>
          <w:p>
            <w:r>
              <w:rPr>
                <w:rFonts w:ascii="Arial" w:hAnsi="Arial"/>
                <w:sz w:val="16"/>
              </w:rPr>
              <w:t>Target application</w:t>
            </w:r>
          </w:p>
        </w:tc>
        <w:tc>
          <w:tcPr>
            <w:tcW w:type="dxa" w:w="4464"/>
            <w:tcMar>
              <w:top w:w="90" w:type="dxa"/>
              <w:start w:w="100" w:type="dxa"/>
              <w:bottom w:w="90" w:type="dxa"/>
              <w:end w:w="100" w:type="dxa"/>
            </w:tcMar>
            <w:vAlign w:val="center"/>
          </w:tcPr>
          <w:p>
            <w:r>
              <w:rPr>
                <w:rFonts w:ascii="Arial" w:hAnsi="Arial"/>
                <w:sz w:val="16"/>
              </w:rPr>
              <w:t>models/simulink/target/C2000_Dual_Motor_CAN_Target.slx</w:t>
            </w:r>
          </w:p>
        </w:tc>
        <w:tc>
          <w:tcPr>
            <w:tcW w:type="dxa" w:w="3672"/>
            <w:tcMar>
              <w:top w:w="90" w:type="dxa"/>
              <w:start w:w="100" w:type="dxa"/>
              <w:bottom w:w="90" w:type="dxa"/>
              <w:end w:w="100" w:type="dxa"/>
            </w:tcMar>
            <w:vAlign w:val="center"/>
          </w:tcPr>
          <w:p>
            <w:r>
              <w:rPr>
                <w:rFonts w:ascii="Arial" w:hAnsi="Arial"/>
                <w:sz w:val="16"/>
              </w:rPr>
              <w:t>Editable real-time application model</w:t>
            </w:r>
          </w:p>
        </w:tc>
      </w:tr>
      <w:tr>
        <w:trPr>
          <w:cantSplit/>
        </w:trPr>
        <w:tc>
          <w:tcPr>
            <w:tcW w:type="dxa" w:w="1800"/>
            <w:tcMar>
              <w:top w:w="90" w:type="dxa"/>
              <w:start w:w="100" w:type="dxa"/>
              <w:bottom w:w="90" w:type="dxa"/>
              <w:end w:w="100" w:type="dxa"/>
            </w:tcMar>
            <w:vAlign w:val="center"/>
          </w:tcPr>
          <w:p>
            <w:r>
              <w:rPr>
                <w:rFonts w:ascii="Arial" w:hAnsi="Arial"/>
                <w:sz w:val="16"/>
              </w:rPr>
              <w:t>Host models</w:t>
            </w:r>
          </w:p>
        </w:tc>
        <w:tc>
          <w:tcPr>
            <w:tcW w:type="dxa" w:w="4464"/>
            <w:tcMar>
              <w:top w:w="90" w:type="dxa"/>
              <w:start w:w="100" w:type="dxa"/>
              <w:bottom w:w="90" w:type="dxa"/>
              <w:end w:w="100" w:type="dxa"/>
            </w:tcMar>
            <w:vAlign w:val="center"/>
          </w:tcPr>
          <w:p>
            <w:r>
              <w:rPr>
                <w:rFonts w:ascii="Arial" w:hAnsi="Arial"/>
                <w:sz w:val="16"/>
              </w:rPr>
              <w:t>models/simulink/host/*.slx</w:t>
            </w:r>
          </w:p>
        </w:tc>
        <w:tc>
          <w:tcPr>
            <w:tcW w:type="dxa" w:w="3672"/>
            <w:tcMar>
              <w:top w:w="90" w:type="dxa"/>
              <w:start w:w="100" w:type="dxa"/>
              <w:bottom w:w="90" w:type="dxa"/>
              <w:end w:w="100" w:type="dxa"/>
            </w:tcMar>
            <w:vAlign w:val="center"/>
          </w:tcPr>
          <w:p>
            <w:r>
              <w:rPr>
                <w:rFonts w:ascii="Arial" w:hAnsi="Arial"/>
                <w:sz w:val="16"/>
              </w:rPr>
              <w:t>Efficiency, drive-cycle, and Speedgoat/CAN supervision</w:t>
            </w:r>
          </w:p>
        </w:tc>
      </w:tr>
      <w:tr>
        <w:trPr>
          <w:cantSplit/>
        </w:trPr>
        <w:tc>
          <w:tcPr>
            <w:tcW w:type="dxa" w:w="1800"/>
            <w:tcMar>
              <w:top w:w="90" w:type="dxa"/>
              <w:start w:w="100" w:type="dxa"/>
              <w:bottom w:w="90" w:type="dxa"/>
              <w:end w:w="100" w:type="dxa"/>
            </w:tcMar>
            <w:vAlign w:val="center"/>
          </w:tcPr>
          <w:p>
            <w:r>
              <w:rPr>
                <w:rFonts w:ascii="Arial" w:hAnsi="Arial"/>
                <w:sz w:val="16"/>
              </w:rPr>
              <w:t>Subsystem models</w:t>
            </w:r>
          </w:p>
        </w:tc>
        <w:tc>
          <w:tcPr>
            <w:tcW w:type="dxa" w:w="4464"/>
            <w:tcMar>
              <w:top w:w="90" w:type="dxa"/>
              <w:start w:w="100" w:type="dxa"/>
              <w:bottom w:w="90" w:type="dxa"/>
              <w:end w:w="100" w:type="dxa"/>
            </w:tcMar>
            <w:vAlign w:val="center"/>
          </w:tcPr>
          <w:p>
            <w:r>
              <w:rPr>
                <w:rFonts w:ascii="Arial" w:hAnsi="Arial"/>
                <w:sz w:val="16"/>
              </w:rPr>
              <w:t>models/simulink/subsystems/*.slx</w:t>
            </w:r>
          </w:p>
        </w:tc>
        <w:tc>
          <w:tcPr>
            <w:tcW w:type="dxa" w:w="3672"/>
            <w:tcMar>
              <w:top w:w="90" w:type="dxa"/>
              <w:start w:w="100" w:type="dxa"/>
              <w:bottom w:w="90" w:type="dxa"/>
              <w:end w:w="100" w:type="dxa"/>
            </w:tcMar>
            <w:vAlign w:val="center"/>
          </w:tcPr>
          <w:p>
            <w:r>
              <w:rPr>
                <w:rFonts w:ascii="Arial" w:hAnsi="Arial"/>
                <w:sz w:val="16"/>
              </w:rPr>
              <w:t>CAN receive, CAN transmit, and current control</w:t>
            </w:r>
          </w:p>
        </w:tc>
      </w:tr>
      <w:tr>
        <w:trPr>
          <w:cantSplit/>
        </w:trPr>
        <w:tc>
          <w:tcPr>
            <w:tcW w:type="dxa" w:w="1800"/>
            <w:tcMar>
              <w:top w:w="90" w:type="dxa"/>
              <w:start w:w="100" w:type="dxa"/>
              <w:bottom w:w="90" w:type="dxa"/>
              <w:end w:w="100" w:type="dxa"/>
            </w:tcMar>
            <w:vAlign w:val="center"/>
          </w:tcPr>
          <w:p>
            <w:r>
              <w:rPr>
                <w:rFonts w:ascii="Arial" w:hAnsi="Arial"/>
                <w:sz w:val="16"/>
              </w:rPr>
              <w:t>Custom firmware</w:t>
            </w:r>
          </w:p>
        </w:tc>
        <w:tc>
          <w:tcPr>
            <w:tcW w:type="dxa" w:w="4464"/>
            <w:tcMar>
              <w:top w:w="90" w:type="dxa"/>
              <w:start w:w="100" w:type="dxa"/>
              <w:bottom w:w="90" w:type="dxa"/>
              <w:end w:w="100" w:type="dxa"/>
            </w:tcMar>
            <w:vAlign w:val="center"/>
          </w:tcPr>
          <w:p>
            <w:r>
              <w:rPr>
                <w:rFonts w:ascii="Arial" w:hAnsi="Arial"/>
                <w:sz w:val="16"/>
              </w:rPr>
              <w:t>embedded-control/custom-firmware/F28069M_ADC_Custom_Config.c</w:t>
            </w:r>
          </w:p>
        </w:tc>
        <w:tc>
          <w:tcPr>
            <w:tcW w:type="dxa" w:w="3672"/>
            <w:tcMar>
              <w:top w:w="90" w:type="dxa"/>
              <w:start w:w="100" w:type="dxa"/>
              <w:bottom w:w="90" w:type="dxa"/>
              <w:end w:w="100" w:type="dxa"/>
            </w:tcMar>
            <w:vAlign w:val="center"/>
          </w:tcPr>
          <w:p>
            <w:r>
              <w:rPr>
                <w:rFonts w:ascii="Arial" w:hAnsi="Arial"/>
                <w:sz w:val="16"/>
              </w:rPr>
              <w:t>Handwritten register-level ADC configuration</w:t>
            </w:r>
          </w:p>
        </w:tc>
      </w:tr>
      <w:tr>
        <w:trPr>
          <w:cantSplit/>
        </w:trPr>
        <w:tc>
          <w:tcPr>
            <w:tcW w:type="dxa" w:w="1800"/>
            <w:tcMar>
              <w:top w:w="90" w:type="dxa"/>
              <w:start w:w="100" w:type="dxa"/>
              <w:bottom w:w="90" w:type="dxa"/>
              <w:end w:w="100" w:type="dxa"/>
            </w:tcMar>
            <w:vAlign w:val="center"/>
          </w:tcPr>
          <w:p>
            <w:r>
              <w:rPr>
                <w:rFonts w:ascii="Arial" w:hAnsi="Arial"/>
                <w:sz w:val="16"/>
              </w:rPr>
              <w:t>MATLAB tooling</w:t>
            </w:r>
          </w:p>
        </w:tc>
        <w:tc>
          <w:tcPr>
            <w:tcW w:type="dxa" w:w="4464"/>
            <w:tcMar>
              <w:top w:w="90" w:type="dxa"/>
              <w:start w:w="100" w:type="dxa"/>
              <w:bottom w:w="90" w:type="dxa"/>
              <w:end w:w="100" w:type="dxa"/>
            </w:tcMar>
            <w:vAlign w:val="center"/>
          </w:tcPr>
          <w:p>
            <w:r>
              <w:rPr>
                <w:rFonts w:ascii="Arial" w:hAnsi="Arial"/>
                <w:sz w:val="16"/>
              </w:rPr>
              <w:t>host-software/setup, logging, analysis</w:t>
            </w:r>
          </w:p>
        </w:tc>
        <w:tc>
          <w:tcPr>
            <w:tcW w:type="dxa" w:w="3672"/>
            <w:tcMar>
              <w:top w:w="90" w:type="dxa"/>
              <w:start w:w="100" w:type="dxa"/>
              <w:bottom w:w="90" w:type="dxa"/>
              <w:end w:w="100" w:type="dxa"/>
            </w:tcMar>
            <w:vAlign w:val="center"/>
          </w:tcPr>
          <w:p>
            <w:r>
              <w:rPr>
                <w:rFonts w:ascii="Arial" w:hAnsi="Arial"/>
                <w:sz w:val="16"/>
              </w:rPr>
              <w:t>Configuration, capture, export, plotting, and processing</w:t>
            </w:r>
          </w:p>
        </w:tc>
      </w:tr>
      <w:tr>
        <w:trPr>
          <w:cantSplit/>
        </w:trPr>
        <w:tc>
          <w:tcPr>
            <w:tcW w:type="dxa" w:w="1800"/>
            <w:tcMar>
              <w:top w:w="90" w:type="dxa"/>
              <w:start w:w="100" w:type="dxa"/>
              <w:bottom w:w="90" w:type="dxa"/>
              <w:end w:w="100" w:type="dxa"/>
            </w:tcMar>
            <w:vAlign w:val="center"/>
          </w:tcPr>
          <w:p>
            <w:r>
              <w:rPr>
                <w:rFonts w:ascii="Arial" w:hAnsi="Arial"/>
                <w:sz w:val="16"/>
              </w:rPr>
              <w:t>Evidence</w:t>
            </w:r>
          </w:p>
        </w:tc>
        <w:tc>
          <w:tcPr>
            <w:tcW w:type="dxa" w:w="4464"/>
            <w:tcMar>
              <w:top w:w="90" w:type="dxa"/>
              <w:start w:w="100" w:type="dxa"/>
              <w:bottom w:w="90" w:type="dxa"/>
              <w:end w:w="100" w:type="dxa"/>
            </w:tcMar>
            <w:vAlign w:val="center"/>
          </w:tcPr>
          <w:p>
            <w:r>
              <w:rPr>
                <w:rFonts w:ascii="Arial" w:hAnsi="Arial"/>
                <w:sz w:val="16"/>
              </w:rPr>
              <w:t>results/*.png</w:t>
            </w:r>
          </w:p>
        </w:tc>
        <w:tc>
          <w:tcPr>
            <w:tcW w:type="dxa" w:w="3672"/>
            <w:tcMar>
              <w:top w:w="90" w:type="dxa"/>
              <w:start w:w="100" w:type="dxa"/>
              <w:bottom w:w="90" w:type="dxa"/>
              <w:end w:w="100" w:type="dxa"/>
            </w:tcMar>
            <w:vAlign w:val="center"/>
          </w:tcPr>
          <w:p>
            <w:r>
              <w:rPr>
                <w:rFonts w:ascii="Arial" w:hAnsi="Arial"/>
                <w:sz w:val="16"/>
              </w:rPr>
              <w:t>Raw signals, filters, measured bins, density, and contours</w:t>
            </w:r>
          </w:p>
        </w:tc>
      </w:tr>
    </w:tbl>
    <w:p>
      <w:pPr>
        <w:spacing w:after="20"/>
      </w:pPr>
    </w:p>
    <w:p>
      <w:pPr>
        <w:pStyle w:val="Heading1"/>
      </w:pPr>
      <w:r>
        <w:t>3. Embedded Control Architecture</w:t>
      </w:r>
    </w:p>
    <w:p>
      <w:pPr>
        <w:keepNext/>
        <w:jc w:val="center"/>
      </w:pPr>
      <w:r>
        <w:drawing>
          <wp:inline xmlns:a="http://schemas.openxmlformats.org/drawingml/2006/main" xmlns:pic="http://schemas.openxmlformats.org/drawingml/2006/picture">
            <wp:extent cx="6035040" cy="2782824"/>
            <wp:docPr id="1" name="Picture 1"/>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6035040" cy="2782824"/>
                    </a:xfrm>
                    <a:prstGeom prst="rect"/>
                  </pic:spPr>
                </pic:pic>
              </a:graphicData>
            </a:graphic>
          </wp:inline>
        </w:drawing>
      </w:r>
    </w:p>
    <w:p>
      <w:pPr>
        <w:spacing w:after="160"/>
        <w:jc w:val="center"/>
      </w:pPr>
      <w:r>
        <w:rPr>
          <w:rFonts w:ascii="Arial" w:hAnsi="Arial"/>
          <w:i/>
          <w:color w:val="666666"/>
          <w:sz w:val="17"/>
        </w:rPr>
        <w:t>Figure 1. Control and telemetry architecture used by the public implementation.</w:t>
      </w:r>
    </w:p>
    <w:p>
      <w:pPr>
        <w:spacing w:after="100" w:line="259" w:lineRule="auto"/>
      </w:pPr>
      <w:r>
        <w:t>The C2000 target owns the high-rate field-oriented control loops and machine feedback. The host supplies supervisory references and test sequencing but does not act as the current-loop or speed-loop scheduler. Motor 1 operates as the drive machine. Motor 2 applies opposing or assisting q-axis current to create a controllable load condition.</w:t>
      </w:r>
    </w:p>
    <w:p>
      <w:pPr>
        <w:pStyle w:val="Heading2"/>
      </w:pPr>
      <w:r>
        <w:t>3.1 Simulink model roles</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3672"/>
        <w:gridCol w:w="6264"/>
      </w:tblGrid>
      <w:tr>
        <w:trPr>
          <w:tblHeader w:val="true"/>
        </w:trPr>
        <w:tc>
          <w:tcPr>
            <w:tcW w:type="dxa" w:w="5112"/>
            <w:shd w:fill="222222"/>
            <w:tcMar>
              <w:top w:w="90" w:type="dxa"/>
              <w:start w:w="100" w:type="dxa"/>
              <w:bottom w:w="90" w:type="dxa"/>
              <w:end w:w="100" w:type="dxa"/>
            </w:tcMar>
          </w:tcPr>
          <w:p>
            <w:r>
              <w:rPr>
                <w:rFonts w:ascii="Arial" w:hAnsi="Arial"/>
                <w:b/>
                <w:color w:val="FFFFFF"/>
                <w:sz w:val="17"/>
              </w:rPr>
              <w:t>Model</w:t>
            </w:r>
          </w:p>
        </w:tc>
        <w:tc>
          <w:tcPr>
            <w:tcW w:type="dxa" w:w="5112"/>
            <w:shd w:fill="222222"/>
            <w:tcMar>
              <w:top w:w="90" w:type="dxa"/>
              <w:start w:w="100" w:type="dxa"/>
              <w:bottom w:w="90" w:type="dxa"/>
              <w:end w:w="100" w:type="dxa"/>
            </w:tcMar>
          </w:tcPr>
          <w:p>
            <w:r>
              <w:rPr>
                <w:rFonts w:ascii="Arial" w:hAnsi="Arial"/>
                <w:b/>
                <w:color w:val="FFFFFF"/>
                <w:sz w:val="17"/>
              </w:rPr>
              <w:t>Engineering role</w:t>
            </w:r>
          </w:p>
        </w:tc>
      </w:tr>
      <w:tr>
        <w:trPr>
          <w:cantSplit/>
        </w:trPr>
        <w:tc>
          <w:tcPr>
            <w:tcW w:type="dxa" w:w="3672"/>
            <w:tcMar>
              <w:top w:w="90" w:type="dxa"/>
              <w:start w:w="100" w:type="dxa"/>
              <w:bottom w:w="90" w:type="dxa"/>
              <w:end w:w="100" w:type="dxa"/>
            </w:tcMar>
            <w:vAlign w:val="center"/>
          </w:tcPr>
          <w:p>
            <w:r>
              <w:rPr>
                <w:rFonts w:ascii="Arial" w:hAnsi="Arial"/>
                <w:sz w:val="17"/>
              </w:rPr>
              <w:t>C2000_Dual_Motor_CAN_Target.slx</w:t>
            </w:r>
          </w:p>
        </w:tc>
        <w:tc>
          <w:tcPr>
            <w:tcW w:type="dxa" w:w="6264"/>
            <w:tcMar>
              <w:top w:w="90" w:type="dxa"/>
              <w:start w:w="100" w:type="dxa"/>
              <w:bottom w:w="90" w:type="dxa"/>
              <w:end w:w="100" w:type="dxa"/>
            </w:tcMar>
            <w:vAlign w:val="center"/>
          </w:tcPr>
          <w:p>
            <w:r>
              <w:rPr>
                <w:rFonts w:ascii="Arial" w:hAnsi="Arial"/>
                <w:sz w:val="17"/>
              </w:rPr>
              <w:t>Integrated C2000 target model containing dual-machine control, feedback, CAN paths, and deployable target logic.</w:t>
            </w:r>
          </w:p>
        </w:tc>
      </w:tr>
      <w:tr>
        <w:trPr>
          <w:cantSplit/>
        </w:trPr>
        <w:tc>
          <w:tcPr>
            <w:tcW w:type="dxa" w:w="3672"/>
            <w:tcMar>
              <w:top w:w="90" w:type="dxa"/>
              <w:start w:w="100" w:type="dxa"/>
              <w:bottom w:w="90" w:type="dxa"/>
              <w:end w:w="100" w:type="dxa"/>
            </w:tcMar>
            <w:vAlign w:val="center"/>
          </w:tcPr>
          <w:p>
            <w:r>
              <w:rPr>
                <w:rFonts w:ascii="Arial" w:hAnsi="Arial"/>
                <w:sz w:val="17"/>
              </w:rPr>
              <w:t>Current_Control.slx</w:t>
            </w:r>
          </w:p>
        </w:tc>
        <w:tc>
          <w:tcPr>
            <w:tcW w:type="dxa" w:w="6264"/>
            <w:tcMar>
              <w:top w:w="90" w:type="dxa"/>
              <w:start w:w="100" w:type="dxa"/>
              <w:bottom w:w="90" w:type="dxa"/>
              <w:end w:w="100" w:type="dxa"/>
            </w:tcMar>
            <w:vAlign w:val="center"/>
          </w:tcPr>
          <w:p>
            <w:r>
              <w:rPr>
                <w:rFonts w:ascii="Arial" w:hAnsi="Arial"/>
                <w:sz w:val="17"/>
              </w:rPr>
              <w:t>Reusable current-control implementation supporting the target FOC path.</w:t>
            </w:r>
          </w:p>
        </w:tc>
      </w:tr>
      <w:tr>
        <w:trPr>
          <w:cantSplit/>
        </w:trPr>
        <w:tc>
          <w:tcPr>
            <w:tcW w:type="dxa" w:w="3672"/>
            <w:tcMar>
              <w:top w:w="90" w:type="dxa"/>
              <w:start w:w="100" w:type="dxa"/>
              <w:bottom w:w="90" w:type="dxa"/>
              <w:end w:w="100" w:type="dxa"/>
            </w:tcMar>
            <w:vAlign w:val="center"/>
          </w:tcPr>
          <w:p>
            <w:r>
              <w:rPr>
                <w:rFonts w:ascii="Arial" w:hAnsi="Arial"/>
                <w:sz w:val="17"/>
              </w:rPr>
              <w:t>CAN_Receive.slx</w:t>
            </w:r>
          </w:p>
        </w:tc>
        <w:tc>
          <w:tcPr>
            <w:tcW w:type="dxa" w:w="6264"/>
            <w:tcMar>
              <w:top w:w="90" w:type="dxa"/>
              <w:start w:w="100" w:type="dxa"/>
              <w:bottom w:w="90" w:type="dxa"/>
              <w:end w:w="100" w:type="dxa"/>
            </w:tcMar>
            <w:vAlign w:val="center"/>
          </w:tcPr>
          <w:p>
            <w:r>
              <w:rPr>
                <w:rFonts w:ascii="Arial" w:hAnsi="Arial"/>
                <w:sz w:val="17"/>
              </w:rPr>
              <w:t>Receives and unpacks the supervisory command payload.</w:t>
            </w:r>
          </w:p>
        </w:tc>
      </w:tr>
      <w:tr>
        <w:trPr>
          <w:cantSplit/>
        </w:trPr>
        <w:tc>
          <w:tcPr>
            <w:tcW w:type="dxa" w:w="3672"/>
            <w:tcMar>
              <w:top w:w="90" w:type="dxa"/>
              <w:start w:w="100" w:type="dxa"/>
              <w:bottom w:w="90" w:type="dxa"/>
              <w:end w:w="100" w:type="dxa"/>
            </w:tcMar>
            <w:vAlign w:val="center"/>
          </w:tcPr>
          <w:p>
            <w:r>
              <w:rPr>
                <w:rFonts w:ascii="Arial" w:hAnsi="Arial"/>
                <w:sz w:val="17"/>
              </w:rPr>
              <w:t>CAN_Transmit.slx</w:t>
            </w:r>
          </w:p>
        </w:tc>
        <w:tc>
          <w:tcPr>
            <w:tcW w:type="dxa" w:w="6264"/>
            <w:tcMar>
              <w:top w:w="90" w:type="dxa"/>
              <w:start w:w="100" w:type="dxa"/>
              <w:bottom w:w="90" w:type="dxa"/>
              <w:end w:w="100" w:type="dxa"/>
            </w:tcMar>
            <w:vAlign w:val="center"/>
          </w:tcPr>
          <w:p>
            <w:r>
              <w:rPr>
                <w:rFonts w:ascii="Arial" w:hAnsi="Arial"/>
                <w:sz w:val="17"/>
              </w:rPr>
              <w:t>Returns command echo or selected telemetry for diagnostic separation.</w:t>
            </w:r>
          </w:p>
        </w:tc>
      </w:tr>
      <w:tr>
        <w:trPr>
          <w:cantSplit/>
        </w:trPr>
        <w:tc>
          <w:tcPr>
            <w:tcW w:type="dxa" w:w="3672"/>
            <w:tcMar>
              <w:top w:w="90" w:type="dxa"/>
              <w:start w:w="100" w:type="dxa"/>
              <w:bottom w:w="90" w:type="dxa"/>
              <w:end w:w="100" w:type="dxa"/>
            </w:tcMar>
            <w:vAlign w:val="center"/>
          </w:tcPr>
          <w:p>
            <w:r>
              <w:rPr>
                <w:rFonts w:ascii="Arial" w:hAnsi="Arial"/>
                <w:sz w:val="17"/>
              </w:rPr>
              <w:t>Efficiency_Mapping_Host.slx</w:t>
            </w:r>
          </w:p>
        </w:tc>
        <w:tc>
          <w:tcPr>
            <w:tcW w:type="dxa" w:w="6264"/>
            <w:tcMar>
              <w:top w:w="90" w:type="dxa"/>
              <w:start w:w="100" w:type="dxa"/>
              <w:bottom w:w="90" w:type="dxa"/>
              <w:end w:w="100" w:type="dxa"/>
            </w:tcMar>
            <w:vAlign w:val="center"/>
          </w:tcPr>
          <w:p>
            <w:r>
              <w:rPr>
                <w:rFonts w:ascii="Arial" w:hAnsi="Arial"/>
                <w:sz w:val="17"/>
              </w:rPr>
              <w:t>Commands repeatable speed/load points and supports efficiency acquisition.</w:t>
            </w:r>
          </w:p>
        </w:tc>
      </w:tr>
      <w:tr>
        <w:trPr>
          <w:cantSplit/>
        </w:trPr>
        <w:tc>
          <w:tcPr>
            <w:tcW w:type="dxa" w:w="3672"/>
            <w:tcMar>
              <w:top w:w="90" w:type="dxa"/>
              <w:start w:w="100" w:type="dxa"/>
              <w:bottom w:w="90" w:type="dxa"/>
              <w:end w:w="100" w:type="dxa"/>
            </w:tcMar>
            <w:vAlign w:val="center"/>
          </w:tcPr>
          <w:p>
            <w:r>
              <w:rPr>
                <w:rFonts w:ascii="Arial" w:hAnsi="Arial"/>
                <w:sz w:val="17"/>
              </w:rPr>
              <w:t>Drive_Cycle_Host.slx</w:t>
            </w:r>
          </w:p>
        </w:tc>
        <w:tc>
          <w:tcPr>
            <w:tcW w:type="dxa" w:w="6264"/>
            <w:tcMar>
              <w:top w:w="90" w:type="dxa"/>
              <w:start w:w="100" w:type="dxa"/>
              <w:bottom w:w="90" w:type="dxa"/>
              <w:end w:w="100" w:type="dxa"/>
            </w:tcMar>
            <w:vAlign w:val="center"/>
          </w:tcPr>
          <w:p>
            <w:r>
              <w:rPr>
                <w:rFonts w:ascii="Arial" w:hAnsi="Arial"/>
                <w:sz w:val="17"/>
              </w:rPr>
              <w:t>Runs time-varying speed and load profiles.</w:t>
            </w:r>
          </w:p>
        </w:tc>
      </w:tr>
      <w:tr>
        <w:trPr>
          <w:cantSplit/>
        </w:trPr>
        <w:tc>
          <w:tcPr>
            <w:tcW w:type="dxa" w:w="3672"/>
            <w:tcMar>
              <w:top w:w="90" w:type="dxa"/>
              <w:start w:w="100" w:type="dxa"/>
              <w:bottom w:w="90" w:type="dxa"/>
              <w:end w:w="100" w:type="dxa"/>
            </w:tcMar>
            <w:vAlign w:val="center"/>
          </w:tcPr>
          <w:p>
            <w:r>
              <w:rPr>
                <w:rFonts w:ascii="Arial" w:hAnsi="Arial"/>
                <w:sz w:val="17"/>
              </w:rPr>
              <w:t>Speedgoat_CAN_Host.slx</w:t>
            </w:r>
          </w:p>
        </w:tc>
        <w:tc>
          <w:tcPr>
            <w:tcW w:type="dxa" w:w="6264"/>
            <w:tcMar>
              <w:top w:w="90" w:type="dxa"/>
              <w:start w:w="100" w:type="dxa"/>
              <w:bottom w:w="90" w:type="dxa"/>
              <w:end w:w="100" w:type="dxa"/>
            </w:tcMar>
            <w:vAlign w:val="center"/>
          </w:tcPr>
          <w:p>
            <w:r>
              <w:rPr>
                <w:rFonts w:ascii="Arial" w:hAnsi="Arial"/>
                <w:sz w:val="17"/>
              </w:rPr>
              <w:t>Provides the real-time supervisory CAN endpoint.</w:t>
            </w:r>
          </w:p>
        </w:tc>
      </w:tr>
    </w:tbl>
    <w:p>
      <w:pPr>
        <w:spacing w:after="20"/>
      </w:pPr>
    </w:p>
    <w:p>
      <w:pPr>
        <w:pStyle w:val="Heading1"/>
      </w:pPr>
      <w:r>
        <w:t>4. Custom F28069M ADC Integration</w:t>
      </w:r>
    </w:p>
    <w:p>
      <w:pPr>
        <w:spacing w:after="100" w:line="259" w:lineRule="auto"/>
      </w:pPr>
      <w:r>
        <w:t>The public release includes handwritten source rather than only generated support code. F28069M_ADC_Custom_Config.c configures two additional simultaneous ADC pairs for the measurement path and integrates them with the target application.</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1512"/>
        <w:gridCol w:w="2088"/>
        <w:gridCol w:w="1440"/>
        <w:gridCol w:w="1944"/>
        <w:gridCol w:w="2376"/>
      </w:tblGrid>
      <w:tr>
        <w:trPr>
          <w:tblHeader w:val="true"/>
        </w:trPr>
        <w:tc>
          <w:tcPr>
            <w:tcW w:type="dxa" w:w="2045"/>
            <w:shd w:fill="222222"/>
            <w:tcMar>
              <w:top w:w="90" w:type="dxa"/>
              <w:start w:w="100" w:type="dxa"/>
              <w:bottom w:w="90" w:type="dxa"/>
              <w:end w:w="100" w:type="dxa"/>
            </w:tcMar>
          </w:tcPr>
          <w:p>
            <w:r>
              <w:rPr>
                <w:rFonts w:ascii="Arial" w:hAnsi="Arial"/>
                <w:b/>
                <w:color w:val="FFFFFF"/>
                <w:sz w:val="16"/>
              </w:rPr>
              <w:t>SOC pair</w:t>
            </w:r>
          </w:p>
        </w:tc>
        <w:tc>
          <w:tcPr>
            <w:tcW w:type="dxa" w:w="2045"/>
            <w:shd w:fill="222222"/>
            <w:tcMar>
              <w:top w:w="90" w:type="dxa"/>
              <w:start w:w="100" w:type="dxa"/>
              <w:bottom w:w="90" w:type="dxa"/>
              <w:end w:w="100" w:type="dxa"/>
            </w:tcMar>
          </w:tcPr>
          <w:p>
            <w:r>
              <w:rPr>
                <w:rFonts w:ascii="Arial" w:hAnsi="Arial"/>
                <w:b/>
                <w:color w:val="FFFFFF"/>
                <w:sz w:val="16"/>
              </w:rPr>
              <w:t>Analog inputs</w:t>
            </w:r>
          </w:p>
        </w:tc>
        <w:tc>
          <w:tcPr>
            <w:tcW w:type="dxa" w:w="2045"/>
            <w:shd w:fill="222222"/>
            <w:tcMar>
              <w:top w:w="90" w:type="dxa"/>
              <w:start w:w="100" w:type="dxa"/>
              <w:bottom w:w="90" w:type="dxa"/>
              <w:end w:w="100" w:type="dxa"/>
            </w:tcMar>
          </w:tcPr>
          <w:p>
            <w:r>
              <w:rPr>
                <w:rFonts w:ascii="Arial" w:hAnsi="Arial"/>
                <w:b/>
                <w:color w:val="FFFFFF"/>
                <w:sz w:val="16"/>
              </w:rPr>
              <w:t>Trigger</w:t>
            </w:r>
          </w:p>
        </w:tc>
        <w:tc>
          <w:tcPr>
            <w:tcW w:type="dxa" w:w="2045"/>
            <w:shd w:fill="222222"/>
            <w:tcMar>
              <w:top w:w="90" w:type="dxa"/>
              <w:start w:w="100" w:type="dxa"/>
              <w:bottom w:w="90" w:type="dxa"/>
              <w:end w:w="100" w:type="dxa"/>
            </w:tcMar>
          </w:tcPr>
          <w:p>
            <w:r>
              <w:rPr>
                <w:rFonts w:ascii="Arial" w:hAnsi="Arial"/>
                <w:b/>
                <w:color w:val="FFFFFF"/>
                <w:sz w:val="16"/>
              </w:rPr>
              <w:t>Acquisition window</w:t>
            </w:r>
          </w:p>
        </w:tc>
        <w:tc>
          <w:tcPr>
            <w:tcW w:type="dxa" w:w="2045"/>
            <w:shd w:fill="222222"/>
            <w:tcMar>
              <w:top w:w="90" w:type="dxa"/>
              <w:start w:w="100" w:type="dxa"/>
              <w:bottom w:w="90" w:type="dxa"/>
              <w:end w:w="100" w:type="dxa"/>
            </w:tcMar>
          </w:tcPr>
          <w:p>
            <w:r>
              <w:rPr>
                <w:rFonts w:ascii="Arial" w:hAnsi="Arial"/>
                <w:b/>
                <w:color w:val="FFFFFF"/>
                <w:sz w:val="16"/>
              </w:rPr>
              <w:t>Interrupt routing</w:t>
            </w:r>
          </w:p>
        </w:tc>
      </w:tr>
      <w:tr>
        <w:trPr>
          <w:cantSplit/>
        </w:trPr>
        <w:tc>
          <w:tcPr>
            <w:tcW w:type="dxa" w:w="1512"/>
            <w:tcMar>
              <w:top w:w="90" w:type="dxa"/>
              <w:start w:w="100" w:type="dxa"/>
              <w:bottom w:w="90" w:type="dxa"/>
              <w:end w:w="100" w:type="dxa"/>
            </w:tcMar>
            <w:vAlign w:val="center"/>
          </w:tcPr>
          <w:p>
            <w:r>
              <w:rPr>
                <w:rFonts w:ascii="Arial" w:hAnsi="Arial"/>
                <w:sz w:val="16"/>
              </w:rPr>
              <w:t>SOC12 / SOC13</w:t>
            </w:r>
          </w:p>
        </w:tc>
        <w:tc>
          <w:tcPr>
            <w:tcW w:type="dxa" w:w="2088"/>
            <w:tcMar>
              <w:top w:w="90" w:type="dxa"/>
              <w:start w:w="100" w:type="dxa"/>
              <w:bottom w:w="90" w:type="dxa"/>
              <w:end w:w="100" w:type="dxa"/>
            </w:tcMar>
            <w:vAlign w:val="center"/>
          </w:tcPr>
          <w:p>
            <w:r>
              <w:rPr>
                <w:rFonts w:ascii="Arial" w:hAnsi="Arial"/>
                <w:sz w:val="16"/>
              </w:rPr>
              <w:t>ADCINA2 / ADCINB2</w:t>
            </w:r>
          </w:p>
        </w:tc>
        <w:tc>
          <w:tcPr>
            <w:tcW w:type="dxa" w:w="1440"/>
            <w:tcMar>
              <w:top w:w="90" w:type="dxa"/>
              <w:start w:w="100" w:type="dxa"/>
              <w:bottom w:w="90" w:type="dxa"/>
              <w:end w:w="100" w:type="dxa"/>
            </w:tcMar>
            <w:vAlign w:val="center"/>
          </w:tcPr>
          <w:p>
            <w:r>
              <w:rPr>
                <w:rFonts w:ascii="Arial" w:hAnsi="Arial"/>
                <w:sz w:val="16"/>
              </w:rPr>
              <w:t>ePWM1</w:t>
            </w:r>
          </w:p>
        </w:tc>
        <w:tc>
          <w:tcPr>
            <w:tcW w:type="dxa" w:w="1944"/>
            <w:tcMar>
              <w:top w:w="90" w:type="dxa"/>
              <w:start w:w="100" w:type="dxa"/>
              <w:bottom w:w="90" w:type="dxa"/>
              <w:end w:w="100" w:type="dxa"/>
            </w:tcMar>
            <w:vAlign w:val="center"/>
          </w:tcPr>
          <w:p>
            <w:r>
              <w:rPr>
                <w:rFonts w:ascii="Arial" w:hAnsi="Arial"/>
                <w:sz w:val="16"/>
              </w:rPr>
              <w:t>7 ADC clocks</w:t>
            </w:r>
          </w:p>
        </w:tc>
        <w:tc>
          <w:tcPr>
            <w:tcW w:type="dxa" w:w="2376"/>
            <w:tcMar>
              <w:top w:w="90" w:type="dxa"/>
              <w:start w:w="100" w:type="dxa"/>
              <w:bottom w:w="90" w:type="dxa"/>
              <w:end w:w="100" w:type="dxa"/>
            </w:tcMar>
            <w:vAlign w:val="center"/>
          </w:tcPr>
          <w:p>
            <w:r>
              <w:rPr>
                <w:rFonts w:ascii="Arial" w:hAnsi="Arial"/>
                <w:sz w:val="16"/>
              </w:rPr>
              <w:t>EOC13 → ADCINT5</w:t>
            </w:r>
          </w:p>
        </w:tc>
      </w:tr>
      <w:tr>
        <w:trPr>
          <w:cantSplit/>
        </w:trPr>
        <w:tc>
          <w:tcPr>
            <w:tcW w:type="dxa" w:w="1512"/>
            <w:tcMar>
              <w:top w:w="90" w:type="dxa"/>
              <w:start w:w="100" w:type="dxa"/>
              <w:bottom w:w="90" w:type="dxa"/>
              <w:end w:w="100" w:type="dxa"/>
            </w:tcMar>
            <w:vAlign w:val="center"/>
          </w:tcPr>
          <w:p>
            <w:r>
              <w:rPr>
                <w:rFonts w:ascii="Arial" w:hAnsi="Arial"/>
                <w:sz w:val="16"/>
              </w:rPr>
              <w:t>SOC14 / SOC15</w:t>
            </w:r>
          </w:p>
        </w:tc>
        <w:tc>
          <w:tcPr>
            <w:tcW w:type="dxa" w:w="2088"/>
            <w:tcMar>
              <w:top w:w="90" w:type="dxa"/>
              <w:start w:w="100" w:type="dxa"/>
              <w:bottom w:w="90" w:type="dxa"/>
              <w:end w:w="100" w:type="dxa"/>
            </w:tcMar>
            <w:vAlign w:val="center"/>
          </w:tcPr>
          <w:p>
            <w:r>
              <w:rPr>
                <w:rFonts w:ascii="Arial" w:hAnsi="Arial"/>
                <w:sz w:val="16"/>
              </w:rPr>
              <w:t>ADCINA1 / ADCINB1</w:t>
            </w:r>
          </w:p>
        </w:tc>
        <w:tc>
          <w:tcPr>
            <w:tcW w:type="dxa" w:w="1440"/>
            <w:tcMar>
              <w:top w:w="90" w:type="dxa"/>
              <w:start w:w="100" w:type="dxa"/>
              <w:bottom w:w="90" w:type="dxa"/>
              <w:end w:w="100" w:type="dxa"/>
            </w:tcMar>
            <w:vAlign w:val="center"/>
          </w:tcPr>
          <w:p>
            <w:r>
              <w:rPr>
                <w:rFonts w:ascii="Arial" w:hAnsi="Arial"/>
                <w:sz w:val="16"/>
              </w:rPr>
              <w:t>ePWM1</w:t>
            </w:r>
          </w:p>
        </w:tc>
        <w:tc>
          <w:tcPr>
            <w:tcW w:type="dxa" w:w="1944"/>
            <w:tcMar>
              <w:top w:w="90" w:type="dxa"/>
              <w:start w:w="100" w:type="dxa"/>
              <w:bottom w:w="90" w:type="dxa"/>
              <w:end w:w="100" w:type="dxa"/>
            </w:tcMar>
            <w:vAlign w:val="center"/>
          </w:tcPr>
          <w:p>
            <w:r>
              <w:rPr>
                <w:rFonts w:ascii="Arial" w:hAnsi="Arial"/>
                <w:sz w:val="16"/>
              </w:rPr>
              <w:t>7 ADC clocks</w:t>
            </w:r>
          </w:p>
        </w:tc>
        <w:tc>
          <w:tcPr>
            <w:tcW w:type="dxa" w:w="2376"/>
            <w:tcMar>
              <w:top w:w="90" w:type="dxa"/>
              <w:start w:w="100" w:type="dxa"/>
              <w:bottom w:w="90" w:type="dxa"/>
              <w:end w:w="100" w:type="dxa"/>
            </w:tcMar>
            <w:vAlign w:val="center"/>
          </w:tcPr>
          <w:p>
            <w:r>
              <w:rPr>
                <w:rFonts w:ascii="Arial" w:hAnsi="Arial"/>
                <w:sz w:val="16"/>
              </w:rPr>
              <w:t>EOC15 → ADCINT9</w:t>
            </w:r>
          </w:p>
        </w:tc>
      </w:tr>
    </w:tbl>
    <w:p>
      <w:pPr>
        <w:spacing w:after="20"/>
      </w:pPr>
    </w:p>
    <w:tbl>
      <w:tblPr>
        <w:tblW w:type="auto" w:w="0"/>
        <w:jc w:val="center"/>
        <w:tblLook w:firstColumn="1" w:firstRow="1" w:lastColumn="0" w:lastRow="0" w:noHBand="0" w:noVBand="1" w:val="04A0"/>
        <w:tblBorders>
          <w:top w:val="single" w:sz="4" w:color="D7D7D7"/>
          <w:start w:val="single" w:sz="4" w:color="D7D7D7"/>
          <w:bottom w:val="single" w:sz="4" w:color="D7D7D7"/>
          <w:end w:val="single" w:sz="4" w:color="D7D7D7"/>
          <w:insideH w:val="single" w:sz="4" w:color="D7D7D7"/>
          <w:insideV w:val="single" w:sz="4" w:color="D7D7D7"/>
        </w:tblBorders>
      </w:tblPr>
      <w:tblGrid>
        <w:gridCol w:w="10224"/>
      </w:tblGrid>
      <w:tr>
        <w:tc>
          <w:tcPr>
            <w:tcW w:type="dxa" w:w="10224"/>
            <w:shd w:fill="F4F4F4"/>
            <w:tcMar>
              <w:top w:w="130" w:type="dxa"/>
              <w:start w:w="150" w:type="dxa"/>
              <w:bottom w:w="130" w:type="dxa"/>
              <w:end w:w="150" w:type="dxa"/>
            </w:tcMar>
          </w:tcPr>
          <w:p>
            <w:r>
              <w:rPr>
                <w:b/>
                <w:color w:val="CC002B"/>
                <w:sz w:val="18"/>
              </w:rPr>
              <w:t>OWNERSHIP AND ACCURACY</w:t>
            </w:r>
          </w:p>
          <w:p>
            <w:pPr>
              <w:spacing w:after="0"/>
            </w:pPr>
            <w:r>
              <w:t>The custom file is presented as register-level peripheral integration. Generated C/C++ support files and TI library internals are excluded; the release does not claim a ground-up ADC driver.</w:t>
            </w:r>
          </w:p>
        </w:tc>
      </w:tr>
    </w:tbl>
    <w:p>
      <w:pPr>
        <w:pStyle w:val="Heading1"/>
      </w:pPr>
      <w:r>
        <w:t>5. CAN Command and Diagnostic Path</w:t>
      </w:r>
    </w:p>
    <w:p>
      <w:pPr>
        <w:spacing w:after="100" w:line="259" w:lineRule="auto"/>
      </w:pPr>
      <w:r>
        <w:t>The supervisory transport uses a standard CAN command frame containing four 16-bit words. The receive subsystem decodes references and control state into the existing target signal paths. A separate return identifier carries command echo or selected diagnostic telemetry, helping distinguish physical-link faults from target-logic faults.</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1800"/>
        <w:gridCol w:w="2376"/>
        <w:gridCol w:w="5760"/>
      </w:tblGrid>
      <w:tr>
        <w:trPr>
          <w:tblHeader w:val="true"/>
        </w:trPr>
        <w:tc>
          <w:tcPr>
            <w:tcW w:type="dxa" w:w="3408"/>
            <w:shd w:fill="222222"/>
            <w:tcMar>
              <w:top w:w="90" w:type="dxa"/>
              <w:start w:w="100" w:type="dxa"/>
              <w:bottom w:w="90" w:type="dxa"/>
              <w:end w:w="100" w:type="dxa"/>
            </w:tcMar>
          </w:tcPr>
          <w:p>
            <w:r>
              <w:rPr>
                <w:rFonts w:ascii="Arial" w:hAnsi="Arial"/>
                <w:b/>
                <w:color w:val="FFFFFF"/>
                <w:sz w:val="16"/>
              </w:rPr>
              <w:t>Item</w:t>
            </w:r>
          </w:p>
        </w:tc>
        <w:tc>
          <w:tcPr>
            <w:tcW w:type="dxa" w:w="3408"/>
            <w:shd w:fill="222222"/>
            <w:tcMar>
              <w:top w:w="90" w:type="dxa"/>
              <w:start w:w="100" w:type="dxa"/>
              <w:bottom w:w="90" w:type="dxa"/>
              <w:end w:w="100" w:type="dxa"/>
            </w:tcMar>
          </w:tcPr>
          <w:p>
            <w:r>
              <w:rPr>
                <w:rFonts w:ascii="Arial" w:hAnsi="Arial"/>
                <w:b/>
                <w:color w:val="FFFFFF"/>
                <w:sz w:val="16"/>
              </w:rPr>
              <w:t>Public definition</w:t>
            </w:r>
          </w:p>
        </w:tc>
        <w:tc>
          <w:tcPr>
            <w:tcW w:type="dxa" w:w="3408"/>
            <w:shd w:fill="222222"/>
            <w:tcMar>
              <w:top w:w="90" w:type="dxa"/>
              <w:start w:w="100" w:type="dxa"/>
              <w:bottom w:w="90" w:type="dxa"/>
              <w:end w:w="100" w:type="dxa"/>
            </w:tcMar>
          </w:tcPr>
          <w:p>
            <w:r>
              <w:rPr>
                <w:rFonts w:ascii="Arial" w:hAnsi="Arial"/>
                <w:b/>
                <w:color w:val="FFFFFF"/>
                <w:sz w:val="16"/>
              </w:rPr>
              <w:t>Implementation role</w:t>
            </w:r>
          </w:p>
        </w:tc>
      </w:tr>
      <w:tr>
        <w:trPr>
          <w:cantSplit/>
        </w:trPr>
        <w:tc>
          <w:tcPr>
            <w:tcW w:type="dxa" w:w="1800"/>
            <w:tcMar>
              <w:top w:w="90" w:type="dxa"/>
              <w:start w:w="100" w:type="dxa"/>
              <w:bottom w:w="90" w:type="dxa"/>
              <w:end w:w="100" w:type="dxa"/>
            </w:tcMar>
            <w:vAlign w:val="center"/>
          </w:tcPr>
          <w:p>
            <w:r>
              <w:rPr>
                <w:rFonts w:ascii="Arial" w:hAnsi="Arial"/>
                <w:sz w:val="16"/>
              </w:rPr>
              <w:t>Command ID</w:t>
            </w:r>
          </w:p>
        </w:tc>
        <w:tc>
          <w:tcPr>
            <w:tcW w:type="dxa" w:w="2376"/>
            <w:tcMar>
              <w:top w:w="90" w:type="dxa"/>
              <w:start w:w="100" w:type="dxa"/>
              <w:bottom w:w="90" w:type="dxa"/>
              <w:end w:w="100" w:type="dxa"/>
            </w:tcMar>
            <w:vAlign w:val="center"/>
          </w:tcPr>
          <w:p>
            <w:r>
              <w:rPr>
                <w:rFonts w:ascii="Arial" w:hAnsi="Arial"/>
                <w:sz w:val="16"/>
              </w:rPr>
              <w:t>0x100</w:t>
            </w:r>
          </w:p>
        </w:tc>
        <w:tc>
          <w:tcPr>
            <w:tcW w:type="dxa" w:w="5760"/>
            <w:tcMar>
              <w:top w:w="90" w:type="dxa"/>
              <w:start w:w="100" w:type="dxa"/>
              <w:bottom w:w="90" w:type="dxa"/>
              <w:end w:w="100" w:type="dxa"/>
            </w:tcMar>
            <w:vAlign w:val="center"/>
          </w:tcPr>
          <w:p>
            <w:r>
              <w:rPr>
                <w:rFonts w:ascii="Arial" w:hAnsi="Arial"/>
                <w:sz w:val="16"/>
              </w:rPr>
              <w:t>Four 16-bit command words in an 8-byte standard frame</w:t>
            </w:r>
          </w:p>
        </w:tc>
      </w:tr>
      <w:tr>
        <w:trPr>
          <w:cantSplit/>
        </w:trPr>
        <w:tc>
          <w:tcPr>
            <w:tcW w:type="dxa" w:w="1800"/>
            <w:tcMar>
              <w:top w:w="90" w:type="dxa"/>
              <w:start w:w="100" w:type="dxa"/>
              <w:bottom w:w="90" w:type="dxa"/>
              <w:end w:w="100" w:type="dxa"/>
            </w:tcMar>
            <w:vAlign w:val="center"/>
          </w:tcPr>
          <w:p>
            <w:r>
              <w:rPr>
                <w:rFonts w:ascii="Arial" w:hAnsi="Arial"/>
                <w:sz w:val="16"/>
              </w:rPr>
              <w:t>Return ID</w:t>
            </w:r>
          </w:p>
        </w:tc>
        <w:tc>
          <w:tcPr>
            <w:tcW w:type="dxa" w:w="2376"/>
            <w:tcMar>
              <w:top w:w="90" w:type="dxa"/>
              <w:start w:w="100" w:type="dxa"/>
              <w:bottom w:w="90" w:type="dxa"/>
              <w:end w:w="100" w:type="dxa"/>
            </w:tcMar>
            <w:vAlign w:val="center"/>
          </w:tcPr>
          <w:p>
            <w:r>
              <w:rPr>
                <w:rFonts w:ascii="Arial" w:hAnsi="Arial"/>
                <w:sz w:val="16"/>
              </w:rPr>
              <w:t>0x101</w:t>
            </w:r>
          </w:p>
        </w:tc>
        <w:tc>
          <w:tcPr>
            <w:tcW w:type="dxa" w:w="5760"/>
            <w:tcMar>
              <w:top w:w="90" w:type="dxa"/>
              <w:start w:w="100" w:type="dxa"/>
              <w:bottom w:w="90" w:type="dxa"/>
              <w:end w:w="100" w:type="dxa"/>
            </w:tcMar>
            <w:vAlign w:val="center"/>
          </w:tcPr>
          <w:p>
            <w:r>
              <w:rPr>
                <w:rFonts w:ascii="Arial" w:hAnsi="Arial"/>
                <w:sz w:val="16"/>
              </w:rPr>
              <w:t>Command echo or selected diagnostic telemetry</w:t>
            </w:r>
          </w:p>
        </w:tc>
      </w:tr>
      <w:tr>
        <w:trPr>
          <w:cantSplit/>
        </w:trPr>
        <w:tc>
          <w:tcPr>
            <w:tcW w:type="dxa" w:w="1800"/>
            <w:tcMar>
              <w:top w:w="90" w:type="dxa"/>
              <w:start w:w="100" w:type="dxa"/>
              <w:bottom w:w="90" w:type="dxa"/>
              <w:end w:w="100" w:type="dxa"/>
            </w:tcMar>
            <w:vAlign w:val="center"/>
          </w:tcPr>
          <w:p>
            <w:r>
              <w:rPr>
                <w:rFonts w:ascii="Arial" w:hAnsi="Arial"/>
                <w:sz w:val="16"/>
              </w:rPr>
              <w:t>Target integration</w:t>
            </w:r>
          </w:p>
        </w:tc>
        <w:tc>
          <w:tcPr>
            <w:tcW w:type="dxa" w:w="2376"/>
            <w:tcMar>
              <w:top w:w="90" w:type="dxa"/>
              <w:start w:w="100" w:type="dxa"/>
              <w:bottom w:w="90" w:type="dxa"/>
              <w:end w:w="100" w:type="dxa"/>
            </w:tcMar>
            <w:vAlign w:val="center"/>
          </w:tcPr>
          <w:p>
            <w:r>
              <w:rPr>
                <w:rFonts w:ascii="Arial" w:hAnsi="Arial"/>
                <w:sz w:val="16"/>
              </w:rPr>
              <w:t>CAN receive and unpack</w:t>
            </w:r>
          </w:p>
        </w:tc>
        <w:tc>
          <w:tcPr>
            <w:tcW w:type="dxa" w:w="5760"/>
            <w:tcMar>
              <w:top w:w="90" w:type="dxa"/>
              <w:start w:w="100" w:type="dxa"/>
              <w:bottom w:w="90" w:type="dxa"/>
              <w:end w:w="100" w:type="dxa"/>
            </w:tcMar>
            <w:vAlign w:val="center"/>
          </w:tcPr>
          <w:p>
            <w:r>
              <w:rPr>
                <w:rFonts w:ascii="Arial" w:hAnsi="Arial"/>
                <w:sz w:val="16"/>
              </w:rPr>
              <w:t>Decoded signals feed reference, enable, selection, and FOC paths</w:t>
            </w:r>
          </w:p>
        </w:tc>
      </w:tr>
      <w:tr>
        <w:trPr>
          <w:cantSplit/>
        </w:trPr>
        <w:tc>
          <w:tcPr>
            <w:tcW w:type="dxa" w:w="1800"/>
            <w:tcMar>
              <w:top w:w="90" w:type="dxa"/>
              <w:start w:w="100" w:type="dxa"/>
              <w:bottom w:w="90" w:type="dxa"/>
              <w:end w:w="100" w:type="dxa"/>
            </w:tcMar>
            <w:vAlign w:val="center"/>
          </w:tcPr>
          <w:p>
            <w:r>
              <w:rPr>
                <w:rFonts w:ascii="Arial" w:hAnsi="Arial"/>
                <w:sz w:val="16"/>
              </w:rPr>
              <w:t>Diagnostic purpose</w:t>
            </w:r>
          </w:p>
        </w:tc>
        <w:tc>
          <w:tcPr>
            <w:tcW w:type="dxa" w:w="2376"/>
            <w:tcMar>
              <w:top w:w="90" w:type="dxa"/>
              <w:start w:w="100" w:type="dxa"/>
              <w:bottom w:w="90" w:type="dxa"/>
              <w:end w:w="100" w:type="dxa"/>
            </w:tcMar>
            <w:vAlign w:val="center"/>
          </w:tcPr>
          <w:p>
            <w:r>
              <w:rPr>
                <w:rFonts w:ascii="Arial" w:hAnsi="Arial"/>
                <w:sz w:val="16"/>
              </w:rPr>
              <w:t>Return traffic</w:t>
            </w:r>
          </w:p>
        </w:tc>
        <w:tc>
          <w:tcPr>
            <w:tcW w:type="dxa" w:w="5760"/>
            <w:tcMar>
              <w:top w:w="90" w:type="dxa"/>
              <w:start w:w="100" w:type="dxa"/>
              <w:bottom w:w="90" w:type="dxa"/>
              <w:end w:w="100" w:type="dxa"/>
            </w:tcMar>
            <w:vAlign w:val="center"/>
          </w:tcPr>
          <w:p>
            <w:r>
              <w:rPr>
                <w:rFonts w:ascii="Arial" w:hAnsi="Arial"/>
                <w:sz w:val="16"/>
              </w:rPr>
              <w:t>Separates bus-level failure from model-level interpretation</w:t>
            </w:r>
          </w:p>
        </w:tc>
      </w:tr>
    </w:tbl>
    <w:p>
      <w:pPr>
        <w:spacing w:after="20"/>
      </w:pPr>
    </w:p>
    <w:p>
      <w:pPr>
        <w:pStyle w:val="Heading1"/>
      </w:pPr>
      <w:r>
        <w:t>6. Host Software and Acquisition Workflow</w:t>
      </w:r>
    </w:p>
    <w:p>
      <w:pPr>
        <w:pStyle w:val="ListBullet"/>
        <w:spacing w:after="40"/>
      </w:pPr>
      <w:r>
        <w:t>efficiency_test_setup.m configures repeatable speed/load sweeps and opens the neutral customer-facing host model.</w:t>
      </w:r>
    </w:p>
    <w:p>
      <w:pPr>
        <w:pStyle w:val="ListBullet"/>
        <w:spacing w:after="40"/>
      </w:pPr>
      <w:r>
        <w:t>drive_cycle_setup.m configures time-varying command profiles without school or course references.</w:t>
      </w:r>
    </w:p>
    <w:p>
      <w:pPr>
        <w:pStyle w:val="ListBullet"/>
        <w:spacing w:after="40"/>
      </w:pPr>
      <w:r>
        <w:t>save_debug_session.m exports timeseries, constants, metadata, and a session README.</w:t>
      </w:r>
    </w:p>
    <w:p>
      <w:pPr>
        <w:pStyle w:val="ListBullet"/>
        <w:spacing w:after="40"/>
      </w:pPr>
      <w:r>
        <w:t>post_dyno_export.m and plot_all_dyno_runs.m organize retained datasets and produce reviewable plots.</w:t>
      </w:r>
    </w:p>
    <w:p>
      <w:pPr>
        <w:pStyle w:val="ListBullet"/>
        <w:spacing w:after="40"/>
      </w:pPr>
      <w:r>
        <w:t>motor_efficiency_processing.m performs signal alignment, power calculations, validity filtering, binning, density review, and contour generation.</w:t>
      </w:r>
    </w:p>
    <w:p>
      <w:pPr>
        <w:pStyle w:val="Heading1"/>
      </w:pPr>
      <w:r>
        <w:t>7. Characterization Method</w:t>
      </w:r>
    </w:p>
    <w:p>
      <w:pPr>
        <w:spacing w:after="100" w:line="259" w:lineRule="auto"/>
      </w:pPr>
      <w:r>
        <w:t>The processing chain intentionally exposes intermediate decisions. Raw command and feedback signals are aligned, forced or invalid values are identified, physics-based masks are applied, retained operating points are reviewed, measured bins are formed, sample counts are inspected, and interpolation is presented only after measured coverage is visible.</w:t>
      </w:r>
    </w:p>
    <w:p>
      <w:pPr>
        <w:keepNext/>
        <w:jc w:val="center"/>
      </w:pPr>
      <w:r>
        <w:drawing>
          <wp:inline xmlns:a="http://schemas.openxmlformats.org/drawingml/2006/main" xmlns:pic="http://schemas.openxmlformats.org/drawingml/2006/picture">
            <wp:extent cx="5943600" cy="4757820"/>
            <wp:docPr id="2" name="Picture 2"/>
            <wp:cNvGraphicFramePr>
              <a:graphicFrameLocks noChangeAspect="1"/>
            </wp:cNvGraphicFramePr>
            <a:graphic>
              <a:graphicData uri="http://schemas.openxmlformats.org/drawingml/2006/picture">
                <pic:pic>
                  <pic:nvPicPr>
                    <pic:cNvPr id="0" name="01_raw_signals.png"/>
                    <pic:cNvPicPr/>
                  </pic:nvPicPr>
                  <pic:blipFill>
                    <a:blip r:embed="rId13"/>
                    <a:stretch>
                      <a:fillRect/>
                    </a:stretch>
                  </pic:blipFill>
                  <pic:spPr>
                    <a:xfrm>
                      <a:off x="0" y="0"/>
                      <a:ext cx="5943600" cy="4757820"/>
                    </a:xfrm>
                    <a:prstGeom prst="rect"/>
                  </pic:spPr>
                </pic:pic>
              </a:graphicData>
            </a:graphic>
          </wp:inline>
        </w:drawing>
      </w:r>
    </w:p>
    <w:p>
      <w:pPr>
        <w:spacing w:after="160"/>
        <w:jc w:val="center"/>
      </w:pPr>
      <w:r>
        <w:rPr>
          <w:rFonts w:ascii="Arial" w:hAnsi="Arial"/>
          <w:i/>
          <w:color w:val="666666"/>
          <w:sz w:val="17"/>
        </w:rPr>
        <w:t>Figure 2. Raw speed, current, voltage, mechanical, and torque-related signals retained before filtering.</w:t>
      </w:r>
    </w:p>
    <w:p>
      <w:pPr>
        <w:keepNext/>
        <w:jc w:val="center"/>
      </w:pPr>
      <w:r>
        <w:drawing>
          <wp:inline xmlns:a="http://schemas.openxmlformats.org/drawingml/2006/main" xmlns:pic="http://schemas.openxmlformats.org/drawingml/2006/picture">
            <wp:extent cx="5943600" cy="4840715"/>
            <wp:docPr id="3" name="Picture 3"/>
            <wp:cNvGraphicFramePr>
              <a:graphicFrameLocks noChangeAspect="1"/>
            </wp:cNvGraphicFramePr>
            <a:graphic>
              <a:graphicData uri="http://schemas.openxmlformats.org/drawingml/2006/picture">
                <pic:pic>
                  <pic:nvPicPr>
                    <pic:cNvPr id="0" name="03_filter_masks.png"/>
                    <pic:cNvPicPr/>
                  </pic:nvPicPr>
                  <pic:blipFill>
                    <a:blip r:embed="rId14"/>
                    <a:stretch>
                      <a:fillRect/>
                    </a:stretch>
                  </pic:blipFill>
                  <pic:spPr>
                    <a:xfrm>
                      <a:off x="0" y="0"/>
                      <a:ext cx="5943600" cy="4840715"/>
                    </a:xfrm>
                    <a:prstGeom prst="rect"/>
                  </pic:spPr>
                </pic:pic>
              </a:graphicData>
            </a:graphic>
          </wp:inline>
        </w:drawing>
      </w:r>
    </w:p>
    <w:p>
      <w:pPr>
        <w:spacing w:after="160"/>
        <w:jc w:val="center"/>
      </w:pPr>
      <w:r>
        <w:rPr>
          <w:rFonts w:ascii="Arial" w:hAnsi="Arial"/>
          <w:i/>
          <w:color w:val="666666"/>
          <w:sz w:val="17"/>
        </w:rPr>
        <w:t>Figure 3. Explicit electrical-power, mechanical-power, torque, and combined validity masks.</w:t>
      </w:r>
    </w:p>
    <w:p>
      <w:pPr>
        <w:pStyle w:val="Heading1"/>
      </w:pPr>
      <w:r>
        <w:t>8. Measured Evidence</w:t>
      </w:r>
    </w:p>
    <w:p>
      <w:pPr>
        <w:keepNext/>
        <w:jc w:val="center"/>
      </w:pPr>
      <w:r>
        <w:drawing>
          <wp:inline xmlns:a="http://schemas.openxmlformats.org/drawingml/2006/main" xmlns:pic="http://schemas.openxmlformats.org/drawingml/2006/picture">
            <wp:extent cx="5486400" cy="4256323"/>
            <wp:docPr id="4" name="Picture 4"/>
            <wp:cNvGraphicFramePr>
              <a:graphicFrameLocks noChangeAspect="1"/>
            </wp:cNvGraphicFramePr>
            <a:graphic>
              <a:graphicData uri="http://schemas.openxmlformats.org/drawingml/2006/picture">
                <pic:pic>
                  <pic:nvPicPr>
                    <pic:cNvPr id="0" name="04_valid_efficiency_points.png"/>
                    <pic:cNvPicPr/>
                  </pic:nvPicPr>
                  <pic:blipFill>
                    <a:blip r:embed="rId15"/>
                    <a:stretch>
                      <a:fillRect/>
                    </a:stretch>
                  </pic:blipFill>
                  <pic:spPr>
                    <a:xfrm>
                      <a:off x="0" y="0"/>
                      <a:ext cx="5486400" cy="4256323"/>
                    </a:xfrm>
                    <a:prstGeom prst="rect"/>
                  </pic:spPr>
                </pic:pic>
              </a:graphicData>
            </a:graphic>
          </wp:inline>
        </w:drawing>
      </w:r>
    </w:p>
    <w:p>
      <w:pPr>
        <w:spacing w:after="160"/>
        <w:jc w:val="center"/>
      </w:pPr>
      <w:r>
        <w:rPr>
          <w:rFonts w:ascii="Arial" w:hAnsi="Arial"/>
          <w:i/>
          <w:color w:val="666666"/>
          <w:sz w:val="17"/>
        </w:rPr>
        <w:t>Figure 4. Retained speed-torque operating points colored by calculated efficiency.</w:t>
      </w:r>
    </w:p>
    <w:p>
      <w:pPr>
        <w:keepNext/>
        <w:jc w:val="center"/>
      </w:pPr>
      <w:r>
        <w:drawing>
          <wp:inline xmlns:a="http://schemas.openxmlformats.org/drawingml/2006/main" xmlns:pic="http://schemas.openxmlformats.org/drawingml/2006/picture">
            <wp:extent cx="5486400" cy="4267200"/>
            <wp:docPr id="5" name="Picture 5"/>
            <wp:cNvGraphicFramePr>
              <a:graphicFrameLocks noChangeAspect="1"/>
            </wp:cNvGraphicFramePr>
            <a:graphic>
              <a:graphicData uri="http://schemas.openxmlformats.org/drawingml/2006/picture">
                <pic:pic>
                  <pic:nvPicPr>
                    <pic:cNvPr id="0" name="05_measured_efficiency_map.png"/>
                    <pic:cNvPicPr/>
                  </pic:nvPicPr>
                  <pic:blipFill>
                    <a:blip r:embed="rId16"/>
                    <a:stretch>
                      <a:fillRect/>
                    </a:stretch>
                  </pic:blipFill>
                  <pic:spPr>
                    <a:xfrm>
                      <a:off x="0" y="0"/>
                      <a:ext cx="5486400" cy="4267200"/>
                    </a:xfrm>
                    <a:prstGeom prst="rect"/>
                  </pic:spPr>
                </pic:pic>
              </a:graphicData>
            </a:graphic>
          </wp:inline>
        </w:drawing>
      </w:r>
    </w:p>
    <w:p>
      <w:pPr>
        <w:spacing w:after="160"/>
        <w:jc w:val="center"/>
      </w:pPr>
      <w:r>
        <w:rPr>
          <w:rFonts w:ascii="Arial" w:hAnsi="Arial"/>
          <w:i/>
          <w:color w:val="666666"/>
          <w:sz w:val="17"/>
        </w:rPr>
        <w:t>Figure 5. Measured-bin efficiency map; unpopulated regions remain visibly distinct.</w:t>
      </w:r>
    </w:p>
    <w:p>
      <w:pPr>
        <w:keepNext/>
        <w:jc w:val="center"/>
      </w:pPr>
      <w:r>
        <w:drawing>
          <wp:inline xmlns:a="http://schemas.openxmlformats.org/drawingml/2006/main" xmlns:pic="http://schemas.openxmlformats.org/drawingml/2006/picture">
            <wp:extent cx="5486400" cy="4313800"/>
            <wp:docPr id="6" name="Picture 6"/>
            <wp:cNvGraphicFramePr>
              <a:graphicFrameLocks noChangeAspect="1"/>
            </wp:cNvGraphicFramePr>
            <a:graphic>
              <a:graphicData uri="http://schemas.openxmlformats.org/drawingml/2006/picture">
                <pic:pic>
                  <pic:nvPicPr>
                    <pic:cNvPr id="0" name="06_sample_count_map.png"/>
                    <pic:cNvPicPr/>
                  </pic:nvPicPr>
                  <pic:blipFill>
                    <a:blip r:embed="rId17"/>
                    <a:stretch>
                      <a:fillRect/>
                    </a:stretch>
                  </pic:blipFill>
                  <pic:spPr>
                    <a:xfrm>
                      <a:off x="0" y="0"/>
                      <a:ext cx="5486400" cy="4313800"/>
                    </a:xfrm>
                    <a:prstGeom prst="rect"/>
                  </pic:spPr>
                </pic:pic>
              </a:graphicData>
            </a:graphic>
          </wp:inline>
        </w:drawing>
      </w:r>
    </w:p>
    <w:p>
      <w:pPr>
        <w:spacing w:after="160"/>
        <w:jc w:val="center"/>
      </w:pPr>
      <w:r>
        <w:rPr>
          <w:rFonts w:ascii="Arial" w:hAnsi="Arial"/>
          <w:i/>
          <w:color w:val="666666"/>
          <w:sz w:val="17"/>
        </w:rPr>
        <w:t>Figure 6. Sample-count map used to judge operating-region density and confidence.</w:t>
      </w:r>
    </w:p>
    <w:p>
      <w:pPr>
        <w:pStyle w:val="Heading2"/>
      </w:pPr>
      <w:r>
        <w:t>8.1 Controlled interpretation</w:t>
      </w:r>
    </w:p>
    <w:p>
      <w:pPr>
        <w:pStyle w:val="ListBullet"/>
        <w:spacing w:after="40"/>
      </w:pPr>
      <w:r>
        <w:t>Published speed sweeps approach 4000 RPM in the retained evidence.</w:t>
      </w:r>
    </w:p>
    <w:p>
      <w:pPr>
        <w:pStyle w:val="ListBullet"/>
        <w:spacing w:after="40"/>
      </w:pPr>
      <w:r>
        <w:t>Demonstrated torque-related operating points are concentrated roughly between 0.045 and 0.17 N·m.</w:t>
      </w:r>
    </w:p>
    <w:p>
      <w:pPr>
        <w:pStyle w:val="ListBullet"/>
        <w:spacing w:after="40"/>
      </w:pPr>
      <w:r>
        <w:t>Efficiency values are filtered using explicit power, torque, and bounded-efficiency criteria before binning.</w:t>
      </w:r>
    </w:p>
    <w:p>
      <w:pPr>
        <w:pStyle w:val="ListBullet"/>
        <w:spacing w:after="40"/>
      </w:pPr>
      <w:r>
        <w:t>Measured bins and sample density are the primary evidence used for public interpretation.</w:t>
      </w:r>
    </w:p>
    <w:p>
      <w:pPr>
        <w:pStyle w:val="ListBullet"/>
        <w:spacing w:after="40"/>
      </w:pPr>
      <w:r>
        <w:t>The results demonstrate bench integration and processing discipline, not calibrated product efficiency or regulatory qualification.</w:t>
      </w:r>
    </w:p>
    <w:p>
      <w:pPr>
        <w:pStyle w:val="Heading1"/>
      </w:pPr>
      <w:r>
        <w:t>9. Physical Interface Evidence</w:t>
      </w:r>
    </w:p>
    <w:p>
      <w:pPr>
        <w:keepNext/>
        <w:jc w:val="center"/>
      </w:pPr>
      <w:r>
        <w:drawing>
          <wp:inline xmlns:a="http://schemas.openxmlformats.org/drawingml/2006/main" xmlns:pic="http://schemas.openxmlformats.org/drawingml/2006/picture">
            <wp:extent cx="5760720" cy="2316289"/>
            <wp:docPr id="8" name="Picture 8"/>
            <wp:cNvGraphicFramePr>
              <a:graphicFrameLocks noChangeAspect="1"/>
            </wp:cNvGraphicFramePr>
            <a:graphic>
              <a:graphicData uri="http://schemas.openxmlformats.org/drawingml/2006/picture">
                <pic:pic>
                  <pic:nvPicPr>
                    <pic:cNvPr id="0" name="boosterpack_to_launchpad_board_interface.png"/>
                    <pic:cNvPicPr/>
                  </pic:nvPicPr>
                  <pic:blipFill>
                    <a:blip r:embed="rId19"/>
                    <a:stretch>
                      <a:fillRect/>
                    </a:stretch>
                  </pic:blipFill>
                  <pic:spPr>
                    <a:xfrm>
                      <a:off x="0" y="0"/>
                      <a:ext cx="5760720" cy="2316289"/>
                    </a:xfrm>
                    <a:prstGeom prst="rect"/>
                  </pic:spPr>
                </pic:pic>
              </a:graphicData>
            </a:graphic>
          </wp:inline>
        </w:drawing>
      </w:r>
    </w:p>
    <w:p>
      <w:pPr>
        <w:spacing w:after="160"/>
        <w:jc w:val="center"/>
      </w:pPr>
      <w:r>
        <w:rPr>
          <w:rFonts w:ascii="Arial" w:hAnsi="Arial"/>
          <w:i/>
          <w:color w:val="666666"/>
          <w:sz w:val="17"/>
        </w:rPr>
        <w:t>Figure 7. BoosterPack-to-LaunchPad interface reference used during hardware integration.</w:t>
      </w:r>
    </w:p>
    <w:p>
      <w:pPr>
        <w:spacing w:after="100" w:line="259" w:lineRule="auto"/>
      </w:pPr>
      <w:r>
        <w:t>The release also retains the applicable LaunchPad and BOOSTXL-DRV8305EVM public schematics and a concise interface summary. These references support pinout review and connection traceability without redistributing editable vendor manufacturing sources.</w:t>
      </w:r>
    </w:p>
    <w:p>
      <w:pPr>
        <w:pStyle w:val="Heading1"/>
      </w:pPr>
      <w:r>
        <w:t>10. Limitations and Next Validation</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2376"/>
        <w:gridCol w:w="7560"/>
      </w:tblGrid>
      <w:tr>
        <w:trPr>
          <w:tblHeader w:val="true"/>
        </w:trPr>
        <w:tc>
          <w:tcPr>
            <w:tcW w:type="dxa" w:w="5112"/>
            <w:shd w:fill="222222"/>
            <w:tcMar>
              <w:top w:w="90" w:type="dxa"/>
              <w:start w:w="100" w:type="dxa"/>
              <w:bottom w:w="90" w:type="dxa"/>
              <w:end w:w="100" w:type="dxa"/>
            </w:tcMar>
          </w:tcPr>
          <w:p>
            <w:r>
              <w:rPr>
                <w:rFonts w:ascii="Arial" w:hAnsi="Arial"/>
                <w:b/>
                <w:color w:val="FFFFFF"/>
                <w:sz w:val="17"/>
              </w:rPr>
              <w:t>Area</w:t>
            </w:r>
          </w:p>
        </w:tc>
        <w:tc>
          <w:tcPr>
            <w:tcW w:type="dxa" w:w="5112"/>
            <w:shd w:fill="222222"/>
            <w:tcMar>
              <w:top w:w="90" w:type="dxa"/>
              <w:start w:w="100" w:type="dxa"/>
              <w:bottom w:w="90" w:type="dxa"/>
              <w:end w:w="100" w:type="dxa"/>
            </w:tcMar>
          </w:tcPr>
          <w:p>
            <w:r>
              <w:rPr>
                <w:rFonts w:ascii="Arial" w:hAnsi="Arial"/>
                <w:b/>
                <w:color w:val="FFFFFF"/>
                <w:sz w:val="17"/>
              </w:rPr>
              <w:t>Controlled statement</w:t>
            </w:r>
          </w:p>
        </w:tc>
      </w:tr>
      <w:tr>
        <w:trPr>
          <w:cantSplit/>
        </w:trPr>
        <w:tc>
          <w:tcPr>
            <w:tcW w:type="dxa" w:w="2376"/>
            <w:tcMar>
              <w:top w:w="90" w:type="dxa"/>
              <w:start w:w="100" w:type="dxa"/>
              <w:bottom w:w="90" w:type="dxa"/>
              <w:end w:w="100" w:type="dxa"/>
            </w:tcMar>
            <w:vAlign w:val="center"/>
          </w:tcPr>
          <w:p>
            <w:r>
              <w:rPr>
                <w:rFonts w:ascii="Arial" w:hAnsi="Arial"/>
                <w:sz w:val="17"/>
              </w:rPr>
              <w:t>Torque and electrical calibration</w:t>
            </w:r>
          </w:p>
        </w:tc>
        <w:tc>
          <w:tcPr>
            <w:tcW w:type="dxa" w:w="7560"/>
            <w:tcMar>
              <w:top w:w="90" w:type="dxa"/>
              <w:start w:w="100" w:type="dxa"/>
              <w:bottom w:w="90" w:type="dxa"/>
              <w:end w:w="100" w:type="dxa"/>
            </w:tcMar>
            <w:vAlign w:val="center"/>
          </w:tcPr>
          <w:p>
            <w:r>
              <w:rPr>
                <w:rFonts w:ascii="Arial" w:hAnsi="Arial"/>
                <w:sz w:val="17"/>
              </w:rPr>
              <w:t>Independent traceable calibration is outside the retained public evidence.</w:t>
            </w:r>
          </w:p>
        </w:tc>
      </w:tr>
      <w:tr>
        <w:trPr>
          <w:cantSplit/>
        </w:trPr>
        <w:tc>
          <w:tcPr>
            <w:tcW w:type="dxa" w:w="2376"/>
            <w:tcMar>
              <w:top w:w="90" w:type="dxa"/>
              <w:start w:w="100" w:type="dxa"/>
              <w:bottom w:w="90" w:type="dxa"/>
              <w:end w:w="100" w:type="dxa"/>
            </w:tcMar>
            <w:vAlign w:val="center"/>
          </w:tcPr>
          <w:p>
            <w:r>
              <w:rPr>
                <w:rFonts w:ascii="Arial" w:hAnsi="Arial"/>
                <w:sz w:val="17"/>
              </w:rPr>
              <w:t>Thermal endurance</w:t>
            </w:r>
          </w:p>
        </w:tc>
        <w:tc>
          <w:tcPr>
            <w:tcW w:type="dxa" w:w="7560"/>
            <w:tcMar>
              <w:top w:w="90" w:type="dxa"/>
              <w:start w:w="100" w:type="dxa"/>
              <w:bottom w:w="90" w:type="dxa"/>
              <w:end w:w="100" w:type="dxa"/>
            </w:tcMar>
            <w:vAlign w:val="center"/>
          </w:tcPr>
          <w:p>
            <w:r>
              <w:rPr>
                <w:rFonts w:ascii="Arial" w:hAnsi="Arial"/>
                <w:sz w:val="17"/>
              </w:rPr>
              <w:t>Long-duration thermal and derating qualification is not included.</w:t>
            </w:r>
          </w:p>
        </w:tc>
      </w:tr>
      <w:tr>
        <w:trPr>
          <w:cantSplit/>
        </w:trPr>
        <w:tc>
          <w:tcPr>
            <w:tcW w:type="dxa" w:w="2376"/>
            <w:tcMar>
              <w:top w:w="90" w:type="dxa"/>
              <w:start w:w="100" w:type="dxa"/>
              <w:bottom w:w="90" w:type="dxa"/>
              <w:end w:w="100" w:type="dxa"/>
            </w:tcMar>
            <w:vAlign w:val="center"/>
          </w:tcPr>
          <w:p>
            <w:r>
              <w:rPr>
                <w:rFonts w:ascii="Arial" w:hAnsi="Arial"/>
                <w:sz w:val="17"/>
              </w:rPr>
              <w:t>Fault coverage</w:t>
            </w:r>
          </w:p>
        </w:tc>
        <w:tc>
          <w:tcPr>
            <w:tcW w:type="dxa" w:w="7560"/>
            <w:tcMar>
              <w:top w:w="90" w:type="dxa"/>
              <w:start w:w="100" w:type="dxa"/>
              <w:bottom w:w="90" w:type="dxa"/>
              <w:end w:w="100" w:type="dxa"/>
            </w:tcMar>
            <w:vAlign w:val="center"/>
          </w:tcPr>
          <w:p>
            <w:r>
              <w:rPr>
                <w:rFonts w:ascii="Arial" w:hAnsi="Arial"/>
                <w:sz w:val="17"/>
              </w:rPr>
              <w:t>A complete independent protection chain and production fault tree are not claimed.</w:t>
            </w:r>
          </w:p>
        </w:tc>
      </w:tr>
      <w:tr>
        <w:trPr>
          <w:cantSplit/>
        </w:trPr>
        <w:tc>
          <w:tcPr>
            <w:tcW w:type="dxa" w:w="2376"/>
            <w:tcMar>
              <w:top w:w="90" w:type="dxa"/>
              <w:start w:w="100" w:type="dxa"/>
              <w:bottom w:w="90" w:type="dxa"/>
              <w:end w:w="100" w:type="dxa"/>
            </w:tcMar>
            <w:vAlign w:val="center"/>
          </w:tcPr>
          <w:p>
            <w:r>
              <w:rPr>
                <w:rFonts w:ascii="Arial" w:hAnsi="Arial"/>
                <w:sz w:val="17"/>
              </w:rPr>
              <w:t>EMC and environment</w:t>
            </w:r>
          </w:p>
        </w:tc>
        <w:tc>
          <w:tcPr>
            <w:tcW w:type="dxa" w:w="7560"/>
            <w:tcMar>
              <w:top w:w="90" w:type="dxa"/>
              <w:start w:w="100" w:type="dxa"/>
              <w:bottom w:w="90" w:type="dxa"/>
              <w:end w:w="100" w:type="dxa"/>
            </w:tcMar>
            <w:vAlign w:val="center"/>
          </w:tcPr>
          <w:p>
            <w:r>
              <w:rPr>
                <w:rFonts w:ascii="Arial" w:hAnsi="Arial"/>
                <w:sz w:val="17"/>
              </w:rPr>
              <w:t>Formal EMC, vibration, ingress, and environmental testing are not included.</w:t>
            </w:r>
          </w:p>
        </w:tc>
      </w:tr>
      <w:tr>
        <w:trPr>
          <w:cantSplit/>
        </w:trPr>
        <w:tc>
          <w:tcPr>
            <w:tcW w:type="dxa" w:w="2376"/>
            <w:tcMar>
              <w:top w:w="90" w:type="dxa"/>
              <w:start w:w="100" w:type="dxa"/>
              <w:bottom w:w="90" w:type="dxa"/>
              <w:end w:w="100" w:type="dxa"/>
            </w:tcMar>
            <w:vAlign w:val="center"/>
          </w:tcPr>
          <w:p>
            <w:r>
              <w:rPr>
                <w:rFonts w:ascii="Arial" w:hAnsi="Arial"/>
                <w:sz w:val="17"/>
              </w:rPr>
              <w:t>Model dependencies</w:t>
            </w:r>
          </w:p>
        </w:tc>
        <w:tc>
          <w:tcPr>
            <w:tcW w:type="dxa" w:w="7560"/>
            <w:tcMar>
              <w:top w:w="90" w:type="dxa"/>
              <w:start w:w="100" w:type="dxa"/>
              <w:bottom w:w="90" w:type="dxa"/>
              <w:end w:w="100" w:type="dxa"/>
            </w:tcMar>
            <w:vAlign w:val="center"/>
          </w:tcPr>
          <w:p>
            <w:r>
              <w:rPr>
                <w:rFonts w:ascii="Arial" w:hAnsi="Arial"/>
                <w:sz w:val="17"/>
              </w:rPr>
              <w:t>Opening and deploying the models requires compatible MATLAB/Simulink, C2000 support packages, and relevant licensed hardware blocks.</w:t>
            </w:r>
          </w:p>
        </w:tc>
      </w:tr>
      <w:tr>
        <w:trPr>
          <w:cantSplit/>
        </w:trPr>
        <w:tc>
          <w:tcPr>
            <w:tcW w:type="dxa" w:w="2376"/>
            <w:tcMar>
              <w:top w:w="90" w:type="dxa"/>
              <w:start w:w="100" w:type="dxa"/>
              <w:bottom w:w="90" w:type="dxa"/>
              <w:end w:w="100" w:type="dxa"/>
            </w:tcMar>
            <w:vAlign w:val="center"/>
          </w:tcPr>
          <w:p>
            <w:r>
              <w:rPr>
                <w:rFonts w:ascii="Arial" w:hAnsi="Arial"/>
                <w:sz w:val="17"/>
              </w:rPr>
              <w:t>Physical demonstration media</w:t>
            </w:r>
          </w:p>
        </w:tc>
        <w:tc>
          <w:tcPr>
            <w:tcW w:type="dxa" w:w="7560"/>
            <w:tcMar>
              <w:top w:w="90" w:type="dxa"/>
              <w:start w:w="100" w:type="dxa"/>
              <w:bottom w:w="90" w:type="dxa"/>
              <w:end w:w="100" w:type="dxa"/>
            </w:tcMar>
            <w:vAlign w:val="center"/>
          </w:tcPr>
          <w:p>
            <w:r>
              <w:rPr>
                <w:rFonts w:ascii="Arial" w:hAnsi="Arial"/>
                <w:sz w:val="17"/>
              </w:rPr>
              <w:t>A dedicated platform video or full-bench photograph should be added when approved and available.</w:t>
            </w:r>
          </w:p>
        </w:tc>
      </w:tr>
    </w:tbl>
    <w:p>
      <w:pPr>
        <w:spacing w:after="20"/>
      </w:pPr>
    </w:p>
    <w:p>
      <w:pPr>
        <w:pStyle w:val="Heading1"/>
      </w:pPr>
      <w:r>
        <w:t>11. Public Engineering Outcome</w:t>
      </w:r>
    </w:p>
    <w:p>
      <w:pPr>
        <w:spacing w:after="0" w:line="259" w:lineRule="auto"/>
      </w:pPr>
      <w:r>
        <w:rPr>
          <w:rFonts w:ascii="Arial" w:hAnsi="Arial"/>
          <w:sz w:val="20"/>
        </w:rPr>
        <w:t>The public repository demonstrates a complete engineering stack: editable target and host models, handwritten ADC configuration, CAN subsystems, neutral acquisition and analysis scripts, hardware references, and measured outputs. The FRD controls requirements and traceability; this report documents implementation and evidence.</w:t>
      </w:r>
    </w:p>
    <w:sectPr w:rsidR="00FC693F" w:rsidRPr="0006063C" w:rsidSect="00034616">
      <w:headerReference w:type="default" r:id="rId9"/>
      <w:footerReference w:type="default" r:id="rId10"/>
      <w:headerReference w:type="first" r:id="rId11"/>
      <w:pgSz w:w="12240" w:h="15840"/>
      <w:pgMar w:top="1008" w:right="1008" w:bottom="936"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Herder Elektronische Systemen  |  Public technical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EMBEDDED CONTROL &amp; CHARACTERIZATION  |  REV 1.7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0" w:color="FFFFFF"/>
        <w:start w:val="single" w:sz="0" w:color="FFFFFF"/>
        <w:bottom w:val="single" w:sz="0" w:color="FFFFFF"/>
        <w:end w:val="single" w:sz="0" w:color="FFFFFF"/>
        <w:insideH w:val="single" w:sz="0" w:color="FFFFFF"/>
        <w:insideV w:val="single" w:sz="0" w:color="FFFFFF"/>
      </w:tblBorders>
    </w:tblPr>
    <w:tblGrid>
      <w:gridCol w:w="6480"/>
      <w:gridCol w:w="3744"/>
    </w:tblGrid>
    <w:tr>
      <w:tc>
        <w:tcPr>
          <w:tcW w:type="dxa" w:w="5112"/>
        </w:tcPr>
        <w:p>
          <w:r>
            <w:rPr>
              <w:rFonts w:ascii="Arial" w:hAnsi="Arial"/>
              <w:color w:val="CC002B"/>
              <w:sz w:val="18"/>
            </w:rPr>
            <w:t>HERDER ELEKTRONISCHE SYSTEMEN</w:t>
          </w:r>
        </w:p>
      </w:tc>
      <w:tc>
        <w:tcPr>
          <w:tcW w:type="dxa" w:w="5112"/>
        </w:tcPr>
        <w:p>
          <w:pPr>
            <w:jc w:val="right"/>
          </w:pPr>
          <w:r>
            <w:rPr>
              <w:rFonts w:ascii="Arial" w:hAnsi="Arial"/>
              <w:sz w:val="20"/>
            </w:rPr>
            <w:t>ENGINEERING REPORT  |</w:t>
            <w:br/>
            <w:t>REV 1.6</w:t>
          </w:r>
        </w:p>
      </w:tc>
    </w:tr>
  </w:tbl>
  <w:p>
    <w:pPr>
      <w:pBdr>
        <w:bottom w:val="single" w:sz="10" w:color="CC00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CC002B"/>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CC00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1.7</cp:version>
</cp:coreProperties>
</file>