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left"/>
      </w:pPr>
      <w:r>
        <w:rPr>
          <w:rFonts w:ascii="Arial" w:hAnsi="Arial"/>
          <w:b/>
          <w:color w:val="CC0000"/>
          <w:sz w:val="54"/>
        </w:rPr>
        <w:t>EMBEDDED CONTROL, CAN &amp; CHARACTERIZATION REPORT</w:t>
      </w:r>
    </w:p>
    <w:p>
      <w:r>
        <w:rPr>
          <w:rFonts w:ascii="Arial" w:hAnsi="Arial"/>
          <w:b/>
          <w:color w:val="222222"/>
          <w:sz w:val="30"/>
        </w:rPr>
        <w:t>TI Piccolo-Based Dual-Motor Dynamometer Testbed</w:t>
      </w:r>
    </w:p>
    <w:p>
      <w:pPr>
        <w:spacing w:before="200"/>
      </w:pPr>
      <w:r>
        <w:rPr>
          <w:rFonts w:ascii="Arial" w:hAnsi="Arial"/>
          <w:b/>
          <w:color w:val="666666"/>
          <w:sz w:val="20"/>
        </w:rPr>
        <w:t>PUBLIC ENGINEERING RELEASE  v1.4</w:t>
      </w:r>
    </w:p>
    <w:p/>
    <w:tbl>
      <w:tblPr>
        <w:tblW w:type="auto" w:w="0"/>
        <w:jc w:val="left"/>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088"/>
        <w:gridCol w:w="7416"/>
      </w:tblGrid>
      <w:tr>
        <w:tc>
          <w:tcPr>
            <w:tcW w:type="dxa" w:w="5083"/>
            <w:vAlign w:val="center"/>
            <w:tcMar>
              <w:top w:w="80" w:type="dxa"/>
              <w:start w:w="90" w:type="dxa"/>
              <w:bottom w:w="80" w:type="dxa"/>
              <w:end w:w="90" w:type="dxa"/>
            </w:tcMar>
            <w:shd w:fill="F2F2F2"/>
          </w:tcPr>
          <w:p>
            <w:pPr>
              <w:spacing w:after="0" w:line="252" w:lineRule="auto"/>
              <w:jc w:val="left"/>
            </w:pPr>
            <w:r/>
            <w:r>
              <w:rPr>
                <w:rFonts w:ascii="Arial" w:hAnsi="Arial"/>
                <w:b/>
                <w:color w:val="CC0000"/>
                <w:sz w:val="17"/>
              </w:rPr>
              <w:t>Document ID</w:t>
            </w:r>
          </w:p>
        </w:tc>
        <w:tc>
          <w:tcPr>
            <w:tcW w:type="dxa" w:w="5083"/>
            <w:vAlign w:val="center"/>
            <w:tcMar>
              <w:top w:w="80" w:type="dxa"/>
              <w:start w:w="90" w:type="dxa"/>
              <w:bottom w:w="80" w:type="dxa"/>
              <w:end w:w="90" w:type="dxa"/>
            </w:tcMar>
          </w:tcPr>
          <w:p>
            <w:pPr>
              <w:spacing w:after="0" w:line="252" w:lineRule="auto"/>
              <w:jc w:val="left"/>
            </w:pPr>
            <w:r/>
            <w:r>
              <w:rPr>
                <w:rFonts w:ascii="Arial" w:hAnsi="Arial"/>
                <w:b w:val="0"/>
                <w:color w:val="222222"/>
                <w:sz w:val="17"/>
              </w:rPr>
              <w:t>HES-DYNO-SW-001</w:t>
            </w:r>
          </w:p>
        </w:tc>
      </w:tr>
      <w:tr>
        <w:tc>
          <w:tcPr>
            <w:tcW w:type="dxa" w:w="5083"/>
            <w:vAlign w:val="center"/>
            <w:tcMar>
              <w:top w:w="80" w:type="dxa"/>
              <w:start w:w="90" w:type="dxa"/>
              <w:bottom w:w="80" w:type="dxa"/>
              <w:end w:w="90" w:type="dxa"/>
            </w:tcMar>
            <w:shd w:fill="F2F2F2"/>
          </w:tcPr>
          <w:p>
            <w:pPr>
              <w:spacing w:after="0" w:line="252" w:lineRule="auto"/>
              <w:jc w:val="left"/>
            </w:pPr>
            <w:r/>
            <w:r>
              <w:rPr>
                <w:rFonts w:ascii="Arial" w:hAnsi="Arial"/>
                <w:b/>
                <w:color w:val="CC0000"/>
                <w:sz w:val="17"/>
              </w:rPr>
              <w:t>Prepared by</w:t>
            </w:r>
          </w:p>
        </w:tc>
        <w:tc>
          <w:tcPr>
            <w:tcW w:type="dxa" w:w="5083"/>
            <w:vAlign w:val="center"/>
            <w:tcMar>
              <w:top w:w="80" w:type="dxa"/>
              <w:start w:w="90" w:type="dxa"/>
              <w:bottom w:w="80" w:type="dxa"/>
              <w:end w:w="90" w:type="dxa"/>
            </w:tcMar>
          </w:tcPr>
          <w:p>
            <w:pPr>
              <w:spacing w:after="0" w:line="252" w:lineRule="auto"/>
              <w:jc w:val="left"/>
            </w:pPr>
            <w:r/>
            <w:r>
              <w:rPr>
                <w:rFonts w:ascii="Arial" w:hAnsi="Arial"/>
                <w:b w:val="0"/>
                <w:color w:val="222222"/>
                <w:sz w:val="17"/>
              </w:rPr>
              <w:t>Herder Elektronische Systemen</w:t>
            </w:r>
          </w:p>
        </w:tc>
      </w:tr>
      <w:tr>
        <w:tc>
          <w:tcPr>
            <w:tcW w:type="dxa" w:w="5083"/>
            <w:vAlign w:val="center"/>
            <w:tcMar>
              <w:top w:w="80" w:type="dxa"/>
              <w:start w:w="90" w:type="dxa"/>
              <w:bottom w:w="80" w:type="dxa"/>
              <w:end w:w="90" w:type="dxa"/>
            </w:tcMar>
            <w:shd w:fill="F2F2F2"/>
          </w:tcPr>
          <w:p>
            <w:pPr>
              <w:spacing w:after="0" w:line="252" w:lineRule="auto"/>
              <w:jc w:val="left"/>
            </w:pPr>
            <w:r/>
            <w:r>
              <w:rPr>
                <w:rFonts w:ascii="Arial" w:hAnsi="Arial"/>
                <w:b/>
                <w:color w:val="CC0000"/>
                <w:sz w:val="17"/>
              </w:rPr>
              <w:t>System basis</w:t>
            </w:r>
          </w:p>
        </w:tc>
        <w:tc>
          <w:tcPr>
            <w:tcW w:type="dxa" w:w="5083"/>
            <w:vAlign w:val="center"/>
            <w:tcMar>
              <w:top w:w="80" w:type="dxa"/>
              <w:start w:w="90" w:type="dxa"/>
              <w:bottom w:w="80" w:type="dxa"/>
              <w:end w:w="90" w:type="dxa"/>
            </w:tcMar>
          </w:tcPr>
          <w:p>
            <w:pPr>
              <w:spacing w:after="0" w:line="252" w:lineRule="auto"/>
              <w:jc w:val="left"/>
            </w:pPr>
            <w:r/>
            <w:r>
              <w:rPr>
                <w:rFonts w:ascii="Arial" w:hAnsi="Arial"/>
                <w:b w:val="0"/>
                <w:color w:val="222222"/>
                <w:sz w:val="17"/>
              </w:rPr>
              <w:t>TI C2000 Piccolo F28069M dual-PMSM dynamometer testbed</w:t>
            </w:r>
          </w:p>
        </w:tc>
      </w:tr>
      <w:tr>
        <w:tc>
          <w:tcPr>
            <w:tcW w:type="dxa" w:w="5083"/>
            <w:vAlign w:val="center"/>
            <w:tcMar>
              <w:top w:w="80" w:type="dxa"/>
              <w:start w:w="90" w:type="dxa"/>
              <w:bottom w:w="80" w:type="dxa"/>
              <w:end w:w="90" w:type="dxa"/>
            </w:tcMar>
            <w:shd w:fill="F2F2F2"/>
          </w:tcPr>
          <w:p>
            <w:pPr>
              <w:spacing w:after="0" w:line="252" w:lineRule="auto"/>
              <w:jc w:val="left"/>
            </w:pPr>
            <w:r/>
            <w:r>
              <w:rPr>
                <w:rFonts w:ascii="Arial" w:hAnsi="Arial"/>
                <w:b/>
                <w:color w:val="CC0000"/>
                <w:sz w:val="17"/>
              </w:rPr>
              <w:t>Purpose</w:t>
            </w:r>
          </w:p>
        </w:tc>
        <w:tc>
          <w:tcPr>
            <w:tcW w:type="dxa" w:w="5083"/>
            <w:vAlign w:val="center"/>
            <w:tcMar>
              <w:top w:w="80" w:type="dxa"/>
              <w:start w:w="90" w:type="dxa"/>
              <w:bottom w:w="80" w:type="dxa"/>
              <w:end w:w="90" w:type="dxa"/>
            </w:tcMar>
          </w:tcPr>
          <w:p>
            <w:pPr>
              <w:spacing w:after="0" w:line="252" w:lineRule="auto"/>
              <w:jc w:val="left"/>
            </w:pPr>
            <w:r/>
            <w:r>
              <w:rPr>
                <w:rFonts w:ascii="Arial" w:hAnsi="Arial"/>
                <w:b w:val="0"/>
                <w:color w:val="222222"/>
                <w:sz w:val="17"/>
              </w:rPr>
              <w:t>Describe the real-time control architecture, CAN migration, host workflows, data-conditioning method, measured results, and evidence limitations that support the companion FRD.</w:t>
            </w:r>
          </w:p>
        </w:tc>
      </w:tr>
    </w:tbl>
    <w:p>
      <w:pPr>
        <w:spacing w:before="480"/>
      </w:pPr>
      <w:r>
        <w:rPr>
          <w:rFonts w:ascii="Arial" w:hAnsi="Arial"/>
          <w:b/>
          <w:color w:val="CC0000"/>
          <w:sz w:val="18"/>
        </w:rPr>
        <w:t>DOCUMENT POSITIONING</w:t>
      </w:r>
    </w:p>
    <w:p>
      <w:pPr>
        <w:ind w:left="259"/>
      </w:pPr>
      <w:r>
        <w:t>Independent engineering documentation for a platform built with Texas Instruments development hardware. This document is not authored, approved, or sponsored by Texas Instruments. Product names and trademarks remain the property of their owners.</w:t>
      </w:r>
    </w:p>
    <w:p>
      <w:r>
        <w:br w:type="page"/>
      </w:r>
    </w:p>
    <w:p>
      <w:pPr>
        <w:pStyle w:val="Heading1"/>
      </w:pPr>
      <w:r>
        <w:t>1. Document Relationship</w:t>
      </w:r>
    </w:p>
    <w:p>
      <w:r>
        <w:t>The companion Functional Requirements &amp; Validation Report is the authoritative public baseline for requirements, verification methods, status, and traceability. This report explains how the embedded, communications, host, and characterization evidence supports that baseline.</w:t>
      </w:r>
    </w:p>
    <w:p>
      <w:pPr>
        <w:pStyle w:val="Heading1"/>
      </w:pPr>
      <w:r>
        <w:t>2. Engineering Outcome</w:t>
      </w:r>
    </w:p>
    <w:p>
      <w:r>
        <w:t>An inherited dual-motor bench with mismatched connection documentation was converted into a repeatable embedded-controls and characterization platform. The work corrected physical phase and encoder interfaces, restored dual-machine FOC operation, stabilized host-target pacing, built fixed-dwell and compressed drive-cycle command generation, implemented a CAN command/response path, and produced reviewable efficiency-map evidence.</w:t>
      </w:r>
    </w:p>
    <w:p>
      <w:pPr>
        <w:keepNext/>
        <w:jc w:val="center"/>
      </w:pPr>
      <w:r>
        <w:drawing>
          <wp:inline xmlns:a="http://schemas.openxmlformats.org/drawingml/2006/main" xmlns:pic="http://schemas.openxmlformats.org/drawingml/2006/picture">
            <wp:extent cx="6126480" cy="282498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2824988"/>
                    </a:xfrm>
                    <a:prstGeom prst="rect"/>
                  </pic:spPr>
                </pic:pic>
              </a:graphicData>
            </a:graphic>
          </wp:inline>
        </w:drawing>
      </w:r>
    </w:p>
    <w:p>
      <w:pPr>
        <w:pStyle w:val="Caption"/>
        <w:jc w:val="center"/>
      </w:pPr>
      <w:r>
        <w:t>Figure 1. Control and data-flow architecture.</w:t>
      </w:r>
    </w:p>
    <w:p>
      <w:pPr>
        <w:pStyle w:val="Heading1"/>
      </w:pPr>
      <w:r>
        <w:t>3. Real-Time Target Responsibilities</w:t>
      </w:r>
    </w:p>
    <w:p>
      <w:pPr>
        <w:pStyle w:val="ListBullet"/>
        <w:ind w:left="360" w:hanging="216"/>
      </w:pPr>
      <w:r>
        <w:t>Execute the motor-control loop, PWM generation, project-specific ADC-synchronized acquisition, QEP position/speed capture, and command interpretation.</w:t>
      </w:r>
    </w:p>
    <w:p>
      <w:pPr>
        <w:pStyle w:val="ListBullet"/>
        <w:ind w:left="360" w:hanging="216"/>
      </w:pPr>
      <w:r>
        <w:t>Maintain separate drive-machine and load-machine control paths.</w:t>
      </w:r>
    </w:p>
    <w:p>
      <w:pPr>
        <w:pStyle w:val="ListBullet"/>
        <w:ind w:left="360" w:hanging="216"/>
      </w:pPr>
      <w:r>
        <w:t>Receive packed host commands over CAN and expose response/telemetry values.</w:t>
      </w:r>
    </w:p>
    <w:p>
      <w:pPr>
        <w:pStyle w:val="ListBullet"/>
        <w:ind w:left="360" w:hanging="216"/>
      </w:pPr>
      <w:r>
        <w:t>Keep time-critical behavior independent of host plotting and GUI refresh timing.</w:t>
      </w:r>
    </w:p>
    <w:p>
      <w:pPr>
        <w:pStyle w:val="Heading1"/>
      </w:pPr>
      <w:r>
        <w:t>4. CAN Host-Target Interface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541"/>
        <w:gridCol w:w="2541"/>
        <w:gridCol w:w="2541"/>
        <w:gridCol w:w="2541"/>
      </w:tblGrid>
      <w:tr>
        <w:trPr>
          <w:tblHeader w:val="true"/>
        </w:trPr>
        <w:tc>
          <w:tcPr>
            <w:tcW w:type="dxa" w:w="144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Direction</w:t>
            </w:r>
          </w:p>
        </w:tc>
        <w:tc>
          <w:tcPr>
            <w:tcW w:type="dxa" w:w="129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Identifier</w:t>
            </w:r>
          </w:p>
        </w:tc>
        <w:tc>
          <w:tcPr>
            <w:tcW w:type="dxa" w:w="180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Payload</w:t>
            </w:r>
          </w:p>
        </w:tc>
        <w:tc>
          <w:tcPr>
            <w:tcW w:type="dxa" w:w="504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Public role</w:t>
            </w:r>
          </w:p>
        </w:tc>
      </w:tr>
      <w:tr>
        <w:tc>
          <w:tcPr>
            <w:tcW w:type="dxa" w:w="1440"/>
            <w:vAlign w:val="center"/>
            <w:tcMar>
              <w:top w:w="80" w:type="dxa"/>
              <w:start w:w="90" w:type="dxa"/>
              <w:bottom w:w="80" w:type="dxa"/>
              <w:end w:w="90" w:type="dxa"/>
            </w:tcMar>
          </w:tcPr>
          <w:p>
            <w:pPr>
              <w:spacing w:after="0" w:line="252" w:lineRule="auto"/>
              <w:jc w:val="center"/>
            </w:pPr>
            <w:r/>
            <w:r>
              <w:rPr>
                <w:rFonts w:ascii="Arial" w:hAnsi="Arial"/>
                <w:b w:val="0"/>
                <w:color w:val="222222"/>
                <w:sz w:val="16"/>
              </w:rPr>
              <w:t>Host to target</w:t>
            </w:r>
          </w:p>
        </w:tc>
        <w:tc>
          <w:tcPr>
            <w:tcW w:type="dxa" w:w="1296"/>
            <w:vAlign w:val="center"/>
            <w:tcMar>
              <w:top w:w="80" w:type="dxa"/>
              <w:start w:w="90" w:type="dxa"/>
              <w:bottom w:w="80" w:type="dxa"/>
              <w:end w:w="90" w:type="dxa"/>
            </w:tcMar>
          </w:tcPr>
          <w:p>
            <w:pPr>
              <w:spacing w:after="0" w:line="252" w:lineRule="auto"/>
              <w:jc w:val="left"/>
            </w:pPr>
            <w:r/>
            <w:r>
              <w:rPr>
                <w:rFonts w:ascii="Arial" w:hAnsi="Arial"/>
                <w:b w:val="0"/>
                <w:color w:val="222222"/>
                <w:sz w:val="16"/>
              </w:rPr>
              <w:t>0x100</w:t>
            </w:r>
          </w:p>
        </w:tc>
        <w:tc>
          <w:tcPr>
            <w:tcW w:type="dxa" w:w="1800"/>
            <w:vAlign w:val="center"/>
            <w:tcMar>
              <w:top w:w="80" w:type="dxa"/>
              <w:start w:w="90" w:type="dxa"/>
              <w:bottom w:w="80" w:type="dxa"/>
              <w:end w:w="90" w:type="dxa"/>
            </w:tcMar>
          </w:tcPr>
          <w:p>
            <w:pPr>
              <w:spacing w:after="0" w:line="252" w:lineRule="auto"/>
              <w:jc w:val="left"/>
            </w:pPr>
            <w:r/>
            <w:r>
              <w:rPr>
                <w:rFonts w:ascii="Arial" w:hAnsi="Arial"/>
                <w:b w:val="0"/>
                <w:color w:val="222222"/>
                <w:sz w:val="16"/>
              </w:rPr>
              <w:t>4 x 16-bit values</w:t>
            </w:r>
          </w:p>
        </w:tc>
        <w:tc>
          <w:tcPr>
            <w:tcW w:type="dxa" w:w="5040"/>
            <w:vAlign w:val="center"/>
            <w:tcMar>
              <w:top w:w="80" w:type="dxa"/>
              <w:start w:w="90" w:type="dxa"/>
              <w:bottom w:w="80" w:type="dxa"/>
              <w:end w:w="90" w:type="dxa"/>
            </w:tcMar>
          </w:tcPr>
          <w:p>
            <w:pPr>
              <w:spacing w:after="0" w:line="252" w:lineRule="auto"/>
              <w:jc w:val="center"/>
            </w:pPr>
            <w:r/>
            <w:r>
              <w:rPr>
                <w:rFonts w:ascii="Arial" w:hAnsi="Arial"/>
                <w:b w:val="0"/>
                <w:color w:val="222222"/>
                <w:sz w:val="16"/>
              </w:rPr>
              <w:t>Command transport: speed, load/current, enable/state, and selection/configuration fields.</w:t>
            </w:r>
          </w:p>
        </w:tc>
      </w:tr>
      <w:tr>
        <w:tc>
          <w:tcPr>
            <w:tcW w:type="dxa" w:w="1440"/>
            <w:vAlign w:val="center"/>
            <w:tcMar>
              <w:top w:w="80" w:type="dxa"/>
              <w:start w:w="90" w:type="dxa"/>
              <w:bottom w:w="80" w:type="dxa"/>
              <w:end w:w="90" w:type="dxa"/>
            </w:tcMar>
          </w:tcPr>
          <w:p>
            <w:pPr>
              <w:spacing w:after="0" w:line="252" w:lineRule="auto"/>
              <w:jc w:val="center"/>
            </w:pPr>
            <w:r/>
            <w:r>
              <w:rPr>
                <w:rFonts w:ascii="Arial" w:hAnsi="Arial"/>
                <w:b w:val="0"/>
                <w:color w:val="222222"/>
                <w:sz w:val="16"/>
              </w:rPr>
              <w:t>Target to host</w:t>
            </w:r>
          </w:p>
        </w:tc>
        <w:tc>
          <w:tcPr>
            <w:tcW w:type="dxa" w:w="1296"/>
            <w:vAlign w:val="center"/>
            <w:tcMar>
              <w:top w:w="80" w:type="dxa"/>
              <w:start w:w="90" w:type="dxa"/>
              <w:bottom w:w="80" w:type="dxa"/>
              <w:end w:w="90" w:type="dxa"/>
            </w:tcMar>
          </w:tcPr>
          <w:p>
            <w:pPr>
              <w:spacing w:after="0" w:line="252" w:lineRule="auto"/>
              <w:jc w:val="left"/>
            </w:pPr>
            <w:r/>
            <w:r>
              <w:rPr>
                <w:rFonts w:ascii="Arial" w:hAnsi="Arial"/>
                <w:b w:val="0"/>
                <w:color w:val="222222"/>
                <w:sz w:val="16"/>
              </w:rPr>
              <w:t>0x101</w:t>
            </w:r>
          </w:p>
        </w:tc>
        <w:tc>
          <w:tcPr>
            <w:tcW w:type="dxa" w:w="1800"/>
            <w:vAlign w:val="center"/>
            <w:tcMar>
              <w:top w:w="80" w:type="dxa"/>
              <w:start w:w="90" w:type="dxa"/>
              <w:bottom w:w="80" w:type="dxa"/>
              <w:end w:w="90" w:type="dxa"/>
            </w:tcMar>
          </w:tcPr>
          <w:p>
            <w:pPr>
              <w:spacing w:after="0" w:line="252" w:lineRule="auto"/>
              <w:jc w:val="left"/>
            </w:pPr>
            <w:r/>
            <w:r>
              <w:rPr>
                <w:rFonts w:ascii="Arial" w:hAnsi="Arial"/>
                <w:b w:val="0"/>
                <w:color w:val="222222"/>
                <w:sz w:val="16"/>
              </w:rPr>
              <w:t>4 x 16-bit values</w:t>
            </w:r>
          </w:p>
        </w:tc>
        <w:tc>
          <w:tcPr>
            <w:tcW w:type="dxa" w:w="5040"/>
            <w:vAlign w:val="center"/>
            <w:tcMar>
              <w:top w:w="80" w:type="dxa"/>
              <w:start w:w="90" w:type="dxa"/>
              <w:bottom w:w="80" w:type="dxa"/>
              <w:end w:w="90" w:type="dxa"/>
            </w:tcMar>
          </w:tcPr>
          <w:p>
            <w:pPr>
              <w:spacing w:after="0" w:line="252" w:lineRule="auto"/>
              <w:jc w:val="center"/>
            </w:pPr>
            <w:r/>
            <w:r>
              <w:rPr>
                <w:rFonts w:ascii="Arial" w:hAnsi="Arial"/>
                <w:b w:val="0"/>
                <w:color w:val="222222"/>
                <w:sz w:val="16"/>
              </w:rPr>
              <w:t>Response/echo and selected target values for integration verification.</w:t>
            </w:r>
          </w:p>
        </w:tc>
      </w:tr>
    </w:tbl>
    <w:p>
      <w:pPr>
        <w:spacing w:after="0"/>
      </w:pPr>
    </w:p>
    <w:p>
      <w:r>
        <w:t>The retained source evidence shows standard CAN mailbox configuration for these identifiers and byte packing/unpacking for four 16-bit values. Exact private scaling tables and the complete telemetry dictionary are not published.</w:t>
      </w:r>
    </w:p>
    <w:p>
      <w:pPr>
        <w:pStyle w:val="Heading1"/>
      </w:pPr>
      <w:r>
        <w:t>5. Host Workflows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389"/>
        <w:gridCol w:w="3389"/>
        <w:gridCol w:w="3389"/>
      </w:tblGrid>
      <w:tr>
        <w:trPr>
          <w:tblHeader w:val="true"/>
        </w:trPr>
        <w:tc>
          <w:tcPr>
            <w:tcW w:type="dxa" w:w="216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Workflow</w:t>
            </w:r>
          </w:p>
        </w:tc>
        <w:tc>
          <w:tcPr>
            <w:tcW w:type="dxa" w:w="468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Purpose</w:t>
            </w:r>
          </w:p>
        </w:tc>
        <w:tc>
          <w:tcPr>
            <w:tcW w:type="dxa" w:w="252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Evidence</w:t>
            </w:r>
          </w:p>
        </w:tc>
      </w:tr>
      <w:tr>
        <w:tc>
          <w:tcPr>
            <w:tcW w:type="dxa" w:w="2160"/>
            <w:vAlign w:val="center"/>
            <w:tcMar>
              <w:top w:w="80" w:type="dxa"/>
              <w:start w:w="90" w:type="dxa"/>
              <w:bottom w:w="80" w:type="dxa"/>
              <w:end w:w="90" w:type="dxa"/>
            </w:tcMar>
          </w:tcPr>
          <w:p>
            <w:pPr>
              <w:spacing w:after="0" w:line="252" w:lineRule="auto"/>
              <w:jc w:val="center"/>
            </w:pPr>
            <w:r/>
            <w:r>
              <w:rPr>
                <w:rFonts w:ascii="Arial" w:hAnsi="Arial"/>
                <w:b w:val="0"/>
                <w:color w:val="222222"/>
                <w:sz w:val="16"/>
              </w:rPr>
              <w:t>Fixed-dwell efficiency test</w:t>
            </w:r>
          </w:p>
        </w:tc>
        <w:tc>
          <w:tcPr>
            <w:tcW w:type="dxa" w:w="4680"/>
            <w:vAlign w:val="center"/>
            <w:tcMar>
              <w:top w:w="80" w:type="dxa"/>
              <w:start w:w="90" w:type="dxa"/>
              <w:bottom w:w="80" w:type="dxa"/>
              <w:end w:w="90" w:type="dxa"/>
            </w:tcMar>
          </w:tcPr>
          <w:p>
            <w:pPr>
              <w:spacing w:after="0" w:line="252" w:lineRule="auto"/>
              <w:jc w:val="left"/>
            </w:pPr>
            <w:r/>
            <w:r>
              <w:rPr>
                <w:rFonts w:ascii="Arial" w:hAnsi="Arial"/>
                <w:b w:val="0"/>
                <w:color w:val="222222"/>
                <w:sz w:val="16"/>
              </w:rPr>
              <w:t>Hold defined speed/load operating points long enough to accumulate valid samples.</w:t>
            </w:r>
          </w:p>
        </w:tc>
        <w:tc>
          <w:tcPr>
            <w:tcW w:type="dxa" w:w="2520"/>
            <w:vAlign w:val="center"/>
            <w:tcMar>
              <w:top w:w="80" w:type="dxa"/>
              <w:start w:w="90" w:type="dxa"/>
              <w:bottom w:w="80" w:type="dxa"/>
              <w:end w:w="90" w:type="dxa"/>
            </w:tcMar>
          </w:tcPr>
          <w:p>
            <w:pPr>
              <w:spacing w:after="0" w:line="252" w:lineRule="auto"/>
              <w:jc w:val="center"/>
            </w:pPr>
            <w:r/>
            <w:r>
              <w:rPr>
                <w:rFonts w:ascii="Arial" w:hAnsi="Arial"/>
                <w:b w:val="0"/>
                <w:color w:val="222222"/>
                <w:sz w:val="16"/>
              </w:rPr>
              <w:t>efficiency_test_setup.m</w:t>
            </w:r>
          </w:p>
        </w:tc>
      </w:tr>
      <w:tr>
        <w:tc>
          <w:tcPr>
            <w:tcW w:type="dxa" w:w="2160"/>
            <w:vAlign w:val="center"/>
            <w:tcMar>
              <w:top w:w="80" w:type="dxa"/>
              <w:start w:w="90" w:type="dxa"/>
              <w:bottom w:w="80" w:type="dxa"/>
              <w:end w:w="90" w:type="dxa"/>
            </w:tcMar>
          </w:tcPr>
          <w:p>
            <w:pPr>
              <w:spacing w:after="0" w:line="252" w:lineRule="auto"/>
              <w:jc w:val="center"/>
            </w:pPr>
            <w:r/>
            <w:r>
              <w:rPr>
                <w:rFonts w:ascii="Arial" w:hAnsi="Arial"/>
                <w:b w:val="0"/>
                <w:color w:val="222222"/>
                <w:sz w:val="16"/>
              </w:rPr>
              <w:t>Drive-cycle test</w:t>
            </w:r>
          </w:p>
        </w:tc>
        <w:tc>
          <w:tcPr>
            <w:tcW w:type="dxa" w:w="4680"/>
            <w:vAlign w:val="center"/>
            <w:tcMar>
              <w:top w:w="80" w:type="dxa"/>
              <w:start w:w="90" w:type="dxa"/>
              <w:bottom w:w="80" w:type="dxa"/>
              <w:end w:w="90" w:type="dxa"/>
            </w:tcMar>
          </w:tcPr>
          <w:p>
            <w:pPr>
              <w:spacing w:after="0" w:line="252" w:lineRule="auto"/>
              <w:jc w:val="left"/>
            </w:pPr>
            <w:r/>
            <w:r>
              <w:rPr>
                <w:rFonts w:ascii="Arial" w:hAnsi="Arial"/>
                <w:b w:val="0"/>
                <w:color w:val="222222"/>
                <w:sz w:val="16"/>
              </w:rPr>
              <w:t>Create a bounded, compressed FTP-style speed command and corresponding load command.</w:t>
            </w:r>
          </w:p>
        </w:tc>
        <w:tc>
          <w:tcPr>
            <w:tcW w:type="dxa" w:w="2520"/>
            <w:vAlign w:val="center"/>
            <w:tcMar>
              <w:top w:w="80" w:type="dxa"/>
              <w:start w:w="90" w:type="dxa"/>
              <w:bottom w:w="80" w:type="dxa"/>
              <w:end w:w="90" w:type="dxa"/>
            </w:tcMar>
          </w:tcPr>
          <w:p>
            <w:pPr>
              <w:spacing w:after="0" w:line="252" w:lineRule="auto"/>
              <w:jc w:val="center"/>
            </w:pPr>
            <w:r/>
            <w:r>
              <w:rPr>
                <w:rFonts w:ascii="Arial" w:hAnsi="Arial"/>
                <w:b w:val="0"/>
                <w:color w:val="222222"/>
                <w:sz w:val="16"/>
              </w:rPr>
              <w:t>drive_cycle_setup.m</w:t>
            </w:r>
          </w:p>
        </w:tc>
      </w:tr>
      <w:tr>
        <w:tc>
          <w:tcPr>
            <w:tcW w:type="dxa" w:w="2160"/>
            <w:vAlign w:val="center"/>
            <w:tcMar>
              <w:top w:w="80" w:type="dxa"/>
              <w:start w:w="90" w:type="dxa"/>
              <w:bottom w:w="80" w:type="dxa"/>
              <w:end w:w="90" w:type="dxa"/>
            </w:tcMar>
          </w:tcPr>
          <w:p>
            <w:pPr>
              <w:spacing w:after="0" w:line="252" w:lineRule="auto"/>
              <w:jc w:val="center"/>
            </w:pPr>
            <w:r/>
            <w:r>
              <w:rPr>
                <w:rFonts w:ascii="Arial" w:hAnsi="Arial"/>
                <w:b w:val="0"/>
                <w:color w:val="222222"/>
                <w:sz w:val="16"/>
              </w:rPr>
              <w:t>Efficiency processing</w:t>
            </w:r>
          </w:p>
        </w:tc>
        <w:tc>
          <w:tcPr>
            <w:tcW w:type="dxa" w:w="4680"/>
            <w:vAlign w:val="center"/>
            <w:tcMar>
              <w:top w:w="80" w:type="dxa"/>
              <w:start w:w="90" w:type="dxa"/>
              <w:bottom w:w="80" w:type="dxa"/>
              <w:end w:w="90" w:type="dxa"/>
            </w:tcMar>
          </w:tcPr>
          <w:p>
            <w:pPr>
              <w:spacing w:after="0" w:line="252" w:lineRule="auto"/>
              <w:jc w:val="left"/>
            </w:pPr>
            <w:r/>
            <w:r>
              <w:rPr>
                <w:rFonts w:ascii="Arial" w:hAnsi="Arial"/>
                <w:b w:val="0"/>
                <w:color w:val="222222"/>
                <w:sz w:val="16"/>
              </w:rPr>
              <w:t>Crop, align, screen, compute, bin, count, and visualize efficiency data.</w:t>
            </w:r>
          </w:p>
        </w:tc>
        <w:tc>
          <w:tcPr>
            <w:tcW w:type="dxa" w:w="2520"/>
            <w:vAlign w:val="center"/>
            <w:tcMar>
              <w:top w:w="80" w:type="dxa"/>
              <w:start w:w="90" w:type="dxa"/>
              <w:bottom w:w="80" w:type="dxa"/>
              <w:end w:w="90" w:type="dxa"/>
            </w:tcMar>
          </w:tcPr>
          <w:p>
            <w:pPr>
              <w:spacing w:after="0" w:line="252" w:lineRule="auto"/>
              <w:jc w:val="center"/>
            </w:pPr>
            <w:r/>
            <w:r>
              <w:rPr>
                <w:rFonts w:ascii="Arial" w:hAnsi="Arial"/>
                <w:b w:val="0"/>
                <w:color w:val="222222"/>
                <w:sz w:val="16"/>
              </w:rPr>
              <w:t>motor_efficiency_processing.m</w:t>
            </w:r>
          </w:p>
        </w:tc>
      </w:tr>
      <w:tr>
        <w:tc>
          <w:tcPr>
            <w:tcW w:type="dxa" w:w="2160"/>
            <w:vAlign w:val="center"/>
            <w:tcMar>
              <w:top w:w="80" w:type="dxa"/>
              <w:start w:w="90" w:type="dxa"/>
              <w:bottom w:w="80" w:type="dxa"/>
              <w:end w:w="90" w:type="dxa"/>
            </w:tcMar>
          </w:tcPr>
          <w:p>
            <w:pPr>
              <w:spacing w:after="0" w:line="252" w:lineRule="auto"/>
              <w:jc w:val="center"/>
            </w:pPr>
            <w:r/>
            <w:r>
              <w:rPr>
                <w:rFonts w:ascii="Arial" w:hAnsi="Arial"/>
                <w:b w:val="0"/>
                <w:color w:val="222222"/>
                <w:sz w:val="16"/>
              </w:rPr>
              <w:t>Run export and plotting</w:t>
            </w:r>
          </w:p>
        </w:tc>
        <w:tc>
          <w:tcPr>
            <w:tcW w:type="dxa" w:w="4680"/>
            <w:vAlign w:val="center"/>
            <w:tcMar>
              <w:top w:w="80" w:type="dxa"/>
              <w:start w:w="90" w:type="dxa"/>
              <w:bottom w:w="80" w:type="dxa"/>
              <w:end w:w="90" w:type="dxa"/>
            </w:tcMar>
          </w:tcPr>
          <w:p>
            <w:pPr>
              <w:spacing w:after="0" w:line="252" w:lineRule="auto"/>
              <w:jc w:val="left"/>
            </w:pPr>
            <w:r/>
            <w:r>
              <w:rPr>
                <w:rFonts w:ascii="Arial" w:hAnsi="Arial"/>
                <w:b w:val="0"/>
                <w:color w:val="222222"/>
                <w:sz w:val="16"/>
              </w:rPr>
              <w:t>Save selected sessions and compare runs.</w:t>
            </w:r>
          </w:p>
        </w:tc>
        <w:tc>
          <w:tcPr>
            <w:tcW w:type="dxa" w:w="2520"/>
            <w:vAlign w:val="center"/>
            <w:tcMar>
              <w:top w:w="80" w:type="dxa"/>
              <w:start w:w="90" w:type="dxa"/>
              <w:bottom w:w="80" w:type="dxa"/>
              <w:end w:w="90" w:type="dxa"/>
            </w:tcMar>
          </w:tcPr>
          <w:p>
            <w:pPr>
              <w:spacing w:after="0" w:line="252" w:lineRule="auto"/>
              <w:jc w:val="center"/>
            </w:pPr>
            <w:r/>
            <w:r>
              <w:rPr>
                <w:rFonts w:ascii="Arial" w:hAnsi="Arial"/>
                <w:b w:val="0"/>
                <w:color w:val="222222"/>
                <w:sz w:val="16"/>
              </w:rPr>
              <w:t>host-software utilities</w:t>
            </w:r>
          </w:p>
        </w:tc>
      </w:tr>
    </w:tbl>
    <w:p>
      <w:pPr>
        <w:spacing w:after="0"/>
      </w:pPr>
    </w:p>
    <w:p>
      <w:pPr>
        <w:pStyle w:val="Heading1"/>
      </w:pPr>
      <w:r>
        <w:t>6. Characterization Method</w:t>
      </w:r>
    </w:p>
    <w:p>
      <w:r>
        <w:t>Signals captured across selected debug configurations are cropped to a common interval and interpolated onto a common time base. The workflow computes electrical and mechanical power, applies validity masks, bins accepted samples by speed and torque, stores sample counts, and produces measured and interpolated views. Interpolated surfaces are explicitly presentation aids rather than additional measured evidence.</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5083"/>
        <w:gridCol w:w="5083"/>
      </w:tblGrid>
      <w:tr>
        <w:trPr>
          <w:tblHeader w:val="true"/>
        </w:trPr>
        <w:tc>
          <w:tcPr>
            <w:tcW w:type="dxa" w:w="504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7"/>
              </w:rPr>
              <w:t>Screening rule</w:t>
            </w:r>
          </w:p>
        </w:tc>
        <w:tc>
          <w:tcPr>
            <w:tcW w:type="dxa" w:w="3744"/>
            <w:vAlign w:val="center"/>
            <w:tcMar>
              <w:top w:w="80" w:type="dxa"/>
              <w:start w:w="90" w:type="dxa"/>
              <w:bottom w:w="80" w:type="dxa"/>
              <w:end w:w="90" w:type="dxa"/>
            </w:tcMar>
            <w:shd w:fill="CC0000"/>
          </w:tcPr>
          <w:p>
            <w:pPr>
              <w:spacing w:after="0" w:line="252" w:lineRule="auto"/>
              <w:jc w:val="center"/>
            </w:pPr>
            <w:r/>
            <w:r>
              <w:rPr>
                <w:rFonts w:ascii="Arial" w:hAnsi="Arial"/>
                <w:b/>
                <w:color w:val="FFFFFF"/>
                <w:sz w:val="17"/>
              </w:rPr>
              <w:t>Threshold</w:t>
            </w:r>
          </w:p>
        </w:tc>
      </w:tr>
      <w:tr>
        <w:tc>
          <w:tcPr>
            <w:tcW w:type="dxa" w:w="5040"/>
            <w:vAlign w:val="center"/>
            <w:tcMar>
              <w:top w:w="80" w:type="dxa"/>
              <w:start w:w="90" w:type="dxa"/>
              <w:bottom w:w="80" w:type="dxa"/>
              <w:end w:w="90" w:type="dxa"/>
            </w:tcMar>
          </w:tcPr>
          <w:p>
            <w:pPr>
              <w:spacing w:after="0" w:line="252" w:lineRule="auto"/>
              <w:jc w:val="center"/>
            </w:pPr>
            <w:r/>
            <w:r>
              <w:rPr>
                <w:rFonts w:ascii="Arial" w:hAnsi="Arial"/>
                <w:b w:val="0"/>
                <w:color w:val="222222"/>
                <w:sz w:val="17"/>
              </w:rPr>
              <w:t>Electrical input power</w:t>
            </w:r>
          </w:p>
        </w:tc>
        <w:tc>
          <w:tcPr>
            <w:tcW w:type="dxa" w:w="3744"/>
            <w:vAlign w:val="center"/>
            <w:tcMar>
              <w:top w:w="80" w:type="dxa"/>
              <w:start w:w="90" w:type="dxa"/>
              <w:bottom w:w="80" w:type="dxa"/>
              <w:end w:w="90" w:type="dxa"/>
            </w:tcMar>
          </w:tcPr>
          <w:p>
            <w:pPr>
              <w:spacing w:after="0" w:line="252" w:lineRule="auto"/>
              <w:jc w:val="center"/>
            </w:pPr>
            <w:r/>
            <w:r>
              <w:rPr>
                <w:rFonts w:ascii="Arial" w:hAnsi="Arial"/>
                <w:b w:val="0"/>
                <w:color w:val="222222"/>
                <w:sz w:val="17"/>
              </w:rPr>
              <w:t>&gt; 10 W</w:t>
            </w:r>
          </w:p>
        </w:tc>
      </w:tr>
      <w:tr>
        <w:tc>
          <w:tcPr>
            <w:tcW w:type="dxa" w:w="5040"/>
            <w:vAlign w:val="center"/>
            <w:tcMar>
              <w:top w:w="80" w:type="dxa"/>
              <w:start w:w="90" w:type="dxa"/>
              <w:bottom w:w="80" w:type="dxa"/>
              <w:end w:w="90" w:type="dxa"/>
            </w:tcMar>
          </w:tcPr>
          <w:p>
            <w:pPr>
              <w:spacing w:after="0" w:line="252" w:lineRule="auto"/>
              <w:jc w:val="center"/>
            </w:pPr>
            <w:r/>
            <w:r>
              <w:rPr>
                <w:rFonts w:ascii="Arial" w:hAnsi="Arial"/>
                <w:b w:val="0"/>
                <w:color w:val="222222"/>
                <w:sz w:val="17"/>
              </w:rPr>
              <w:t>Mechanical output power</w:t>
            </w:r>
          </w:p>
        </w:tc>
        <w:tc>
          <w:tcPr>
            <w:tcW w:type="dxa" w:w="3744"/>
            <w:vAlign w:val="center"/>
            <w:tcMar>
              <w:top w:w="80" w:type="dxa"/>
              <w:start w:w="90" w:type="dxa"/>
              <w:bottom w:w="80" w:type="dxa"/>
              <w:end w:w="90" w:type="dxa"/>
            </w:tcMar>
          </w:tcPr>
          <w:p>
            <w:pPr>
              <w:spacing w:after="0" w:line="252" w:lineRule="auto"/>
              <w:jc w:val="center"/>
            </w:pPr>
            <w:r/>
            <w:r>
              <w:rPr>
                <w:rFonts w:ascii="Arial" w:hAnsi="Arial"/>
                <w:b w:val="0"/>
                <w:color w:val="222222"/>
                <w:sz w:val="17"/>
              </w:rPr>
              <w:t>&gt; 3 W</w:t>
            </w:r>
          </w:p>
        </w:tc>
      </w:tr>
      <w:tr>
        <w:tc>
          <w:tcPr>
            <w:tcW w:type="dxa" w:w="5040"/>
            <w:vAlign w:val="center"/>
            <w:tcMar>
              <w:top w:w="80" w:type="dxa"/>
              <w:start w:w="90" w:type="dxa"/>
              <w:bottom w:w="80" w:type="dxa"/>
              <w:end w:w="90" w:type="dxa"/>
            </w:tcMar>
          </w:tcPr>
          <w:p>
            <w:pPr>
              <w:spacing w:after="0" w:line="252" w:lineRule="auto"/>
              <w:jc w:val="center"/>
            </w:pPr>
            <w:r/>
            <w:r>
              <w:rPr>
                <w:rFonts w:ascii="Arial" w:hAnsi="Arial"/>
                <w:b w:val="0"/>
                <w:color w:val="222222"/>
                <w:sz w:val="17"/>
              </w:rPr>
              <w:t>Torque</w:t>
            </w:r>
          </w:p>
        </w:tc>
        <w:tc>
          <w:tcPr>
            <w:tcW w:type="dxa" w:w="3744"/>
            <w:vAlign w:val="center"/>
            <w:tcMar>
              <w:top w:w="80" w:type="dxa"/>
              <w:start w:w="90" w:type="dxa"/>
              <w:bottom w:w="80" w:type="dxa"/>
              <w:end w:w="90" w:type="dxa"/>
            </w:tcMar>
          </w:tcPr>
          <w:p>
            <w:pPr>
              <w:spacing w:after="0" w:line="252" w:lineRule="auto"/>
              <w:jc w:val="center"/>
            </w:pPr>
            <w:r/>
            <w:r>
              <w:rPr>
                <w:rFonts w:ascii="Arial" w:hAnsi="Arial"/>
                <w:b w:val="0"/>
                <w:color w:val="222222"/>
                <w:sz w:val="17"/>
              </w:rPr>
              <w:t>&gt; 0.045 N m</w:t>
            </w:r>
          </w:p>
        </w:tc>
      </w:tr>
      <w:tr>
        <w:tc>
          <w:tcPr>
            <w:tcW w:type="dxa" w:w="5040"/>
            <w:vAlign w:val="center"/>
            <w:tcMar>
              <w:top w:w="80" w:type="dxa"/>
              <w:start w:w="90" w:type="dxa"/>
              <w:bottom w:w="80" w:type="dxa"/>
              <w:end w:w="90" w:type="dxa"/>
            </w:tcMar>
          </w:tcPr>
          <w:p>
            <w:pPr>
              <w:spacing w:after="0" w:line="252" w:lineRule="auto"/>
              <w:jc w:val="center"/>
            </w:pPr>
            <w:r/>
            <w:r>
              <w:rPr>
                <w:rFonts w:ascii="Arial" w:hAnsi="Arial"/>
                <w:b w:val="0"/>
                <w:color w:val="222222"/>
                <w:sz w:val="17"/>
              </w:rPr>
              <w:t>Efficiency</w:t>
            </w:r>
          </w:p>
        </w:tc>
        <w:tc>
          <w:tcPr>
            <w:tcW w:type="dxa" w:w="3744"/>
            <w:vAlign w:val="center"/>
            <w:tcMar>
              <w:top w:w="80" w:type="dxa"/>
              <w:start w:w="90" w:type="dxa"/>
              <w:bottom w:w="80" w:type="dxa"/>
              <w:end w:w="90" w:type="dxa"/>
            </w:tcMar>
          </w:tcPr>
          <w:p>
            <w:pPr>
              <w:spacing w:after="0" w:line="252" w:lineRule="auto"/>
              <w:jc w:val="center"/>
            </w:pPr>
            <w:r/>
            <w:r>
              <w:rPr>
                <w:rFonts w:ascii="Arial" w:hAnsi="Arial"/>
                <w:b w:val="0"/>
                <w:color w:val="222222"/>
                <w:sz w:val="17"/>
              </w:rPr>
              <w:t>Finite and physically plausible</w:t>
            </w:r>
          </w:p>
        </w:tc>
      </w:tr>
      <w:tr>
        <w:tc>
          <w:tcPr>
            <w:tcW w:type="dxa" w:w="5040"/>
            <w:vAlign w:val="center"/>
            <w:tcMar>
              <w:top w:w="80" w:type="dxa"/>
              <w:start w:w="90" w:type="dxa"/>
              <w:bottom w:w="80" w:type="dxa"/>
              <w:end w:w="90" w:type="dxa"/>
            </w:tcMar>
          </w:tcPr>
          <w:p>
            <w:pPr>
              <w:spacing w:after="0" w:line="252" w:lineRule="auto"/>
              <w:jc w:val="center"/>
            </w:pPr>
            <w:r/>
            <w:r>
              <w:rPr>
                <w:rFonts w:ascii="Arial" w:hAnsi="Arial"/>
                <w:b w:val="0"/>
                <w:color w:val="222222"/>
                <w:sz w:val="17"/>
              </w:rPr>
              <w:t>Speed/torque grid</w:t>
            </w:r>
          </w:p>
        </w:tc>
        <w:tc>
          <w:tcPr>
            <w:tcW w:type="dxa" w:w="3744"/>
            <w:vAlign w:val="center"/>
            <w:tcMar>
              <w:top w:w="80" w:type="dxa"/>
              <w:start w:w="90" w:type="dxa"/>
              <w:bottom w:w="80" w:type="dxa"/>
              <w:end w:w="90" w:type="dxa"/>
            </w:tcMar>
          </w:tcPr>
          <w:p>
            <w:pPr>
              <w:spacing w:after="0" w:line="252" w:lineRule="auto"/>
              <w:jc w:val="center"/>
            </w:pPr>
            <w:r/>
            <w:r>
              <w:rPr>
                <w:rFonts w:ascii="Arial" w:hAnsi="Arial"/>
                <w:b w:val="0"/>
                <w:color w:val="222222"/>
                <w:sz w:val="17"/>
              </w:rPr>
              <w:t>0-4000 rpm; 0-0.25 N m</w:t>
            </w:r>
          </w:p>
        </w:tc>
      </w:tr>
    </w:tbl>
    <w:p>
      <w:pPr>
        <w:spacing w:after="0"/>
      </w:pPr>
    </w:p>
    <w:p>
      <w:pPr>
        <w:keepNext/>
        <w:jc w:val="center"/>
      </w:pPr>
      <w:r>
        <w:drawing>
          <wp:inline xmlns:a="http://schemas.openxmlformats.org/drawingml/2006/main" xmlns:pic="http://schemas.openxmlformats.org/drawingml/2006/picture">
            <wp:extent cx="5623560" cy="4501630"/>
            <wp:docPr id="2" name="Picture 2"/>
            <wp:cNvGraphicFramePr>
              <a:graphicFrameLocks noChangeAspect="1"/>
            </wp:cNvGraphicFramePr>
            <a:graphic>
              <a:graphicData uri="http://schemas.openxmlformats.org/drawingml/2006/picture">
                <pic:pic>
                  <pic:nvPicPr>
                    <pic:cNvPr id="0" name="01_raw_signals.png"/>
                    <pic:cNvPicPr/>
                  </pic:nvPicPr>
                  <pic:blipFill>
                    <a:blip r:embed="rId12"/>
                    <a:stretch>
                      <a:fillRect/>
                    </a:stretch>
                  </pic:blipFill>
                  <pic:spPr>
                    <a:xfrm>
                      <a:off x="0" y="0"/>
                      <a:ext cx="5623560" cy="4501630"/>
                    </a:xfrm>
                    <a:prstGeom prst="rect"/>
                  </pic:spPr>
                </pic:pic>
              </a:graphicData>
            </a:graphic>
          </wp:inline>
        </w:drawing>
      </w:r>
    </w:p>
    <w:p>
      <w:pPr>
        <w:pStyle w:val="Caption"/>
        <w:jc w:val="center"/>
      </w:pPr>
      <w:r>
        <w:t>Figure. Raw signal review.</w:t>
      </w:r>
    </w:p>
    <w:p>
      <w:pPr>
        <w:keepNext/>
        <w:jc w:val="center"/>
      </w:pPr>
      <w:r>
        <w:drawing>
          <wp:inline xmlns:a="http://schemas.openxmlformats.org/drawingml/2006/main" xmlns:pic="http://schemas.openxmlformats.org/drawingml/2006/picture">
            <wp:extent cx="5623560" cy="4496994"/>
            <wp:docPr id="3" name="Picture 3"/>
            <wp:cNvGraphicFramePr>
              <a:graphicFrameLocks noChangeAspect="1"/>
            </wp:cNvGraphicFramePr>
            <a:graphic>
              <a:graphicData uri="http://schemas.openxmlformats.org/drawingml/2006/picture">
                <pic:pic>
                  <pic:nvPicPr>
                    <pic:cNvPr id="0" name="02_cleaning_overlay.png"/>
                    <pic:cNvPicPr/>
                  </pic:nvPicPr>
                  <pic:blipFill>
                    <a:blip r:embed="rId13"/>
                    <a:stretch>
                      <a:fillRect/>
                    </a:stretch>
                  </pic:blipFill>
                  <pic:spPr>
                    <a:xfrm>
                      <a:off x="0" y="0"/>
                      <a:ext cx="5623560" cy="4496994"/>
                    </a:xfrm>
                    <a:prstGeom prst="rect"/>
                  </pic:spPr>
                </pic:pic>
              </a:graphicData>
            </a:graphic>
          </wp:inline>
        </w:drawing>
      </w:r>
    </w:p>
    <w:p>
      <w:pPr>
        <w:pStyle w:val="Caption"/>
        <w:jc w:val="center"/>
      </w:pPr>
      <w:r>
        <w:t>Figure. Cleaning overlay showing retained and rejected regions.</w:t>
      </w:r>
    </w:p>
    <w:p>
      <w:pPr>
        <w:keepNext/>
        <w:jc w:val="center"/>
      </w:pPr>
      <w:r>
        <w:drawing>
          <wp:inline xmlns:a="http://schemas.openxmlformats.org/drawingml/2006/main" xmlns:pic="http://schemas.openxmlformats.org/drawingml/2006/picture">
            <wp:extent cx="5623560" cy="4580061"/>
            <wp:docPr id="4" name="Picture 4"/>
            <wp:cNvGraphicFramePr>
              <a:graphicFrameLocks noChangeAspect="1"/>
            </wp:cNvGraphicFramePr>
            <a:graphic>
              <a:graphicData uri="http://schemas.openxmlformats.org/drawingml/2006/picture">
                <pic:pic>
                  <pic:nvPicPr>
                    <pic:cNvPr id="0" name="03_filter_masks.png"/>
                    <pic:cNvPicPr/>
                  </pic:nvPicPr>
                  <pic:blipFill>
                    <a:blip r:embed="rId14"/>
                    <a:stretch>
                      <a:fillRect/>
                    </a:stretch>
                  </pic:blipFill>
                  <pic:spPr>
                    <a:xfrm>
                      <a:off x="0" y="0"/>
                      <a:ext cx="5623560" cy="4580061"/>
                    </a:xfrm>
                    <a:prstGeom prst="rect"/>
                  </pic:spPr>
                </pic:pic>
              </a:graphicData>
            </a:graphic>
          </wp:inline>
        </w:drawing>
      </w:r>
    </w:p>
    <w:p>
      <w:pPr>
        <w:pStyle w:val="Caption"/>
        <w:jc w:val="center"/>
      </w:pPr>
      <w:r>
        <w:t>Figure. Validity masks before derived calculations.</w:t>
      </w:r>
    </w:p>
    <w:p>
      <w:pPr>
        <w:keepNext/>
        <w:jc w:val="center"/>
      </w:pPr>
      <w:r>
        <w:drawing>
          <wp:inline xmlns:a="http://schemas.openxmlformats.org/drawingml/2006/main" xmlns:pic="http://schemas.openxmlformats.org/drawingml/2006/picture">
            <wp:extent cx="5623560" cy="4362731"/>
            <wp:docPr id="5" name="Picture 5"/>
            <wp:cNvGraphicFramePr>
              <a:graphicFrameLocks noChangeAspect="1"/>
            </wp:cNvGraphicFramePr>
            <a:graphic>
              <a:graphicData uri="http://schemas.openxmlformats.org/drawingml/2006/picture">
                <pic:pic>
                  <pic:nvPicPr>
                    <pic:cNvPr id="0" name="04_valid_efficiency_points.png"/>
                    <pic:cNvPicPr/>
                  </pic:nvPicPr>
                  <pic:blipFill>
                    <a:blip r:embed="rId15"/>
                    <a:stretch>
                      <a:fillRect/>
                    </a:stretch>
                  </pic:blipFill>
                  <pic:spPr>
                    <a:xfrm>
                      <a:off x="0" y="0"/>
                      <a:ext cx="5623560" cy="4362731"/>
                    </a:xfrm>
                    <a:prstGeom prst="rect"/>
                  </pic:spPr>
                </pic:pic>
              </a:graphicData>
            </a:graphic>
          </wp:inline>
        </w:drawing>
      </w:r>
    </w:p>
    <w:p>
      <w:pPr>
        <w:pStyle w:val="Caption"/>
        <w:jc w:val="center"/>
      </w:pPr>
      <w:r>
        <w:t>Figure. Accepted measured operating points.</w:t>
      </w:r>
    </w:p>
    <w:p>
      <w:pPr>
        <w:keepNext/>
        <w:jc w:val="center"/>
      </w:pPr>
      <w:r>
        <w:drawing>
          <wp:inline xmlns:a="http://schemas.openxmlformats.org/drawingml/2006/main" xmlns:pic="http://schemas.openxmlformats.org/drawingml/2006/picture">
            <wp:extent cx="5623560" cy="4373880"/>
            <wp:docPr id="6" name="Picture 6"/>
            <wp:cNvGraphicFramePr>
              <a:graphicFrameLocks noChangeAspect="1"/>
            </wp:cNvGraphicFramePr>
            <a:graphic>
              <a:graphicData uri="http://schemas.openxmlformats.org/drawingml/2006/picture">
                <pic:pic>
                  <pic:nvPicPr>
                    <pic:cNvPr id="0" name="05_measured_efficiency_map.png"/>
                    <pic:cNvPicPr/>
                  </pic:nvPicPr>
                  <pic:blipFill>
                    <a:blip r:embed="rId16"/>
                    <a:stretch>
                      <a:fillRect/>
                    </a:stretch>
                  </pic:blipFill>
                  <pic:spPr>
                    <a:xfrm>
                      <a:off x="0" y="0"/>
                      <a:ext cx="5623560" cy="4373880"/>
                    </a:xfrm>
                    <a:prstGeom prst="rect"/>
                  </pic:spPr>
                </pic:pic>
              </a:graphicData>
            </a:graphic>
          </wp:inline>
        </w:drawing>
      </w:r>
    </w:p>
    <w:p>
      <w:pPr>
        <w:pStyle w:val="Caption"/>
        <w:jc w:val="center"/>
      </w:pPr>
      <w:r>
        <w:t>Figure. Measured-bin efficiency map.</w:t>
      </w:r>
    </w:p>
    <w:p>
      <w:pPr>
        <w:keepNext/>
        <w:jc w:val="center"/>
      </w:pPr>
      <w:r>
        <w:drawing>
          <wp:inline xmlns:a="http://schemas.openxmlformats.org/drawingml/2006/main" xmlns:pic="http://schemas.openxmlformats.org/drawingml/2006/picture">
            <wp:extent cx="5623560" cy="4421645"/>
            <wp:docPr id="7" name="Picture 7"/>
            <wp:cNvGraphicFramePr>
              <a:graphicFrameLocks noChangeAspect="1"/>
            </wp:cNvGraphicFramePr>
            <a:graphic>
              <a:graphicData uri="http://schemas.openxmlformats.org/drawingml/2006/picture">
                <pic:pic>
                  <pic:nvPicPr>
                    <pic:cNvPr id="0" name="06_sample_count_map.png"/>
                    <pic:cNvPicPr/>
                  </pic:nvPicPr>
                  <pic:blipFill>
                    <a:blip r:embed="rId17"/>
                    <a:stretch>
                      <a:fillRect/>
                    </a:stretch>
                  </pic:blipFill>
                  <pic:spPr>
                    <a:xfrm>
                      <a:off x="0" y="0"/>
                      <a:ext cx="5623560" cy="4421645"/>
                    </a:xfrm>
                    <a:prstGeom prst="rect"/>
                  </pic:spPr>
                </pic:pic>
              </a:graphicData>
            </a:graphic>
          </wp:inline>
        </w:drawing>
      </w:r>
    </w:p>
    <w:p>
      <w:pPr>
        <w:pStyle w:val="Caption"/>
        <w:jc w:val="center"/>
      </w:pPr>
      <w:r>
        <w:t>Figure. Evidence density by bin.</w:t>
      </w:r>
    </w:p>
    <w:p>
      <w:pPr>
        <w:keepNext/>
        <w:jc w:val="center"/>
      </w:pPr>
      <w:r>
        <w:drawing>
          <wp:inline xmlns:a="http://schemas.openxmlformats.org/drawingml/2006/main" xmlns:pic="http://schemas.openxmlformats.org/drawingml/2006/picture">
            <wp:extent cx="5623560" cy="4373880"/>
            <wp:docPr id="8" name="Picture 8"/>
            <wp:cNvGraphicFramePr>
              <a:graphicFrameLocks noChangeAspect="1"/>
            </wp:cNvGraphicFramePr>
            <a:graphic>
              <a:graphicData uri="http://schemas.openxmlformats.org/drawingml/2006/picture">
                <pic:pic>
                  <pic:nvPicPr>
                    <pic:cNvPr id="0" name="07_interpolated_efficiency_map.png"/>
                    <pic:cNvPicPr/>
                  </pic:nvPicPr>
                  <pic:blipFill>
                    <a:blip r:embed="rId18"/>
                    <a:stretch>
                      <a:fillRect/>
                    </a:stretch>
                  </pic:blipFill>
                  <pic:spPr>
                    <a:xfrm>
                      <a:off x="0" y="0"/>
                      <a:ext cx="5623560" cy="4373880"/>
                    </a:xfrm>
                    <a:prstGeom prst="rect"/>
                  </pic:spPr>
                </pic:pic>
              </a:graphicData>
            </a:graphic>
          </wp:inline>
        </w:drawing>
      </w:r>
    </w:p>
    <w:p>
      <w:pPr>
        <w:pStyle w:val="Caption"/>
        <w:jc w:val="center"/>
      </w:pPr>
      <w:r>
        <w:t>Figure. Interpolated visualization.</w:t>
      </w:r>
    </w:p>
    <w:p>
      <w:pPr>
        <w:keepNext/>
        <w:jc w:val="center"/>
      </w:pPr>
      <w:r>
        <w:drawing>
          <wp:inline xmlns:a="http://schemas.openxmlformats.org/drawingml/2006/main" xmlns:pic="http://schemas.openxmlformats.org/drawingml/2006/picture">
            <wp:extent cx="5074920" cy="3968595"/>
            <wp:docPr id="9" name="Picture 9"/>
            <wp:cNvGraphicFramePr>
              <a:graphicFrameLocks noChangeAspect="1"/>
            </wp:cNvGraphicFramePr>
            <a:graphic>
              <a:graphicData uri="http://schemas.openxmlformats.org/drawingml/2006/picture">
                <pic:pic>
                  <pic:nvPicPr>
                    <pic:cNvPr id="0" name="08_efficiency_contour.png"/>
                    <pic:cNvPicPr/>
                  </pic:nvPicPr>
                  <pic:blipFill>
                    <a:blip r:embed="rId19"/>
                    <a:stretch>
                      <a:fillRect/>
                    </a:stretch>
                  </pic:blipFill>
                  <pic:spPr>
                    <a:xfrm>
                      <a:off x="0" y="0"/>
                      <a:ext cx="5074920" cy="3968595"/>
                    </a:xfrm>
                    <a:prstGeom prst="rect"/>
                  </pic:spPr>
                </pic:pic>
              </a:graphicData>
            </a:graphic>
          </wp:inline>
        </w:drawing>
      </w:r>
    </w:p>
    <w:p>
      <w:pPr>
        <w:pStyle w:val="Caption"/>
        <w:jc w:val="center"/>
      </w:pPr>
      <w:r>
        <w:t>Figure. Contour visualization of the interpolated surface.</w:t>
      </w:r>
    </w:p>
    <w:p>
      <w:pPr>
        <w:pStyle w:val="Heading1"/>
      </w:pPr>
      <w:r>
        <w:t>7. Demonstrated Outcomes and Interpretation Boundaries</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5083"/>
        <w:gridCol w:w="5083"/>
      </w:tblGrid>
      <w:tr>
        <w:trPr>
          <w:tblHeader w:val="true"/>
        </w:trPr>
        <w:tc>
          <w:tcPr>
            <w:tcW w:type="dxa" w:w="2232"/>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Outcome</w:t>
            </w:r>
          </w:p>
        </w:tc>
        <w:tc>
          <w:tcPr>
            <w:tcW w:type="dxa" w:w="7344"/>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Supported statement</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6"/>
              </w:rPr>
              <w:t>Physical recovery</w:t>
            </w:r>
          </w:p>
        </w:tc>
        <w:tc>
          <w:tcPr>
            <w:tcW w:type="dxa" w:w="7344"/>
            <w:vAlign w:val="center"/>
            <w:tcMar>
              <w:top w:w="80" w:type="dxa"/>
              <w:start w:w="90" w:type="dxa"/>
              <w:bottom w:w="80" w:type="dxa"/>
              <w:end w:w="90" w:type="dxa"/>
            </w:tcMar>
          </w:tcPr>
          <w:p>
            <w:pPr>
              <w:spacing w:after="0" w:line="252" w:lineRule="auto"/>
              <w:jc w:val="center"/>
            </w:pPr>
            <w:r/>
            <w:r>
              <w:rPr>
                <w:rFonts w:ascii="Arial" w:hAnsi="Arial"/>
                <w:b w:val="0"/>
                <w:color w:val="222222"/>
                <w:sz w:val="16"/>
              </w:rPr>
              <w:t>Phase order and encoder/QEP mapping were corrected against the actual platform.</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6"/>
              </w:rPr>
              <w:t>Control bring-up</w:t>
            </w:r>
          </w:p>
        </w:tc>
        <w:tc>
          <w:tcPr>
            <w:tcW w:type="dxa" w:w="7344"/>
            <w:vAlign w:val="center"/>
            <w:tcMar>
              <w:top w:w="80" w:type="dxa"/>
              <w:start w:w="90" w:type="dxa"/>
              <w:bottom w:w="80" w:type="dxa"/>
              <w:end w:w="90" w:type="dxa"/>
            </w:tcMar>
          </w:tcPr>
          <w:p>
            <w:pPr>
              <w:spacing w:after="0" w:line="252" w:lineRule="auto"/>
              <w:jc w:val="center"/>
            </w:pPr>
            <w:r/>
            <w:r>
              <w:rPr>
                <w:rFonts w:ascii="Arial" w:hAnsi="Arial"/>
                <w:b w:val="0"/>
                <w:color w:val="222222"/>
                <w:sz w:val="16"/>
              </w:rPr>
              <w:t>Dual-machine closed-loop operation was restored on the F28069M target.</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6"/>
              </w:rPr>
              <w:t>Communications</w:t>
            </w:r>
          </w:p>
        </w:tc>
        <w:tc>
          <w:tcPr>
            <w:tcW w:type="dxa" w:w="7344"/>
            <w:vAlign w:val="center"/>
            <w:tcMar>
              <w:top w:w="80" w:type="dxa"/>
              <w:start w:w="90" w:type="dxa"/>
              <w:bottom w:w="80" w:type="dxa"/>
              <w:end w:w="90" w:type="dxa"/>
            </w:tcMar>
          </w:tcPr>
          <w:p>
            <w:pPr>
              <w:spacing w:after="0" w:line="252" w:lineRule="auto"/>
              <w:jc w:val="center"/>
            </w:pPr>
            <w:r/>
            <w:r>
              <w:rPr>
                <w:rFonts w:ascii="Arial" w:hAnsi="Arial"/>
                <w:b w:val="0"/>
                <w:color w:val="222222"/>
                <w:sz w:val="16"/>
              </w:rPr>
              <w:t>CAN command and response transport was demonstrated with retained mailbox and packing evidence.</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6"/>
              </w:rPr>
              <w:t>Data quality</w:t>
            </w:r>
          </w:p>
        </w:tc>
        <w:tc>
          <w:tcPr>
            <w:tcW w:type="dxa" w:w="7344"/>
            <w:vAlign w:val="center"/>
            <w:tcMar>
              <w:top w:w="80" w:type="dxa"/>
              <w:start w:w="90" w:type="dxa"/>
              <w:bottom w:w="80" w:type="dxa"/>
              <w:end w:w="90" w:type="dxa"/>
            </w:tcMar>
          </w:tcPr>
          <w:p>
            <w:pPr>
              <w:spacing w:after="0" w:line="252" w:lineRule="auto"/>
              <w:jc w:val="center"/>
            </w:pPr>
            <w:r/>
            <w:r>
              <w:rPr>
                <w:rFonts w:ascii="Arial" w:hAnsi="Arial"/>
                <w:b w:val="0"/>
                <w:color w:val="222222"/>
                <w:sz w:val="16"/>
              </w:rPr>
              <w:t>Non-finite and implausible samples are screened before map generation.</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6"/>
              </w:rPr>
              <w:t>Traceability</w:t>
            </w:r>
          </w:p>
        </w:tc>
        <w:tc>
          <w:tcPr>
            <w:tcW w:type="dxa" w:w="7344"/>
            <w:vAlign w:val="center"/>
            <w:tcMar>
              <w:top w:w="80" w:type="dxa"/>
              <w:start w:w="90" w:type="dxa"/>
              <w:bottom w:w="80" w:type="dxa"/>
              <w:end w:w="90" w:type="dxa"/>
            </w:tcMar>
          </w:tcPr>
          <w:p>
            <w:pPr>
              <w:spacing w:after="0" w:line="252" w:lineRule="auto"/>
              <w:jc w:val="center"/>
            </w:pPr>
            <w:r/>
            <w:r>
              <w:rPr>
                <w:rFonts w:ascii="Arial" w:hAnsi="Arial"/>
                <w:b w:val="0"/>
                <w:color w:val="222222"/>
                <w:sz w:val="16"/>
              </w:rPr>
              <w:t>Measured bins, sample counts, and interpolated views are retained as distinct evidence products.</w:t>
            </w:r>
          </w:p>
        </w:tc>
      </w:tr>
      <w:tr>
        <w:tc>
          <w:tcPr>
            <w:tcW w:type="dxa" w:w="2232"/>
            <w:vAlign w:val="center"/>
            <w:tcMar>
              <w:top w:w="80" w:type="dxa"/>
              <w:start w:w="90" w:type="dxa"/>
              <w:bottom w:w="80" w:type="dxa"/>
              <w:end w:w="90" w:type="dxa"/>
            </w:tcMar>
          </w:tcPr>
          <w:p>
            <w:pPr>
              <w:spacing w:after="0" w:line="252" w:lineRule="auto"/>
              <w:jc w:val="center"/>
            </w:pPr>
            <w:r/>
            <w:r>
              <w:rPr>
                <w:rFonts w:ascii="Arial" w:hAnsi="Arial"/>
                <w:b w:val="0"/>
                <w:color w:val="222222"/>
                <w:sz w:val="16"/>
              </w:rPr>
              <w:t>Boundary</w:t>
            </w:r>
          </w:p>
        </w:tc>
        <w:tc>
          <w:tcPr>
            <w:tcW w:type="dxa" w:w="7344"/>
            <w:vAlign w:val="center"/>
            <w:tcMar>
              <w:top w:w="80" w:type="dxa"/>
              <w:start w:w="90" w:type="dxa"/>
              <w:bottom w:w="80" w:type="dxa"/>
              <w:end w:w="90" w:type="dxa"/>
            </w:tcMar>
          </w:tcPr>
          <w:p>
            <w:pPr>
              <w:spacing w:after="0" w:line="252" w:lineRule="auto"/>
              <w:jc w:val="center"/>
            </w:pPr>
            <w:r/>
            <w:r>
              <w:rPr>
                <w:rFonts w:ascii="Arial" w:hAnsi="Arial"/>
                <w:b w:val="0"/>
                <w:color w:val="222222"/>
                <w:sz w:val="16"/>
              </w:rPr>
              <w:t>No production safety, calibrated metrology, EMC, environmental, or functional-safety qualification is claimed.</w:t>
            </w:r>
          </w:p>
        </w:tc>
      </w:tr>
    </w:tbl>
    <w:p>
      <w:pPr>
        <w:spacing w:after="0"/>
      </w:pPr>
    </w:p>
    <w:p>
      <w:pPr>
        <w:pStyle w:val="Heading1"/>
      </w:pPr>
      <w:r>
        <w:t>8. Release Status</w:t>
      </w:r>
    </w:p>
    <w:p>
      <w:r>
        <w:t>This report is released with FRD revision 1.4. The public repository is a capability showcase and engineering evidence package, not a turnkey firmware distribution. Selected sanitized Simulink examples are included; complete target models, binaries, private scaling tables, raw data, and generated implementation trees remain controlled.</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2541"/>
        <w:gridCol w:w="2541"/>
        <w:gridCol w:w="2541"/>
        <w:gridCol w:w="2541"/>
      </w:tblGrid>
      <w:tr>
        <w:trPr>
          <w:tblHeader w:val="true"/>
        </w:trPr>
        <w:tc>
          <w:tcPr>
            <w:tcW w:type="dxa" w:w="792"/>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Rev</w:t>
            </w:r>
          </w:p>
        </w:tc>
        <w:tc>
          <w:tcPr>
            <w:tcW w:type="dxa" w:w="1440"/>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Date</w:t>
            </w:r>
          </w:p>
        </w:tc>
        <w:tc>
          <w:tcPr>
            <w:tcW w:type="dxa" w:w="936"/>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Author</w:t>
            </w:r>
          </w:p>
        </w:tc>
        <w:tc>
          <w:tcPr>
            <w:tcW w:type="dxa" w:w="6768"/>
            <w:vAlign w:val="center"/>
            <w:tcMar>
              <w:top w:w="80" w:type="dxa"/>
              <w:start w:w="90" w:type="dxa"/>
              <w:bottom w:w="80" w:type="dxa"/>
              <w:end w:w="90" w:type="dxa"/>
            </w:tcMar>
            <w:shd w:fill="CC0000"/>
          </w:tcPr>
          <w:p>
            <w:pPr>
              <w:spacing w:after="0" w:line="252" w:lineRule="auto"/>
              <w:jc w:val="center"/>
            </w:pPr>
            <w:r/>
            <w:r>
              <w:rPr>
                <w:rFonts w:ascii="Arial" w:hAnsi="Arial"/>
                <w:b/>
                <w:color w:val="FFFFFF"/>
                <w:sz w:val="16"/>
              </w:rPr>
              <w:t>Description</w:t>
            </w:r>
          </w:p>
        </w:tc>
      </w:tr>
      <w:tr>
        <w:tc>
          <w:tcPr>
            <w:tcW w:type="dxa" w:w="792"/>
            <w:vAlign w:val="center"/>
            <w:tcMar>
              <w:top w:w="80" w:type="dxa"/>
              <w:start w:w="90" w:type="dxa"/>
              <w:bottom w:w="80" w:type="dxa"/>
              <w:end w:w="90" w:type="dxa"/>
            </w:tcMar>
          </w:tcPr>
          <w:p>
            <w:pPr>
              <w:spacing w:after="0" w:line="252" w:lineRule="auto"/>
              <w:jc w:val="center"/>
            </w:pPr>
            <w:r/>
            <w:r>
              <w:rPr>
                <w:rFonts w:ascii="Arial" w:hAnsi="Arial"/>
                <w:b w:val="0"/>
                <w:color w:val="222222"/>
                <w:sz w:val="16"/>
              </w:rPr>
              <w:t>1.1</w:t>
            </w:r>
          </w:p>
        </w:tc>
        <w:tc>
          <w:tcPr>
            <w:tcW w:type="dxa" w:w="1440"/>
            <w:vAlign w:val="center"/>
            <w:tcMar>
              <w:top w:w="80" w:type="dxa"/>
              <w:start w:w="90" w:type="dxa"/>
              <w:bottom w:w="80" w:type="dxa"/>
              <w:end w:w="90" w:type="dxa"/>
            </w:tcMar>
          </w:tcPr>
          <w:p>
            <w:pPr>
              <w:spacing w:after="0" w:line="252" w:lineRule="auto"/>
              <w:jc w:val="left"/>
            </w:pPr>
            <w:r/>
            <w:r>
              <w:rPr>
                <w:rFonts w:ascii="Arial" w:hAnsi="Arial"/>
                <w:b w:val="0"/>
                <w:color w:val="222222"/>
                <w:sz w:val="16"/>
              </w:rPr>
              <w:t>2026-08-03</w:t>
            </w:r>
          </w:p>
        </w:tc>
        <w:tc>
          <w:tcPr>
            <w:tcW w:type="dxa" w:w="936"/>
            <w:vAlign w:val="center"/>
            <w:tcMar>
              <w:top w:w="80" w:type="dxa"/>
              <w:start w:w="90" w:type="dxa"/>
              <w:bottom w:w="80" w:type="dxa"/>
              <w:end w:w="90" w:type="dxa"/>
            </w:tcMar>
          </w:tcPr>
          <w:p>
            <w:pPr>
              <w:spacing w:after="0" w:line="252" w:lineRule="auto"/>
              <w:jc w:val="left"/>
            </w:pPr>
            <w:r/>
            <w:r>
              <w:rPr>
                <w:rFonts w:ascii="Arial" w:hAnsi="Arial"/>
                <w:b w:val="0"/>
                <w:color w:val="222222"/>
                <w:sz w:val="16"/>
              </w:rPr>
              <w:t>HES</w:t>
            </w:r>
          </w:p>
        </w:tc>
        <w:tc>
          <w:tcPr>
            <w:tcW w:type="dxa" w:w="6768"/>
            <w:vAlign w:val="center"/>
            <w:tcMar>
              <w:top w:w="80" w:type="dxa"/>
              <w:start w:w="90" w:type="dxa"/>
              <w:bottom w:w="80" w:type="dxa"/>
              <w:end w:w="90" w:type="dxa"/>
            </w:tcMar>
          </w:tcPr>
          <w:p>
            <w:pPr>
              <w:spacing w:after="0" w:line="252" w:lineRule="auto"/>
              <w:jc w:val="center"/>
            </w:pPr>
            <w:r/>
            <w:r>
              <w:rPr>
                <w:rFonts w:ascii="Arial" w:hAnsi="Arial"/>
                <w:b w:val="0"/>
                <w:color w:val="222222"/>
                <w:sz w:val="16"/>
              </w:rPr>
              <w:t>Reformatted in TI-inspired application-note style and aligned to the new FRD and traceability model.</w:t>
            </w:r>
          </w:p>
        </w:tc>
      </w:tr>
      <w:tr>
        <w:tc>
          <w:tcPr>
            <w:tcW w:type="dxa" w:w="2541"/>
          </w:tcPr>
          <w:p>
            <w:r>
              <w:t>1.2</w:t>
            </w:r>
          </w:p>
        </w:tc>
        <w:tc>
          <w:tcPr>
            <w:tcW w:type="dxa" w:w="2541"/>
          </w:tcPr>
          <w:p>
            <w:r>
              <w:t>2026-08-03</w:t>
            </w:r>
          </w:p>
        </w:tc>
        <w:tc>
          <w:tcPr>
            <w:tcW w:type="dxa" w:w="2541"/>
          </w:tcPr>
          <w:p>
            <w:r>
              <w:t>HES</w:t>
            </w:r>
          </w:p>
        </w:tc>
        <w:tc>
          <w:tcPr>
            <w:tcW w:type="dxa" w:w="2541"/>
          </w:tcPr>
          <w:p>
            <w:r>
              <w:t>Added selected sanitized Simulink examples and aligned the companion report to FRD revision 1.4; no substantive technical findings changed.</w:t>
            </w:r>
          </w:p>
        </w:tc>
      </w:tr>
    </w:tbl>
    <w:p>
      <w:pPr>
        <w:spacing w:after="0"/>
      </w:pPr>
    </w:p>
    <w:p>
      <w:r>
        <w:br w:type="page"/>
      </w:r>
    </w:p>
    <w:p>
      <w:pPr>
        <w:pStyle w:val="Heading1"/>
      </w:pPr>
      <w:r>
        <w:t>9. Custom Low-Level ADC Integration</w:t>
      </w:r>
    </w:p>
    <w:p>
      <w:r>
        <w:t>Most application behavior is represented by editable Simulink models, but the target also contains a focused custom C layer for F28069M ADC peripheral configuration. This source is included under embedded-control/custom-firmware/ and is not a renamed generated support file.</w:t>
      </w:r>
    </w:p>
    <w:p>
      <w:pPr>
        <w:pStyle w:val="Heading2"/>
      </w:pPr>
      <w:r>
        <w:t>9.1 Added acquisition resources</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vAlign w:val="center"/>
            <w:shd w:fill="CC0000"/>
          </w:tcPr>
          <w:p>
            <w:r>
              <w:rPr>
                <w:b/>
                <w:color w:val="FFFFFF"/>
                <w:sz w:val="17"/>
              </w:rPr>
            </w:r>
            <w:r>
              <w:rPr>
                <w:b/>
                <w:color w:val="FFFFFF"/>
                <w:sz w:val="17"/>
              </w:rPr>
              <w:t>SOC pair</w:t>
            </w:r>
          </w:p>
        </w:tc>
        <w:tc>
          <w:tcPr>
            <w:tcW w:type="dxa" w:w="2033"/>
            <w:vAlign w:val="center"/>
            <w:shd w:fill="CC0000"/>
          </w:tcPr>
          <w:p>
            <w:r>
              <w:rPr>
                <w:b/>
                <w:color w:val="FFFFFF"/>
                <w:sz w:val="17"/>
              </w:rPr>
            </w:r>
            <w:r>
              <w:rPr>
                <w:b/>
                <w:color w:val="FFFFFF"/>
                <w:sz w:val="17"/>
              </w:rPr>
              <w:t>Inputs</w:t>
            </w:r>
          </w:p>
        </w:tc>
        <w:tc>
          <w:tcPr>
            <w:tcW w:type="dxa" w:w="2033"/>
            <w:vAlign w:val="center"/>
            <w:shd w:fill="CC0000"/>
          </w:tcPr>
          <w:p>
            <w:r>
              <w:rPr>
                <w:b/>
                <w:color w:val="FFFFFF"/>
                <w:sz w:val="17"/>
              </w:rPr>
            </w:r>
            <w:r>
              <w:rPr>
                <w:b/>
                <w:color w:val="FFFFFF"/>
                <w:sz w:val="17"/>
              </w:rPr>
              <w:t>Trigger</w:t>
            </w:r>
          </w:p>
        </w:tc>
        <w:tc>
          <w:tcPr>
            <w:tcW w:type="dxa" w:w="2033"/>
            <w:vAlign w:val="center"/>
            <w:shd w:fill="CC0000"/>
          </w:tcPr>
          <w:p>
            <w:r>
              <w:rPr>
                <w:b/>
                <w:color w:val="FFFFFF"/>
                <w:sz w:val="17"/>
              </w:rPr>
            </w:r>
            <w:r>
              <w:rPr>
                <w:b/>
                <w:color w:val="FFFFFF"/>
                <w:sz w:val="17"/>
              </w:rPr>
              <w:t>Completion</w:t>
            </w:r>
          </w:p>
        </w:tc>
        <w:tc>
          <w:tcPr>
            <w:tcW w:type="dxa" w:w="2033"/>
            <w:vAlign w:val="center"/>
            <w:shd w:fill="CC0000"/>
          </w:tcPr>
          <w:p>
            <w:r>
              <w:rPr>
                <w:b/>
                <w:color w:val="FFFFFF"/>
                <w:sz w:val="17"/>
              </w:rPr>
            </w:r>
            <w:r>
              <w:rPr>
                <w:b/>
                <w:color w:val="FFFFFF"/>
                <w:sz w:val="17"/>
              </w:rPr>
              <w:t>Role</w:t>
            </w:r>
          </w:p>
        </w:tc>
      </w:tr>
      <w:tr>
        <w:tc>
          <w:tcPr>
            <w:tcW w:type="dxa" w:w="2033"/>
            <w:vAlign w:val="center"/>
          </w:tcPr>
          <w:p>
            <w:r/>
            <w:r>
              <w:rPr>
                <w:b w:val="0"/>
                <w:sz w:val="15"/>
              </w:rPr>
              <w:t>SOC0/SOC1</w:t>
            </w:r>
          </w:p>
        </w:tc>
        <w:tc>
          <w:tcPr>
            <w:tcW w:type="dxa" w:w="2033"/>
            <w:vAlign w:val="center"/>
          </w:tcPr>
          <w:p>
            <w:r/>
            <w:r>
              <w:rPr>
                <w:b w:val="0"/>
                <w:sz w:val="15"/>
              </w:rPr>
              <w:t>ADCINA0 / ADCINB0</w:t>
            </w:r>
          </w:p>
        </w:tc>
        <w:tc>
          <w:tcPr>
            <w:tcW w:type="dxa" w:w="2033"/>
            <w:vAlign w:val="center"/>
          </w:tcPr>
          <w:p>
            <w:r/>
            <w:r>
              <w:rPr>
                <w:b w:val="0"/>
                <w:sz w:val="15"/>
              </w:rPr>
              <w:t>ePWM1</w:t>
            </w:r>
          </w:p>
        </w:tc>
        <w:tc>
          <w:tcPr>
            <w:tcW w:type="dxa" w:w="2033"/>
            <w:vAlign w:val="center"/>
          </w:tcPr>
          <w:p>
            <w:r/>
            <w:r>
              <w:rPr>
                <w:b w:val="0"/>
                <w:sz w:val="15"/>
              </w:rPr>
              <w:t>EOC1 -&gt; ADCINT1</w:t>
            </w:r>
          </w:p>
        </w:tc>
        <w:tc>
          <w:tcPr>
            <w:tcW w:type="dxa" w:w="2033"/>
            <w:vAlign w:val="center"/>
          </w:tcPr>
          <w:p>
            <w:r/>
            <w:r>
              <w:rPr>
                <w:b w:val="0"/>
                <w:sz w:val="15"/>
              </w:rPr>
              <w:t>Baseline synchronized pair</w:t>
            </w:r>
          </w:p>
        </w:tc>
      </w:tr>
      <w:tr>
        <w:tc>
          <w:tcPr>
            <w:tcW w:type="dxa" w:w="2033"/>
            <w:vAlign w:val="center"/>
          </w:tcPr>
          <w:p>
            <w:r/>
            <w:r>
              <w:rPr>
                <w:b w:val="0"/>
                <w:sz w:val="15"/>
              </w:rPr>
              <w:t>SOC2/SOC3</w:t>
            </w:r>
          </w:p>
        </w:tc>
        <w:tc>
          <w:tcPr>
            <w:tcW w:type="dxa" w:w="2033"/>
            <w:vAlign w:val="center"/>
          </w:tcPr>
          <w:p>
            <w:r/>
            <w:r>
              <w:rPr>
                <w:b w:val="0"/>
                <w:sz w:val="15"/>
              </w:rPr>
              <w:t>ADCINA3 / ADCINB3</w:t>
            </w:r>
          </w:p>
        </w:tc>
        <w:tc>
          <w:tcPr>
            <w:tcW w:type="dxa" w:w="2033"/>
            <w:vAlign w:val="center"/>
          </w:tcPr>
          <w:p>
            <w:r/>
            <w:r>
              <w:rPr>
                <w:b w:val="0"/>
                <w:sz w:val="15"/>
              </w:rPr>
              <w:t>ePWM4</w:t>
            </w:r>
          </w:p>
        </w:tc>
        <w:tc>
          <w:tcPr>
            <w:tcW w:type="dxa" w:w="2033"/>
            <w:vAlign w:val="center"/>
          </w:tcPr>
          <w:p>
            <w:r/>
            <w:r>
              <w:rPr>
                <w:b w:val="0"/>
                <w:sz w:val="15"/>
              </w:rPr>
              <w:t>EOC3 -&gt; ADCINT2</w:t>
            </w:r>
          </w:p>
        </w:tc>
        <w:tc>
          <w:tcPr>
            <w:tcW w:type="dxa" w:w="2033"/>
            <w:vAlign w:val="center"/>
          </w:tcPr>
          <w:p>
            <w:r/>
            <w:r>
              <w:rPr>
                <w:b w:val="0"/>
                <w:sz w:val="15"/>
              </w:rPr>
              <w:t>Baseline synchronized pair</w:t>
            </w:r>
          </w:p>
        </w:tc>
      </w:tr>
      <w:tr>
        <w:tc>
          <w:tcPr>
            <w:tcW w:type="dxa" w:w="2033"/>
            <w:vAlign w:val="center"/>
          </w:tcPr>
          <w:p>
            <w:r/>
            <w:r>
              <w:rPr>
                <w:b w:val="0"/>
                <w:sz w:val="15"/>
              </w:rPr>
              <w:t>SOC4/SOC5</w:t>
            </w:r>
          </w:p>
        </w:tc>
        <w:tc>
          <w:tcPr>
            <w:tcW w:type="dxa" w:w="2033"/>
            <w:vAlign w:val="center"/>
          </w:tcPr>
          <w:p>
            <w:r/>
            <w:r>
              <w:rPr>
                <w:b w:val="0"/>
                <w:sz w:val="15"/>
              </w:rPr>
              <w:t>ADCINA0 / ADCINB0</w:t>
            </w:r>
          </w:p>
        </w:tc>
        <w:tc>
          <w:tcPr>
            <w:tcW w:type="dxa" w:w="2033"/>
            <w:vAlign w:val="center"/>
          </w:tcPr>
          <w:p>
            <w:r/>
            <w:r>
              <w:rPr>
                <w:b w:val="0"/>
                <w:sz w:val="15"/>
              </w:rPr>
              <w:t>Software</w:t>
            </w:r>
          </w:p>
        </w:tc>
        <w:tc>
          <w:tcPr>
            <w:tcW w:type="dxa" w:w="2033"/>
            <w:vAlign w:val="center"/>
          </w:tcPr>
          <w:p>
            <w:r/>
            <w:r>
              <w:rPr>
                <w:b w:val="0"/>
                <w:sz w:val="15"/>
              </w:rPr>
              <w:t>Polled / model-controlled</w:t>
            </w:r>
          </w:p>
        </w:tc>
        <w:tc>
          <w:tcPr>
            <w:tcW w:type="dxa" w:w="2033"/>
            <w:vAlign w:val="center"/>
          </w:tcPr>
          <w:p>
            <w:r/>
            <w:r>
              <w:rPr>
                <w:b w:val="0"/>
                <w:sz w:val="15"/>
              </w:rPr>
              <w:t>Software-triggered pair</w:t>
            </w:r>
          </w:p>
        </w:tc>
      </w:tr>
      <w:tr>
        <w:tc>
          <w:tcPr>
            <w:tcW w:type="dxa" w:w="2033"/>
            <w:vAlign w:val="center"/>
          </w:tcPr>
          <w:p>
            <w:r/>
            <w:r>
              <w:rPr>
                <w:b w:val="0"/>
                <w:sz w:val="15"/>
              </w:rPr>
              <w:t>SOC6/SOC7</w:t>
            </w:r>
          </w:p>
        </w:tc>
        <w:tc>
          <w:tcPr>
            <w:tcW w:type="dxa" w:w="2033"/>
            <w:vAlign w:val="center"/>
          </w:tcPr>
          <w:p>
            <w:r/>
            <w:r>
              <w:rPr>
                <w:b w:val="0"/>
                <w:sz w:val="15"/>
              </w:rPr>
              <w:t>ADCINA3 / ADCINB3</w:t>
            </w:r>
          </w:p>
        </w:tc>
        <w:tc>
          <w:tcPr>
            <w:tcW w:type="dxa" w:w="2033"/>
            <w:vAlign w:val="center"/>
          </w:tcPr>
          <w:p>
            <w:r/>
            <w:r>
              <w:rPr>
                <w:b w:val="0"/>
                <w:sz w:val="15"/>
              </w:rPr>
              <w:t>Software</w:t>
            </w:r>
          </w:p>
        </w:tc>
        <w:tc>
          <w:tcPr>
            <w:tcW w:type="dxa" w:w="2033"/>
            <w:vAlign w:val="center"/>
          </w:tcPr>
          <w:p>
            <w:r/>
            <w:r>
              <w:rPr>
                <w:b w:val="0"/>
                <w:sz w:val="15"/>
              </w:rPr>
              <w:t>Polled / model-controlled</w:t>
            </w:r>
          </w:p>
        </w:tc>
        <w:tc>
          <w:tcPr>
            <w:tcW w:type="dxa" w:w="2033"/>
            <w:vAlign w:val="center"/>
          </w:tcPr>
          <w:p>
            <w:r/>
            <w:r>
              <w:rPr>
                <w:b w:val="0"/>
                <w:sz w:val="15"/>
              </w:rPr>
              <w:t>Software-triggered pair</w:t>
            </w:r>
          </w:p>
        </w:tc>
      </w:tr>
      <w:tr>
        <w:tc>
          <w:tcPr>
            <w:tcW w:type="dxa" w:w="2033"/>
            <w:vAlign w:val="center"/>
          </w:tcPr>
          <w:p>
            <w:r/>
            <w:r>
              <w:rPr>
                <w:b w:val="0"/>
                <w:sz w:val="15"/>
              </w:rPr>
              <w:t>SOC12/SOC13</w:t>
            </w:r>
          </w:p>
        </w:tc>
        <w:tc>
          <w:tcPr>
            <w:tcW w:type="dxa" w:w="2033"/>
            <w:vAlign w:val="center"/>
          </w:tcPr>
          <w:p>
            <w:r/>
            <w:r>
              <w:rPr>
                <w:b w:val="0"/>
                <w:sz w:val="15"/>
              </w:rPr>
              <w:t>ADCINA2 / ADCINB2</w:t>
            </w:r>
          </w:p>
        </w:tc>
        <w:tc>
          <w:tcPr>
            <w:tcW w:type="dxa" w:w="2033"/>
            <w:vAlign w:val="center"/>
          </w:tcPr>
          <w:p>
            <w:r/>
            <w:r>
              <w:rPr>
                <w:b w:val="0"/>
                <w:sz w:val="15"/>
              </w:rPr>
              <w:t>ePWM1</w:t>
            </w:r>
          </w:p>
        </w:tc>
        <w:tc>
          <w:tcPr>
            <w:tcW w:type="dxa" w:w="2033"/>
            <w:vAlign w:val="center"/>
          </w:tcPr>
          <w:p>
            <w:r/>
            <w:r>
              <w:rPr>
                <w:b w:val="0"/>
                <w:sz w:val="15"/>
              </w:rPr>
              <w:t>EOC13 -&gt; ADCINT5</w:t>
            </w:r>
          </w:p>
        </w:tc>
        <w:tc>
          <w:tcPr>
            <w:tcW w:type="dxa" w:w="2033"/>
            <w:vAlign w:val="center"/>
          </w:tcPr>
          <w:p>
            <w:r/>
            <w:r>
              <w:rPr>
                <w:b w:val="0"/>
                <w:sz w:val="15"/>
              </w:rPr>
              <w:t>Added instrumentation pair</w:t>
            </w:r>
          </w:p>
        </w:tc>
      </w:tr>
      <w:tr>
        <w:tc>
          <w:tcPr>
            <w:tcW w:type="dxa" w:w="2033"/>
            <w:vAlign w:val="center"/>
          </w:tcPr>
          <w:p>
            <w:r/>
            <w:r>
              <w:rPr>
                <w:b w:val="0"/>
                <w:sz w:val="15"/>
              </w:rPr>
              <w:t>SOC14/SOC15</w:t>
            </w:r>
          </w:p>
        </w:tc>
        <w:tc>
          <w:tcPr>
            <w:tcW w:type="dxa" w:w="2033"/>
            <w:vAlign w:val="center"/>
          </w:tcPr>
          <w:p>
            <w:r/>
            <w:r>
              <w:rPr>
                <w:b w:val="0"/>
                <w:sz w:val="15"/>
              </w:rPr>
              <w:t>ADCINA1 / ADCINB1</w:t>
            </w:r>
          </w:p>
        </w:tc>
        <w:tc>
          <w:tcPr>
            <w:tcW w:type="dxa" w:w="2033"/>
            <w:vAlign w:val="center"/>
          </w:tcPr>
          <w:p>
            <w:r/>
            <w:r>
              <w:rPr>
                <w:b w:val="0"/>
                <w:sz w:val="15"/>
              </w:rPr>
              <w:t>ePWM1</w:t>
            </w:r>
          </w:p>
        </w:tc>
        <w:tc>
          <w:tcPr>
            <w:tcW w:type="dxa" w:w="2033"/>
            <w:vAlign w:val="center"/>
          </w:tcPr>
          <w:p>
            <w:r/>
            <w:r>
              <w:rPr>
                <w:b w:val="0"/>
                <w:sz w:val="15"/>
              </w:rPr>
              <w:t>EOC15 -&gt; ADCINT9</w:t>
            </w:r>
          </w:p>
        </w:tc>
        <w:tc>
          <w:tcPr>
            <w:tcW w:type="dxa" w:w="2033"/>
            <w:vAlign w:val="center"/>
          </w:tcPr>
          <w:p>
            <w:r/>
            <w:r>
              <w:rPr>
                <w:b w:val="0"/>
                <w:sz w:val="15"/>
              </w:rPr>
              <w:t>Added instrumentation pair</w:t>
            </w:r>
          </w:p>
        </w:tc>
      </w:tr>
    </w:tbl>
    <w:p>
      <w:r>
        <w:t>The project-specific additions are SOC12/SOC13 and SOC14/SOC15. Both pairs are synchronized to ePWM1 so the additional instrumentation channels are sampled against target-side timing rather than host execution timing.</w:t>
      </w:r>
    </w:p>
    <w:p>
      <w:pPr>
        <w:pStyle w:val="Heading2"/>
      </w:pPr>
      <w:r>
        <w:t>9.2 Integration boundary</w:t>
      </w:r>
    </w:p>
    <w:p>
      <w:pPr>
        <w:pStyle w:val="ListBullet"/>
      </w:pPr>
      <w:r>
        <w:t>The Simulink target remains the primary editable application/control source.</w:t>
      </w:r>
    </w:p>
    <w:p>
      <w:pPr>
        <w:pStyle w:val="ListBullet"/>
      </w:pPr>
      <w:r>
        <w:t>F28069M_ADC_Custom_Config.c provides the project-specific register-level SOC, trigger, acquisition-window, and ADC interrupt configuration.</w:t>
      </w:r>
    </w:p>
    <w:p>
      <w:pPr>
        <w:pStyle w:val="ListBullet"/>
      </w:pPr>
      <w:r>
        <w:t>MathWorks-generated ADC support files, TI device-support source, object files, and binaries remain excluded.</w:t>
      </w:r>
    </w:p>
    <w:p>
      <w:pPr>
        <w:pStyle w:val="ListBullet"/>
      </w:pPr>
      <w:r>
        <w:t>A compatible C2000 support package, device headers, and the referenced target model are required to compile and deploy the complete target.</w:t>
      </w:r>
    </w:p>
    <w:p>
      <w:pPr>
        <w:pStyle w:val="Heading2"/>
      </w:pPr>
      <w:r>
        <w:t>9.3 Controlled engineering claim</w:t>
      </w:r>
    </w:p>
    <w:p>
      <w:r>
        <w:t>The demonstrated contribution is custom C2000 ADC peripheral integration for two additional simultaneous analog-input pairs, including PWM-triggered sampling and end-of-conversion interrupt routing. The release does not claim a from-scratch ADC driver or ownership of TI/MathWorks support libraries.</w:t>
      </w:r>
    </w:p>
    <w:sectPr w:rsidR="00FC693F" w:rsidRPr="0006063C" w:rsidSect="00034616">
      <w:headerReference w:type="default" r:id="rId9"/>
      <w:footerReference w:type="default" r:id="rId10"/>
      <w:headerReference w:type="first" r:id="rId20"/>
      <w:headerReference w:type="even" r:id="rId21"/>
      <w:footerReference w:type="first" r:id="rId22"/>
      <w:footerReference w:type="even" r:id="rId23"/>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Herder Elektronische Systemen  |  Public technical release  |  3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0" w:space="3" w:color="CC0000"/>
      </w:pBdr>
    </w:pPr>
    <w:r/>
    <w:r>
      <w:rPr>
        <w:rFonts w:ascii="Arial" w:hAnsi="Arial"/>
        <w:color w:val="666666"/>
        <w:sz w:val="15"/>
      </w:rPr>
      <w:t>Control, CAN &amp; Characterization Report  |  v1.4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CC0000"/>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222222"/>
      <w:sz w:val="23"/>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Arial" w:hAnsi="Arial"/>
      <w:b/>
      <w:bCs/>
      <w:color w:val="6666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40"/>
      <w:contextualSpacing/>
    </w:pPr>
    <w:rPr>
      <w:rFonts w:asciiTheme="majorHAnsi" w:eastAsiaTheme="majorEastAsia" w:hAnsiTheme="majorHAnsi" w:cstheme="majorBidi" w:ascii="Arial" w:hAnsi="Arial"/>
      <w:b/>
      <w:color w:val="CC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40"/>
    </w:pPr>
    <w:rPr>
      <w:rFonts w:ascii="Arial" w:hAnsi="Arial"/>
      <w:b/>
      <w:bCs/>
      <w:i w:val="0"/>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2.xml"/><Relationship Id="rId2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