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0" w:line="252" w:lineRule="auto"/>
      </w:pPr>
      <w:r>
        <w:rPr>
          <w:rFonts w:ascii="Noto Serif" w:hAnsi="Noto Serif"/>
          <w:b/>
          <w:color w:val="203B57"/>
          <w:sz w:val="56"/>
        </w:rPr>
        <w:t>DUAL-MOTOR PMSM DYNAMOMETER</w:t>
        <w:br/>
        <w:t>PLATFORM</w:t>
      </w:r>
    </w:p>
    <w:p>
      <w:pPr>
        <w:spacing w:after="2360"/>
      </w:pPr>
    </w:p>
    <w:p>
      <w:pPr>
        <w:spacing w:after="80"/>
      </w:pPr>
      <w:r>
        <w:rPr>
          <w:rFonts w:ascii="Noto Serif" w:hAnsi="Noto Serif"/>
          <w:b/>
          <w:color w:val="C51632"/>
          <w:sz w:val="38"/>
        </w:rPr>
        <w:t>PLATFORM, ELECTRICAL &amp; INTERFACES</w:t>
      </w:r>
    </w:p>
    <w:p>
      <w:pPr>
        <w:spacing w:after="160"/>
      </w:pPr>
      <w:r>
        <w:rPr>
          <w:rFonts w:ascii="Noto Serif" w:hAnsi="Noto Serif"/>
          <w:b/>
          <w:color w:val="5D6A76"/>
          <w:sz w:val="23"/>
        </w:rPr>
        <w:t>TI LAUNCHXL-F28069M, dual BOOSTXL-DRV8305EVM stages, encoders, CAN, power, and physical verification</w:t>
      </w:r>
    </w:p>
    <w:p>
      <w:pPr>
        <w:spacing w:after="200"/>
      </w:pPr>
      <w:r>
        <w:rPr>
          <w:rFonts w:ascii="Noto Serif" w:hAnsi="Noto Serif"/>
          <w:b/>
          <w:color w:val="203B57"/>
          <w:sz w:val="18"/>
        </w:rPr>
        <w:t>ENGINEERING REQUIREMENTS DOCUMENT  |  REVISION 2.4  |  5 AUGUST 2026</w:t>
      </w:r>
    </w:p>
    <w:tbl>
      <w:tblPr>
        <w:tblW w:type="auto" w:w="0"/>
        <w:jc w:val="center"/>
        <w:tblLayout w:type="fixed"/>
        <w:tblLook w:firstColumn="1" w:firstRow="1" w:lastColumn="0" w:lastRow="0" w:noHBand="0" w:noVBand="1" w:val="04A0"/>
      </w:tblPr>
      <w:tblGrid>
        <w:gridCol w:w="5083"/>
        <w:gridCol w:w="5083"/>
      </w:tblGrid>
      <w:tr>
        <w:tc>
          <w:tcPr>
            <w:tcW w:type="dxa" w:w="2592"/>
            <w:shd w:fill="203B57"/>
            <w:vAlign w:val="center"/>
            <w:tcMar>
              <w:top w:w="90" w:type="dxa"/>
              <w:start w:w="110" w:type="dxa"/>
              <w:bottom w:w="90" w:type="dxa"/>
              <w:end w:w="110" w:type="dxa"/>
            </w:tcMar>
          </w:tcPr>
          <w:p>
            <w:pPr>
              <w:spacing w:after="0" w:line="252" w:lineRule="auto"/>
            </w:pPr>
            <w:r/>
            <w:r>
              <w:rPr>
                <w:rFonts w:ascii="Noto Serif" w:hAnsi="Noto Serif"/>
                <w:b/>
                <w:color w:val="FFFFFF"/>
                <w:sz w:val="18"/>
              </w:rPr>
              <w:t>Prepared by</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Herder Elektronische Systemen</w:t>
            </w:r>
          </w:p>
        </w:tc>
      </w:tr>
      <w:tr>
        <w:tc>
          <w:tcPr>
            <w:tcW w:type="dxa" w:w="2592"/>
            <w:shd w:fill="F0F3F6"/>
            <w:vAlign w:val="center"/>
            <w:tcMar>
              <w:top w:w="90" w:type="dxa"/>
              <w:start w:w="110" w:type="dxa"/>
              <w:bottom w:w="90" w:type="dxa"/>
              <w:end w:w="110" w:type="dxa"/>
            </w:tcMar>
          </w:tcPr>
          <w:p>
            <w:pPr>
              <w:spacing w:after="0" w:line="252" w:lineRule="auto"/>
            </w:pPr>
            <w:r/>
            <w:r>
              <w:rPr>
                <w:rFonts w:ascii="Noto Serif" w:hAnsi="Noto Serif"/>
                <w:b/>
                <w:color w:val="2B2B2B"/>
                <w:sz w:val="18"/>
              </w:rPr>
              <w:t>Document scope</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Physical platform, power distribution, motor phases, encoder routing, board stacking, CAN wiring, connectors, and release limitations</w:t>
            </w:r>
          </w:p>
        </w:tc>
      </w:tr>
      <w:tr>
        <w:tc>
          <w:tcPr>
            <w:tcW w:type="dxa" w:w="2592"/>
            <w:shd w:fill="F0F3F6"/>
            <w:vAlign w:val="center"/>
            <w:tcMar>
              <w:top w:w="90" w:type="dxa"/>
              <w:start w:w="110" w:type="dxa"/>
              <w:bottom w:w="90" w:type="dxa"/>
              <w:end w:w="110" w:type="dxa"/>
            </w:tcMar>
          </w:tcPr>
          <w:p>
            <w:pPr>
              <w:spacing w:after="0" w:line="252" w:lineRule="auto"/>
            </w:pPr>
            <w:r/>
            <w:r>
              <w:rPr>
                <w:rFonts w:ascii="Noto Serif" w:hAnsi="Noto Serif"/>
                <w:b/>
                <w:color w:val="2B2B2B"/>
                <w:sz w:val="18"/>
              </w:rPr>
              <w:t>Evidence basis</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Vendor schematics, connector maps, public BOM, board-interface figures, and setup verification records</w:t>
            </w:r>
          </w:p>
        </w:tc>
      </w:tr>
      <w:tr>
        <w:tc>
          <w:tcPr>
            <w:tcW w:type="dxa" w:w="2592"/>
            <w:shd w:fill="F0F3F6"/>
            <w:vAlign w:val="center"/>
            <w:tcMar>
              <w:top w:w="90" w:type="dxa"/>
              <w:start w:w="110" w:type="dxa"/>
              <w:bottom w:w="90" w:type="dxa"/>
              <w:end w:w="110" w:type="dxa"/>
            </w:tcMar>
          </w:tcPr>
          <w:p>
            <w:pPr>
              <w:spacing w:after="0" w:line="252" w:lineRule="auto"/>
            </w:pPr>
            <w:r/>
            <w:r>
              <w:rPr>
                <w:rFonts w:ascii="Noto Serif" w:hAnsi="Noto Serif"/>
                <w:b/>
                <w:color w:val="2B2B2B"/>
                <w:sz w:val="18"/>
              </w:rPr>
              <w:t>Distribution</w:t>
            </w:r>
          </w:p>
        </w:tc>
        <w:tc>
          <w:tcPr>
            <w:tcW w:type="dxa" w:w="7703"/>
            <w:vAlign w:val="center"/>
            <w:tcMar>
              <w:top w:w="90" w:type="dxa"/>
              <w:start w:w="110" w:type="dxa"/>
              <w:bottom w:w="90" w:type="dxa"/>
              <w:end w:w="110" w:type="dxa"/>
            </w:tcMar>
          </w:tcPr>
          <w:p>
            <w:pPr>
              <w:spacing w:after="0" w:line="252" w:lineRule="auto"/>
            </w:pPr>
            <w:r/>
            <w:r>
              <w:rPr>
                <w:rFonts w:ascii="Noto Serif" w:hAnsi="Noto Serif"/>
                <w:b w:val="0"/>
                <w:color w:val="2B2B2B"/>
                <w:sz w:val="18"/>
              </w:rPr>
              <w:t>Customer-facing; selected source models and controlled engineering evidence included</w:t>
            </w:r>
          </w:p>
        </w:tc>
      </w:tr>
    </w:tbl>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DOCUMENT PURPOSE</w:t>
            </w:r>
          </w:p>
          <w:p>
            <w:pPr>
              <w:spacing w:after="0" w:line="259" w:lineRule="auto"/>
            </w:pPr>
            <w:r>
              <w:rPr>
                <w:rFonts w:ascii="Noto Serif" w:hAnsi="Noto Serif"/>
                <w:color w:val="2B2B2B"/>
                <w:sz w:val="20"/>
              </w:rPr>
              <w:t>Defines the controlled platform, electrical, interface, safety, verification, and acceptance requirements. Embedded algorithms, host software, CAN message handling, custom ADC code, and efficiency results are controlled by the companion Firmware &amp; Host FRD.</w:t>
            </w:r>
          </w:p>
        </w:tc>
      </w:tr>
    </w:tbl>
    <w:p>
      <w:pPr>
        <w:spacing w:after="0"/>
      </w:pPr>
    </w:p>
    <w:p>
      <w:r>
        <w:br w:type="page"/>
      </w:r>
    </w:p>
    <w:p>
      <w:pPr>
        <w:pStyle w:val="Heading1"/>
      </w:pPr>
      <w:r>
        <w:t>Functional Requirements Document Framework</w:t>
      </w:r>
    </w:p>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WHY THIS IS AN FRD</w:t>
            </w:r>
          </w:p>
          <w:p>
            <w:pPr>
              <w:spacing w:after="0" w:line="259" w:lineRule="auto"/>
            </w:pPr>
            <w:r>
              <w:rPr>
                <w:rFonts w:ascii="Noto Serif" w:hAnsi="Noto Serif"/>
                <w:color w:val="2B2B2B"/>
                <w:sz w:val="20"/>
              </w:rPr>
              <w:t>This document defines the physical and electrical behavior the platform shall provide, the interfaces and constraints under which it shall operate, and the objective evidence required for acceptance. Vendor diagrams and photographs support verification; they do not transfer ownership of third-party board designs.</w:t>
            </w:r>
          </w:p>
        </w:tc>
      </w:tr>
    </w:tbl>
    <w:p>
      <w:pPr>
        <w:spacing w:after="0"/>
      </w:pPr>
    </w:p>
    <w:p>
      <w:pPr>
        <w:pStyle w:val="Heading2"/>
      </w:pPr>
      <w:r>
        <w:t>Purpose, Scope, and System Boundary</w:t>
      </w:r>
    </w:p>
    <w:p>
      <w:pPr>
        <w:pStyle w:val="BodyText"/>
      </w:pPr>
      <w:r>
        <w:t>This FRD governs the institution-independent public description of the dynamometer platform: DC input, board stacking, motor phases, encoder separation, CAN physical layer, deployment connection, mechanical restraint, and safe bench operation. Control algorithms and measured efficiency results are intentionally absent.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Boundary element</w:t>
            </w:r>
          </w:p>
        </w:tc>
        <w:tc>
          <w:tcPr>
            <w:tcW w:type="dxa" w:w="4031"/>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Included here</w:t>
            </w:r>
          </w:p>
        </w:tc>
        <w:tc>
          <w:tcPr>
            <w:tcW w:type="dxa" w:w="4031"/>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Excluded / referenced</w:t>
            </w:r>
          </w:p>
        </w:tc>
      </w:tr>
      <w:tr>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Controller stack</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LaunchPad and two inverter stages; connector compatibility</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Vendor PCB manufacturing ownership</w:t>
            </w:r>
          </w:p>
        </w:tc>
      </w:tr>
      <w:tr>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Machines</w:t>
            </w:r>
          </w:p>
        </w:tc>
        <w:tc>
          <w:tcPr>
            <w:tcW w:type="dxa" w:w="4031"/>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Two coupled encoder-equipped PMSMs and phase/feedback routing</w:t>
            </w:r>
          </w:p>
        </w:tc>
        <w:tc>
          <w:tcPr>
            <w:tcW w:type="dxa" w:w="4031"/>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Motor internal design and certified ratings</w:t>
            </w:r>
          </w:p>
        </w:tc>
      </w:tr>
      <w:tr>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Bench interfaces</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24 V input, USB/deployment, CANH/CANL/GND, termination</w:t>
            </w:r>
          </w:p>
        </w:tc>
        <w:tc>
          <w:tcPr>
            <w:tcW w:type="dxa" w:w="4031"/>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Host algorithms and message decoding</w:t>
            </w:r>
          </w:p>
        </w:tc>
      </w:tr>
    </w:tbl>
    <w:p>
      <w:r>
        <w:br w:type="page"/>
      </w:r>
    </w:p>
    <w:p>
      <w:pPr>
        <w:pStyle w:val="Heading1"/>
      </w:pPr>
      <w:r>
        <w:t>1. Platform Architecture</w:t>
      </w:r>
    </w:p>
    <w:p>
      <w:pPr>
        <w:pStyle w:val="BodyText"/>
      </w:pPr>
      <w:r>
        <w:t>The platform uses one TI LAUNCHXL-F28069M controller board and two BOOSTXL-DRV8305EVM three-phase inverter stages. Two encoder-equipped PMSMs are mechanically coupled so one machine can drive while the second applies a controlled load. A current-limited 24 V bench supply powers the inverter stack; USB supports deployment and diagnostics; CAN supports supervisory communication.</w:t>
      </w:r>
    </w:p>
    <w:p>
      <w:pPr>
        <w:spacing w:after="60"/>
        <w:jc w:val="center"/>
      </w:pPr>
      <w:r>
        <w:drawing>
          <wp:inline xmlns:a="http://schemas.openxmlformats.org/drawingml/2006/main" xmlns:pic="http://schemas.openxmlformats.org/drawingml/2006/picture">
            <wp:extent cx="5852160" cy="2353055"/>
            <wp:docPr id="1" name="Picture 1"/>
            <wp:cNvGraphicFramePr>
              <a:graphicFrameLocks noChangeAspect="1"/>
            </wp:cNvGraphicFramePr>
            <a:graphic>
              <a:graphicData uri="http://schemas.openxmlformats.org/drawingml/2006/picture">
                <pic:pic>
                  <pic:nvPicPr>
                    <pic:cNvPr id="0" name="boosterpack_to_launchpad_board_interface.png"/>
                    <pic:cNvPicPr/>
                  </pic:nvPicPr>
                  <pic:blipFill>
                    <a:blip r:embed="rId11"/>
                    <a:stretch>
                      <a:fillRect/>
                    </a:stretch>
                  </pic:blipFill>
                  <pic:spPr>
                    <a:xfrm>
                      <a:off x="0" y="0"/>
                      <a:ext cx="5852160" cy="2353055"/>
                    </a:xfrm>
                    <a:prstGeom prst="rect"/>
                  </pic:spPr>
                </pic:pic>
              </a:graphicData>
            </a:graphic>
          </wp:inline>
        </w:drawing>
      </w:r>
    </w:p>
    <w:p>
      <w:pPr>
        <w:spacing w:after="140"/>
        <w:jc w:val="center"/>
      </w:pPr>
      <w:r>
        <w:rPr>
          <w:rFonts w:ascii="Noto Serif" w:hAnsi="Noto Serif"/>
          <w:i/>
          <w:color w:val="5D6A76"/>
          <w:sz w:val="17"/>
        </w:rPr>
        <w:t>Figure 1. BoosterPack-to-LaunchPad board-interface arrangement.</w:t>
      </w:r>
    </w:p>
    <w:p>
      <w:pPr>
        <w:pStyle w:val="Heading2"/>
      </w:pPr>
      <w:r>
        <w:t>1.1 Primary Elements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Element</w:t>
            </w:r>
          </w:p>
        </w:tc>
        <w:tc>
          <w:tcPr>
            <w:tcW w:type="dxa" w:w="115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Quantity</w:t>
            </w:r>
          </w:p>
        </w:tc>
        <w:tc>
          <w:tcPr>
            <w:tcW w:type="dxa" w:w="6263"/>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7"/>
              </w:rPr>
            </w:r>
            <w:r>
              <w:rPr>
                <w:rFonts w:ascii="Noto Serif" w:hAnsi="Noto Serif"/>
                <w:b/>
                <w:color w:val="2B2B2B"/>
                <w:sz w:val="17"/>
              </w:rPr>
              <w:t>Public role</w:t>
            </w:r>
          </w:p>
        </w:tc>
      </w:tr>
      <w:tr>
        <w:tc>
          <w:tcPr>
            <w:tcW w:type="dxa" w:w="2880"/>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LAUNCHXL-F28069M</w:t>
            </w:r>
          </w:p>
        </w:tc>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1</w:t>
            </w:r>
          </w:p>
        </w:tc>
        <w:tc>
          <w:tcPr>
            <w:tcW w:type="dxa" w:w="6263"/>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Embedded controller, encoder interfaces, PWM/ADC and CAN endpoint</w:t>
            </w:r>
          </w:p>
        </w:tc>
      </w:tr>
      <w:tr>
        <w:tc>
          <w:tcPr>
            <w:tcW w:type="dxa" w:w="2880"/>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BOOSTXL-DRV8305EVM</w:t>
            </w:r>
          </w:p>
        </w:tc>
        <w:tc>
          <w:tcPr>
            <w:tcW w:type="dxa" w:w="1152"/>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2</w:t>
            </w:r>
          </w:p>
        </w:tc>
        <w:tc>
          <w:tcPr>
            <w:tcW w:type="dxa" w:w="6263"/>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Three-phase inverter stages for drive and load machines</w:t>
            </w:r>
          </w:p>
        </w:tc>
      </w:tr>
      <w:tr>
        <w:tc>
          <w:tcPr>
            <w:tcW w:type="dxa" w:w="2880"/>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Encoder-equipped PMSM</w:t>
            </w:r>
          </w:p>
        </w:tc>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2</w:t>
            </w:r>
          </w:p>
        </w:tc>
        <w:tc>
          <w:tcPr>
            <w:tcW w:type="dxa" w:w="6263"/>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Mechanically coupled drive and load machines</w:t>
            </w:r>
          </w:p>
        </w:tc>
      </w:tr>
      <w:tr>
        <w:tc>
          <w:tcPr>
            <w:tcW w:type="dxa" w:w="2880"/>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color w:val="2B2B2B"/>
                <w:sz w:val="17"/>
              </w:rPr>
              <w:t>24 V DC supply</w:t>
            </w:r>
          </w:p>
        </w:tc>
        <w:tc>
          <w:tcPr>
            <w:tcW w:type="dxa" w:w="1152"/>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1</w:t>
            </w:r>
          </w:p>
        </w:tc>
        <w:tc>
          <w:tcPr>
            <w:tcW w:type="dxa" w:w="6263"/>
            <w:vAlign w:val="center"/>
            <w:tcMar>
              <w:top w:w="85" w:type="dxa"/>
              <w:start w:w="95" w:type="dxa"/>
              <w:bottom w:w="85" w:type="dxa"/>
              <w:end w:w="95" w:type="dxa"/>
            </w:tcMar>
            <w:shd w:fill="F3F6F8"/>
          </w:tcPr>
          <w:p>
            <w:pPr>
              <w:spacing w:after="0" w:line="240" w:lineRule="auto"/>
            </w:pPr>
            <w:r>
              <w:rPr>
                <w:rFonts w:ascii="Noto Serif" w:hAnsi="Noto Serif"/>
                <w:color w:val="2B2B2B"/>
                <w:sz w:val="17"/>
              </w:rPr>
            </w:r>
            <w:r>
              <w:rPr>
                <w:rFonts w:ascii="Noto Serif" w:hAnsi="Noto Serif"/>
                <w:b w:val="0"/>
                <w:color w:val="2B2B2B"/>
                <w:sz w:val="17"/>
              </w:rPr>
              <w:t>Current-limited bench power source</w:t>
            </w:r>
          </w:p>
        </w:tc>
      </w:tr>
      <w:tr>
        <w:tc>
          <w:tcPr>
            <w:tcW w:type="dxa" w:w="2880"/>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color w:val="2B2B2B"/>
                <w:sz w:val="17"/>
              </w:rPr>
              <w:t>CAN interface</w:t>
            </w:r>
          </w:p>
        </w:tc>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1</w:t>
            </w:r>
          </w:p>
        </w:tc>
        <w:tc>
          <w:tcPr>
            <w:tcW w:type="dxa" w:w="6263"/>
            <w:vAlign w:val="center"/>
            <w:tcMar>
              <w:top w:w="85" w:type="dxa"/>
              <w:start w:w="95" w:type="dxa"/>
              <w:bottom w:w="85" w:type="dxa"/>
              <w:end w:w="95" w:type="dxa"/>
            </w:tcMar>
          </w:tcPr>
          <w:p>
            <w:pPr>
              <w:spacing w:after="0" w:line="240" w:lineRule="auto"/>
            </w:pPr>
            <w:r>
              <w:rPr>
                <w:rFonts w:ascii="Noto Serif" w:hAnsi="Noto Serif"/>
                <w:color w:val="2B2B2B"/>
                <w:sz w:val="17"/>
              </w:rPr>
            </w:r>
            <w:r>
              <w:rPr>
                <w:rFonts w:ascii="Noto Serif" w:hAnsi="Noto Serif"/>
                <w:b w:val="0"/>
                <w:color w:val="2B2B2B"/>
                <w:sz w:val="17"/>
              </w:rPr>
              <w:t>Supervisory physical-layer connection</w:t>
            </w:r>
          </w:p>
        </w:tc>
      </w:tr>
    </w:tbl>
    <w:p>
      <w:r>
        <w:br w:type="page"/>
      </w:r>
    </w:p>
    <w:p>
      <w:pPr>
        <w:pStyle w:val="Heading1"/>
      </w:pPr>
      <w:r>
        <w:t>2. Platform and Electrical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PLT-001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platform shall provide two mechanically coupled encoder-equipped PMSMs.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PLT-002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controller stack shall support two independent three-phase inverter stages.</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PLT-003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platform shall retain physical access for deployment, diagnostics, and emergency shutdown.</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PLT-004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Rotating components shall be restrained and kept clear of hands during operation.</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Procedure review</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Required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PLT-005</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public release shall distinguish institution-owned or third-party hardware from authored models and source.</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Document review</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Verified</w:t>
            </w:r>
          </w:p>
        </w:tc>
      </w:tr>
    </w:tbl>
    <w:p>
      <w:pPr>
        <w:pStyle w:val="Heading2"/>
      </w:pPr>
      <w:r>
        <w:t>2.1 Power and Motor Interface Requirements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PWR-001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inverter stack shall be supplied from 24 V DC with verified polarity and current limiting before operation.</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DMM + startup test</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PWR-002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Each motor shall be connected consistently to its designated three-phase output.</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Continuity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PWR-003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Initial power-up shall use conservative speed, current, and load limits.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Procedure review</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Required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PWR-004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Software disable shall not be represented as an independent certified safety function.</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Document review</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Verified</w:t>
            </w:r>
          </w:p>
        </w:tc>
      </w:tr>
    </w:tbl>
    <w:p>
      <w:r>
        <w:br w:type="page"/>
      </w:r>
    </w:p>
    <w:p>
      <w:pPr>
        <w:pStyle w:val="Heading1"/>
      </w:pPr>
      <w:r>
        <w:t>3. Encoder, CAN, and Deployment Interfaces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80"/>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ID</w:t>
            </w:r>
          </w:p>
        </w:tc>
        <w:tc>
          <w:tcPr>
            <w:tcW w:type="dxa" w:w="5299"/>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The system shall...</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Verification</w:t>
            </w:r>
          </w:p>
        </w:tc>
        <w:tc>
          <w:tcPr>
            <w:tcW w:type="dxa" w:w="151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Status</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IF-001</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Motor 1 and Motor 2 encoder channels shall remain electrically and logically distinct.</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Pin inspection + feedback test</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IF-002</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CANH, CANL, and reference ground shall be connected consistently across the bus.</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Inspection + bus test</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IF-003</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The CAN bus shall provide two 120-ohm terminations at its physical ends.</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Resistance inspection</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Required</w:t>
            </w:r>
          </w:p>
        </w:tc>
      </w:tr>
      <w:tr>
        <w:tc>
          <w:tcPr>
            <w:tcW w:type="dxa" w:w="1180"/>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IF-004</w:t>
            </w:r>
          </w:p>
        </w:tc>
        <w:tc>
          <w:tcPr>
            <w:tcW w:type="dxa" w:w="5299"/>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The target shall retain the debug/deployment connection required for configuration and diagnostics.</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Connection inspection</w:t>
            </w:r>
          </w:p>
        </w:tc>
        <w:tc>
          <w:tcPr>
            <w:tcW w:type="dxa" w:w="151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Demonstrated</w:t>
            </w:r>
          </w:p>
        </w:tc>
      </w:tr>
      <w:tr>
        <w:tc>
          <w:tcPr>
            <w:tcW w:type="dxa" w:w="1180"/>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IF-005</w:t>
            </w:r>
          </w:p>
        </w:tc>
        <w:tc>
          <w:tcPr>
            <w:tcW w:type="dxa" w:w="5299"/>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Board-revision pin assignments shall be checked against current vendor documentation before energizing hardware.</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Document review</w:t>
            </w:r>
          </w:p>
        </w:tc>
        <w:tc>
          <w:tcPr>
            <w:tcW w:type="dxa" w:w="151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Required</w:t>
            </w:r>
          </w:p>
        </w:tc>
      </w:tr>
    </w:tbl>
    <w:p>
      <w:pPr>
        <w:spacing w:after="60"/>
        <w:jc w:val="center"/>
      </w:pPr>
      <w:r>
        <w:drawing>
          <wp:inline xmlns:a="http://schemas.openxmlformats.org/drawingml/2006/main" xmlns:pic="http://schemas.openxmlformats.org/drawingml/2006/picture">
            <wp:extent cx="5715000" cy="8048552"/>
            <wp:docPr id="2" name="Picture 2"/>
            <wp:cNvGraphicFramePr>
              <a:graphicFrameLocks noChangeAspect="1"/>
            </wp:cNvGraphicFramePr>
            <a:graphic>
              <a:graphicData uri="http://schemas.openxmlformats.org/drawingml/2006/picture">
                <pic:pic>
                  <pic:nvPicPr>
                    <pic:cNvPr id="0" name="boosterpack_launchpad_connector_map.png"/>
                    <pic:cNvPicPr/>
                  </pic:nvPicPr>
                  <pic:blipFill>
                    <a:blip r:embed="rId12"/>
                    <a:stretch>
                      <a:fillRect/>
                    </a:stretch>
                  </pic:blipFill>
                  <pic:spPr>
                    <a:xfrm>
                      <a:off x="0" y="0"/>
                      <a:ext cx="5715000" cy="8048552"/>
                    </a:xfrm>
                    <a:prstGeom prst="rect"/>
                  </pic:spPr>
                </pic:pic>
              </a:graphicData>
            </a:graphic>
          </wp:inline>
        </w:drawing>
      </w:r>
    </w:p>
    <w:p>
      <w:pPr>
        <w:spacing w:after="140"/>
        <w:jc w:val="center"/>
      </w:pPr>
      <w:r>
        <w:rPr>
          <w:rFonts w:ascii="Noto Serif" w:hAnsi="Noto Serif"/>
          <w:i/>
          <w:color w:val="5D6A76"/>
          <w:sz w:val="17"/>
        </w:rPr>
        <w:t>Figure 2. Public connector map used to verify board stacking and interface routing.</w:t>
      </w:r>
    </w:p>
    <w:p>
      <w:pPr>
        <w:pStyle w:val="Heading2"/>
      </w:pPr>
      <w:r>
        <w:t>3.1 Interface Caution</w:t>
      </w:r>
    </w:p>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BEFORE ENERGIZING</w:t>
            </w:r>
          </w:p>
          <w:p>
            <w:pPr>
              <w:spacing w:after="0" w:line="259" w:lineRule="auto"/>
            </w:pPr>
            <w:r>
              <w:rPr>
                <w:rFonts w:ascii="Noto Serif" w:hAnsi="Noto Serif"/>
                <w:color w:val="2B2B2B"/>
                <w:sz w:val="20"/>
              </w:rPr>
              <w:t>Verify supply polarity, board orientation, motor phase order, encoder routing, CAN termination, and mechanical restraint. Stop immediately if the shaft vibrates, loses tracking, overheats, or behaves unexpectedly.</w:t>
            </w:r>
          </w:p>
        </w:tc>
      </w:tr>
    </w:tbl>
    <w:p>
      <w:pPr>
        <w:spacing w:after="0"/>
      </w:pPr>
    </w:p>
    <w:p>
      <w:pPr>
        <w:pStyle w:val="Heading1"/>
      </w:pPr>
      <w:r>
        <w:t>4. Schematics, BOM, and Ownership Boundary</w:t>
      </w:r>
    </w:p>
    <w:p>
      <w:pPr>
        <w:pStyle w:val="BodyText"/>
      </w:pPr>
      <w:r>
        <w:t>The public package includes vendor schematics and a high-level BOM for interface verification. These materials identify the equipment used; they do not claim authorship of TI board designs or transfer manufacturing rights.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Artifact</w:t>
            </w:r>
          </w:p>
        </w:tc>
        <w:tc>
          <w:tcPr>
            <w:tcW w:type="dxa" w:w="3816"/>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Public purpose</w:t>
            </w:r>
          </w:p>
        </w:tc>
        <w:tc>
          <w:tcPr>
            <w:tcW w:type="dxa" w:w="4248"/>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Boundary</w:t>
            </w:r>
          </w:p>
        </w:tc>
      </w:tr>
      <w:tr>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LAUNCHXL schematic</w:t>
            </w:r>
          </w:p>
        </w:tc>
        <w:tc>
          <w:tcPr>
            <w:tcW w:type="dxa" w:w="3816"/>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Controller pin and peripheral reference</w:t>
            </w:r>
          </w:p>
        </w:tc>
        <w:tc>
          <w:tcPr>
            <w:tcW w:type="dxa" w:w="424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TI-owned reference material</w:t>
            </w:r>
          </w:p>
        </w:tc>
      </w:tr>
      <w:tr>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BOOSTXL schematic</w:t>
            </w:r>
          </w:p>
        </w:tc>
        <w:tc>
          <w:tcPr>
            <w:tcW w:type="dxa" w:w="3816"/>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Gate-driver, phase-output and sensing reference</w:t>
            </w:r>
          </w:p>
        </w:tc>
        <w:tc>
          <w:tcPr>
            <w:tcW w:type="dxa" w:w="424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TI-owned reference material</w:t>
            </w:r>
          </w:p>
        </w:tc>
      </w:tr>
      <w:tr>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Public BOM</w:t>
            </w:r>
          </w:p>
        </w:tc>
        <w:tc>
          <w:tcPr>
            <w:tcW w:type="dxa" w:w="3816"/>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Platform component identification</w:t>
            </w:r>
          </w:p>
        </w:tc>
        <w:tc>
          <w:tcPr>
            <w:tcW w:type="dxa" w:w="424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Not a manufacturing package</w:t>
            </w:r>
          </w:p>
        </w:tc>
      </w:tr>
      <w:tr>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Connector maps</w:t>
            </w:r>
          </w:p>
        </w:tc>
        <w:tc>
          <w:tcPr>
            <w:tcW w:type="dxa" w:w="3816"/>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Wiring and board-stacking verification</w:t>
            </w:r>
          </w:p>
        </w:tc>
        <w:tc>
          <w:tcPr>
            <w:tcW w:type="dxa" w:w="424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Verify against current board revision</w:t>
            </w:r>
          </w:p>
        </w:tc>
      </w:tr>
    </w:tbl>
    <w:p>
      <w:pPr>
        <w:spacing w:after="60"/>
        <w:jc w:val="center"/>
      </w:pPr>
      <w:r>
        <w:drawing>
          <wp:inline xmlns:a="http://schemas.openxmlformats.org/drawingml/2006/main" xmlns:pic="http://schemas.openxmlformats.org/drawingml/2006/picture">
            <wp:extent cx="5120640" cy="3963194"/>
            <wp:docPr id="3" name="Picture 3"/>
            <wp:cNvGraphicFramePr>
              <a:graphicFrameLocks noChangeAspect="1"/>
            </wp:cNvGraphicFramePr>
            <a:graphic>
              <a:graphicData uri="http://schemas.openxmlformats.org/drawingml/2006/picture">
                <pic:pic>
                  <pic:nvPicPr>
                    <pic:cNvPr id="0" name="launchpad_reference_1.png"/>
                    <pic:cNvPicPr/>
                  </pic:nvPicPr>
                  <pic:blipFill>
                    <a:blip r:embed="rId13"/>
                    <a:stretch>
                      <a:fillRect/>
                    </a:stretch>
                  </pic:blipFill>
                  <pic:spPr>
                    <a:xfrm>
                      <a:off x="0" y="0"/>
                      <a:ext cx="5120640" cy="3963194"/>
                    </a:xfrm>
                    <a:prstGeom prst="rect"/>
                  </pic:spPr>
                </pic:pic>
              </a:graphicData>
            </a:graphic>
          </wp:inline>
        </w:drawing>
      </w:r>
    </w:p>
    <w:p>
      <w:pPr>
        <w:spacing w:after="140"/>
        <w:jc w:val="center"/>
      </w:pPr>
      <w:r>
        <w:rPr>
          <w:rFonts w:ascii="Noto Serif" w:hAnsi="Noto Serif"/>
          <w:i/>
          <w:color w:val="5D6A76"/>
          <w:sz w:val="17"/>
        </w:rPr>
        <w:t>Figure 3. LaunchPad reference view retained for connector orientation.</w:t>
      </w:r>
    </w:p>
    <w:p>
      <w:r>
        <w:br w:type="page"/>
      </w:r>
    </w:p>
    <w:p>
      <w:pPr>
        <w:pStyle w:val="Heading1"/>
      </w:pPr>
      <w:r>
        <w:t>5. Verification and Acceptance</w:t>
      </w:r>
    </w:p>
    <w:p>
      <w:pPr>
        <w:pStyle w:val="BodyText"/>
      </w:pPr>
      <w:r>
        <w:t>Platform verification uses inspection, continuity checks, DMM polarity checks, current-limited startup, encoder feedback observation, and CAN communication tests. Passing document or CI checks does not replace physical verification.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Requirement group</w:t>
            </w:r>
          </w:p>
        </w:tc>
        <w:tc>
          <w:tcPr>
            <w:tcW w:type="dxa" w:w="2232"/>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Method</w:t>
            </w:r>
          </w:p>
        </w:tc>
        <w:tc>
          <w:tcPr>
            <w:tcW w:type="dxa" w:w="3168"/>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Evidence</w:t>
            </w:r>
          </w:p>
        </w:tc>
        <w:tc>
          <w:tcPr>
            <w:tcW w:type="dxa" w:w="3744"/>
            <w:vAlign w:val="center"/>
            <w:tcMar>
              <w:top w:w="85" w:type="dxa"/>
              <w:start w:w="95" w:type="dxa"/>
              <w:bottom w:w="85" w:type="dxa"/>
              <w:end w:w="95" w:type="dxa"/>
            </w:tcMar>
            <w:shd w:fill="203B57"/>
          </w:tcPr>
          <w:p>
            <w:pPr>
              <w:spacing w:after="0" w:line="240" w:lineRule="auto"/>
              <w:jc w:val="center"/>
            </w:pPr>
            <w:r>
              <w:rPr>
                <w:rFonts w:ascii="Noto Serif" w:hAnsi="Noto Serif"/>
                <w:b/>
                <w:color w:val="2B2B2B"/>
                <w:sz w:val="16"/>
              </w:rPr>
            </w:r>
            <w:r>
              <w:rPr>
                <w:rFonts w:ascii="Noto Serif" w:hAnsi="Noto Serif"/>
                <w:b/>
                <w:color w:val="2B2B2B"/>
                <w:sz w:val="16"/>
              </w:rPr>
              <w:t>Acceptance basis</w:t>
            </w:r>
          </w:p>
        </w:tc>
      </w:tr>
      <w:tr>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PLT</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Visual inspection</w:t>
            </w:r>
          </w:p>
        </w:tc>
        <w:tc>
          <w:tcPr>
            <w:tcW w:type="dxa" w:w="316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Board-interface figures and setup records</w:t>
            </w:r>
          </w:p>
        </w:tc>
        <w:tc>
          <w:tcPr>
            <w:tcW w:type="dxa" w:w="3744"/>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Required elements and physical access present</w:t>
            </w:r>
          </w:p>
        </w:tc>
      </w:tr>
      <w:tr>
        <w:tc>
          <w:tcPr>
            <w:tcW w:type="dxa" w:w="115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PWR</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DMM + current-limited startup</w:t>
            </w:r>
          </w:p>
        </w:tc>
        <w:tc>
          <w:tcPr>
            <w:tcW w:type="dxa" w:w="316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Power-up procedure</w:t>
            </w:r>
          </w:p>
        </w:tc>
        <w:tc>
          <w:tcPr>
            <w:tcW w:type="dxa" w:w="3744"/>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Correct polarity and stable low-risk startup</w:t>
            </w:r>
          </w:p>
        </w:tc>
      </w:tr>
      <w:tr>
        <w:tc>
          <w:tcPr>
            <w:tcW w:type="dxa" w:w="115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color w:val="2B2B2B"/>
                <w:sz w:val="16"/>
              </w:rPr>
              <w:t>IF</w:t>
            </w:r>
          </w:p>
        </w:tc>
        <w:tc>
          <w:tcPr>
            <w:tcW w:type="dxa" w:w="2232"/>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Continuity, pin inspection and bus test</w:t>
            </w:r>
          </w:p>
        </w:tc>
        <w:tc>
          <w:tcPr>
            <w:tcW w:type="dxa" w:w="3168"/>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Connector maps and communication evidence</w:t>
            </w:r>
          </w:p>
        </w:tc>
        <w:tc>
          <w:tcPr>
            <w:tcW w:type="dxa" w:w="3744"/>
            <w:vAlign w:val="center"/>
            <w:tcMar>
              <w:top w:w="85" w:type="dxa"/>
              <w:start w:w="95" w:type="dxa"/>
              <w:bottom w:w="85" w:type="dxa"/>
              <w:end w:w="95" w:type="dxa"/>
            </w:tcMar>
          </w:tcPr>
          <w:p>
            <w:pPr>
              <w:spacing w:after="0" w:line="240" w:lineRule="auto"/>
            </w:pPr>
            <w:r>
              <w:rPr>
                <w:rFonts w:ascii="Noto Serif" w:hAnsi="Noto Serif"/>
                <w:color w:val="2B2B2B"/>
                <w:sz w:val="16"/>
              </w:rPr>
            </w:r>
            <w:r>
              <w:rPr>
                <w:rFonts w:ascii="Noto Serif" w:hAnsi="Noto Serif"/>
                <w:b w:val="0"/>
                <w:color w:val="2B2B2B"/>
                <w:sz w:val="16"/>
              </w:rPr>
              <w:t>Distinct encoder paths and working interfaces</w:t>
            </w:r>
          </w:p>
        </w:tc>
      </w:tr>
      <w:tr>
        <w:tc>
          <w:tcPr>
            <w:tcW w:type="dxa" w:w="115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color w:val="2B2B2B"/>
                <w:sz w:val="16"/>
              </w:rPr>
              <w:t>Release</w:t>
            </w:r>
          </w:p>
        </w:tc>
        <w:tc>
          <w:tcPr>
            <w:tcW w:type="dxa" w:w="2232"/>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Archive inspection</w:t>
            </w:r>
          </w:p>
        </w:tc>
        <w:tc>
          <w:tcPr>
            <w:tcW w:type="dxa" w:w="3168"/>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NOTICE, BOM and schematics</w:t>
            </w:r>
          </w:p>
        </w:tc>
        <w:tc>
          <w:tcPr>
            <w:tcW w:type="dxa" w:w="3744"/>
            <w:vAlign w:val="center"/>
            <w:tcMar>
              <w:top w:w="85" w:type="dxa"/>
              <w:start w:w="95" w:type="dxa"/>
              <w:bottom w:w="85" w:type="dxa"/>
              <w:end w:w="95" w:type="dxa"/>
            </w:tcMar>
            <w:shd w:fill="F3F6F8"/>
          </w:tcPr>
          <w:p>
            <w:pPr>
              <w:spacing w:after="0" w:line="240" w:lineRule="auto"/>
            </w:pPr>
            <w:r>
              <w:rPr>
                <w:rFonts w:ascii="Noto Serif" w:hAnsi="Noto Serif"/>
                <w:color w:val="2B2B2B"/>
                <w:sz w:val="16"/>
              </w:rPr>
            </w:r>
            <w:r>
              <w:rPr>
                <w:rFonts w:ascii="Noto Serif" w:hAnsi="Noto Serif"/>
                <w:b w:val="0"/>
                <w:color w:val="2B2B2B"/>
                <w:sz w:val="16"/>
              </w:rPr>
              <w:t>Ownership and exclusions are explicit</w:t>
            </w:r>
          </w:p>
        </w:tc>
      </w:tr>
    </w:tbl>
    <w:p>
      <w:pPr>
        <w:pStyle w:val="Heading2"/>
      </w:pPr>
      <w:r>
        <w:t>5.1 Open Qualification Items</w:t>
      </w:r>
    </w:p>
    <w:p>
      <w:pPr>
        <w:pStyle w:val="ListBullet"/>
      </w:pPr>
      <w:r>
        <w:t>Independent torque and electrical-power calibration are outside this release.</w:t>
      </w:r>
    </w:p>
    <w:p>
      <w:pPr>
        <w:pStyle w:val="ListBullet"/>
      </w:pPr>
      <w:r>
        <w:t>Formal EMC, vibration, ingress, environmental, and long-duration thermal qualification are not included.</w:t>
      </w:r>
    </w:p>
    <w:p>
      <w:pPr>
        <w:pStyle w:val="ListBullet"/>
      </w:pPr>
      <w:r>
        <w:t>A complete independent protection chain and certified stop architecture are not claimed.</w:t>
      </w:r>
    </w:p>
    <w:p>
      <w:pPr>
        <w:pStyle w:val="ListBullet"/>
      </w:pPr>
      <w:r>
        <w:t>No vendor PCB manufacturing sources, Gerbers, pick-and-place files, or fabrication packages are redistributed.</w:t>
      </w:r>
    </w:p>
    <w:p>
      <w:pPr>
        <w:pStyle w:val="Heading2"/>
      </w:pPr>
      <w:r>
        <w:t>5.2 Release Gate</w:t>
      </w:r>
    </w:p>
    <w:tbl>
      <w:tblPr>
        <w:tblW w:type="auto" w:w="0"/>
        <w:jc w:val="center"/>
        <w:tblLayout w:type="fixed"/>
        <w:tblLook w:firstColumn="1" w:firstRow="1" w:lastColumn="0" w:lastRow="0" w:noHBand="0" w:noVBand="1" w:val="04A0"/>
      </w:tblPr>
      <w:tblGrid>
        <w:gridCol w:w="10166"/>
      </w:tblGrid>
      <w:tr>
        <w:tc>
          <w:tcPr>
            <w:tcW w:type="dxa" w:w="10296"/>
            <w:shd w:fill="EAF0F5"/>
            <w:tcMar>
              <w:top w:w="150" w:type="dxa"/>
              <w:start w:w="165" w:type="dxa"/>
              <w:bottom w:w="150" w:type="dxa"/>
              <w:end w:w="165" w:type="dxa"/>
            </w:tcMar>
            <w:tcBorders>
              <w:left w:val="single" w:sz="18" w:color="C51632"/>
            </w:tcBorders>
          </w:tcPr>
          <w:p>
            <w:pPr>
              <w:spacing w:after="60"/>
            </w:pPr>
            <w:r/>
            <w:r>
              <w:rPr>
                <w:rFonts w:ascii="Noto Sans" w:hAnsi="Noto Sans"/>
                <w:b/>
                <w:color w:val="203B57"/>
                <w:sz w:val="21"/>
              </w:rPr>
              <w:t>ACCEPTANCE</w:t>
            </w:r>
          </w:p>
          <w:p>
            <w:pPr>
              <w:spacing w:after="0" w:line="259" w:lineRule="auto"/>
            </w:pPr>
            <w:r>
              <w:rPr>
                <w:rFonts w:ascii="Noto Serif" w:hAnsi="Noto Serif"/>
                <w:color w:val="2B2B2B"/>
                <w:sz w:val="20"/>
              </w:rPr>
              <w:t>Release is accepted when the interface requirements have defined verification methods, the schematics and connector maps correspond to the retained platform, the hardware ownership boundary is explicit, and the rendered FRD contains no firmware or efficiency-result duplication.</w:t>
            </w:r>
          </w:p>
        </w:tc>
      </w:tr>
    </w:tbl>
    <w:p>
      <w:pPr>
        <w:spacing w:after="0"/>
      </w:pPr>
    </w:p>
    <w:sectPr w:rsidR="00FC693F" w:rsidRPr="0006063C" w:rsidSect="00034616">
      <w:headerReference w:type="default" r:id="rId9"/>
      <w:footerReference w:type="default" r:id="rId10"/>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color w:val="5D6A76"/>
        <w:sz w:val="16"/>
      </w:rPr>
      <w:t>Dual-Motor PMSM Dynamometer - Platform and Electrical FRD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5" w:color="203B57"/>
      </w:pBdr>
    </w:pPr>
    <w:r>
      <w:rPr>
        <w:rFonts w:ascii="Noto Serif" w:hAnsi="Noto Serif"/>
        <w:b/>
        <w:color w:val="5D6A76"/>
        <w:sz w:val="16"/>
      </w:rPr>
      <w:t>HERDER ELEKTRONISCHE SYSTEMEN   |   ENGINEERING REQUIREMENTS   |   REV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erif" w:hAnsi="Noto Serif"/>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w:hAnsi="Noto Sans"/>
      <w:b/>
      <w:bCs/>
      <w:color w:val="203B57"/>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Noto Sans" w:hAnsi="Noto Sans"/>
      <w:b/>
      <w:bCs/>
      <w:color w:val="203B57"/>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w:hAnsi="Noto Sans"/>
      <w:b/>
      <w:bCs/>
      <w:color w:val="20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Noto Serif" w:hAnsi="Noto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Noto Serif" w:hAnsi="Noto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