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0" w:color="CC002B"/>
          <w:start w:val="single" w:sz="0" w:color="CC002B"/>
          <w:bottom w:val="single" w:sz="0" w:color="CC002B"/>
          <w:end w:val="single" w:sz="0" w:color="CC002B"/>
          <w:insideH w:val="single" w:sz="0" w:color="CC002B"/>
          <w:insideV w:val="single" w:sz="0" w:color="CC002B"/>
        </w:tblBorders>
      </w:tblPr>
      <w:tblGrid>
        <w:gridCol w:w="10224"/>
      </w:tblGrid>
      <w:tr>
        <w:tc>
          <w:tcPr>
            <w:tcW w:type="dxa" w:w="10224"/>
            <w:shd w:fill="FFFFFF"/>
            <w:tcMar>
              <w:top w:w="260" w:type="dxa"/>
              <w:start w:w="180" w:type="dxa"/>
              <w:bottom w:w="260" w:type="dxa"/>
              <w:end w:w="1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00"/>
              <w:jc w:val="left"/>
            </w:pPr>
            <w:r/>
            <w:r>
              <w:rPr>
                <w:rFonts w:ascii="Noto Serif" w:hAnsi="Noto Serif" w:eastAsia="Noto Serif"/>
                <w:b/>
                <w:color w:val="243B57"/>
                <w:sz w:val="56"/>
              </w:rPr>
              <w:t>DUAL-MOTOR PMSM</w:t>
            </w:r>
          </w:p>
          <w:p>
            <w:pPr>
              <w:spacing w:after="100"/>
              <w:jc w:val="left"/>
            </w:pPr>
            <w:r>
              <w:rPr>
                <w:rFonts w:ascii="Noto Serif" w:hAnsi="Noto Serif" w:eastAsia="Noto Serif"/>
                <w:b/>
                <w:color w:val="243B57"/>
                <w:sz w:val="56"/>
              </w:rPr>
              <w:t>DYNAMOMETER PLATFORM</w:t>
            </w:r>
          </w:p>
          <w:p>
            <w:pPr>
              <w:spacing w:after="40"/>
              <w:jc w:val="left"/>
            </w:pPr>
            <w:r>
              <w:rPr>
                <w:rFonts w:ascii="Noto Serif" w:hAnsi="Noto Serif" w:eastAsia="Noto Serif"/>
                <w:b/>
                <w:color w:val="C7203C"/>
                <w:sz w:val="38"/>
              </w:rPr>
              <w:t>EMBEDDED CONTROL &amp; CHARACTERIZATION</w:t>
            </w:r>
          </w:p>
          <w:p>
            <w:pPr>
              <w:spacing w:before="160"/>
            </w:pPr>
            <w:r>
              <w:rPr>
                <w:rFonts w:ascii="Noto Serif" w:hAnsi="Noto Serif" w:eastAsia="Noto Serif"/>
                <w:b/>
                <w:color w:val="5B6875"/>
                <w:sz w:val="23"/>
              </w:rPr>
              <w:t>C2000/Simulink implementation, custom ADC integration, CAN, acquisition, and measured results</w:t>
            </w:r>
          </w:p>
          <w:p>
            <w:pPr>
              <w:spacing w:before="160"/>
            </w:pPr>
            <w:r>
              <w:rPr>
                <w:rFonts w:ascii="Noto Serif" w:hAnsi="Noto Serif" w:eastAsia="Noto Serif"/>
                <w:b/>
                <w:color w:val="243B57"/>
                <w:sz w:val="18"/>
              </w:rPr>
              <w:t>ENGINEERING REQUIREMENTS DOCUMENT  |  REVISION 2.1  |  5 AUGUST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2736"/>
        <w:gridCol w:w="7488"/>
      </w:tblGrid>
      <w:tr>
        <w:trPr>
          <w:cantSplit/>
        </w:trPr>
        <w:tc>
          <w:tcPr>
            <w:tcW w:type="dxa" w:w="5112"/>
            <w:shd w:fill="243B5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Herder Elektronische Systemen</w:t>
            </w:r>
          </w:p>
        </w:tc>
      </w:tr>
      <w:tr>
        <w:trPr>
          <w:cantSplit/>
        </w:trPr>
        <w:tc>
          <w:tcPr>
            <w:tcW w:type="dxa" w:w="5112"/>
            <w:shd w:fill="E8EE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28313A"/>
                <w:sz w:val="18"/>
              </w:rPr>
              <w:t>Document scope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Embedded implementation, editable models, custom firmware, acquisition workflow, and characterization evidence</w:t>
            </w:r>
          </w:p>
        </w:tc>
      </w:tr>
      <w:tr>
        <w:trPr>
          <w:cantSplit/>
        </w:trPr>
        <w:tc>
          <w:tcPr>
            <w:tcW w:type="dxa" w:w="5112"/>
            <w:shd w:fill="E8EE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28313A"/>
                <w:sz w:val="18"/>
              </w:rPr>
              <w:t>Evidence basis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Simulink source models, handwritten F28069M ADC source, MATLAB tooling, plots, and interface references</w:t>
            </w:r>
          </w:p>
        </w:tc>
      </w:tr>
      <w:tr>
        <w:trPr>
          <w:cantSplit/>
        </w:trPr>
        <w:tc>
          <w:tcPr>
            <w:tcW w:type="dxa" w:w="5112"/>
            <w:shd w:fill="E8EE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28313A"/>
                <w:sz w:val="18"/>
              </w:rPr>
              <w:t>Distribution</w:t>
            </w:r>
          </w:p>
        </w:tc>
        <w:tc>
          <w:tcPr>
            <w:tcW w:type="dxa" w:w="511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8"/>
              </w:rPr>
              <w:t>Customer-facing; controlled source models, custom firmware, and engineering evidence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4F4F4"/>
          <w:start w:val="single" w:sz="0" w:color="F4F4F4"/>
          <w:bottom w:val="single" w:sz="0" w:color="F4F4F4"/>
          <w:end w:val="single" w:sz="0" w:color="F4F4F4"/>
          <w:insideH w:val="single" w:sz="0" w:color="F4F4F4"/>
          <w:insideV w:val="single" w:sz="0" w:color="F4F4F4"/>
        </w:tblBorders>
      </w:tblPr>
      <w:tblGrid>
        <w:gridCol w:w="10224"/>
      </w:tblGrid>
      <w:tr>
        <w:tc>
          <w:tcPr>
            <w:tcW w:type="dxa" w:w="10224"/>
            <w:shd w:fill="E8EEF3"/>
            <w:tcMar>
              <w:top w:w="140" w:type="dxa"/>
              <w:start w:w="140" w:type="dxa"/>
              <w:bottom w:w="140" w:type="dxa"/>
              <w:end w:w="140" w:type="dxa"/>
            </w:tcMar>
            <w:tcBorders>
              <w:left w:val="single" w:sz="18" w:color="C7203C"/>
              <w:top w:val="single" w:sz="4" w:color="CBD5DF"/>
              <w:bottom w:val="single" w:sz="4" w:color="CBD5DF"/>
              <w:right w:val="single" w:sz="4" w:color="CBD5DF"/>
            </w:tcBorders>
          </w:tcPr>
          <w:p>
            <w:r/>
            <w:r>
              <w:rPr>
                <w:rFonts w:ascii="Noto Serif" w:hAnsi="Noto Serif" w:eastAsia="Noto Serif"/>
                <w:b/>
                <w:color w:val="243B57"/>
                <w:sz w:val="20"/>
              </w:rPr>
              <w:t>DOCUMENT PURPOSE</w:t>
            </w:r>
          </w:p>
          <w:p>
            <w:r>
              <w:rPr>
                <w:rFonts w:ascii="Noto Serif" w:hAnsi="Noto Serif" w:eastAsia="Noto Serif"/>
                <w:b/>
                <w:color w:val="243B57"/>
                <w:sz w:val="20"/>
              </w:rPr>
              <w:t>Documents how the platform was implemented and what the retained engineering evidence demonstrates. Functional requirements and verification status remain controlled by the companion FRD.</w:t>
            </w:r>
          </w:p>
        </w:tc>
      </w:tr>
    </w:tbl>
    <w:p>
      <w:r>
        <w:rPr>
          <w:rFonts w:ascii="Noto Serif" w:hAnsi="Noto Serif" w:eastAsia="Noto Serif"/>
          <w:color w:val="28313A"/>
          <w:sz w:val="20"/>
        </w:rPr>
      </w:r>
    </w:p>
    <w:p>
      <w:pPr>
        <w:pStyle w:val="Heading1"/>
      </w:pPr>
      <w:r>
        <w:t>1. Engineering Overview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implementation combines model-based embedded control with a small, clearly identified handwritten peripheral layer. Editable Simulink models define the real-time dual-motor application, CAN interfaces, current-control subsystem, and supervisory hosts. A custom C source file extends the F28069M ADC configuration for additional simultaneous measurements. MATLAB utilities configure tests, capture sessions, and process the retained efficiency evidence.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COMPANION RELATIONSHIP</w:t>
            </w:r>
          </w:p>
          <w:p>
            <w:pPr>
              <w:spacing w:after="0"/>
            </w:pPr>
            <w:r>
              <w:rPr>
                <w:rFonts w:ascii="Noto Serif" w:hAnsi="Noto Serif" w:eastAsia="Noto Serif"/>
                <w:b/>
                <w:color w:val="FFFFFF"/>
                <w:sz w:val="17"/>
              </w:rPr>
              <w:t>Requirement IDs and verification status are controlled by the FRD. This report supplies implementation detail and evidence interpretation only.</w:t>
            </w:r>
          </w:p>
        </w:tc>
      </w:tr>
    </w:tbl>
    <w:p>
      <w:pPr>
        <w:pStyle w:val="Heading1"/>
      </w:pPr>
      <w:r>
        <w:t>2. Repository Source Inventory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800"/>
        <w:gridCol w:w="4464"/>
        <w:gridCol w:w="3672"/>
      </w:tblGrid>
      <w:tr>
        <w:trPr>
          <w:tblHeader w:val="true"/>
        </w:trPr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Public path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Target application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models/simulink/target/C2000_Dual_Motor_CAN_Target.slx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Editable real-time application model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Host models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models/simulink/host/*.slx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Efficiency, drive-cycle, and Speedgoat/CAN supervision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Subsystem models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models/simulink/subsystems/*.slx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 receive, CAN transmit, and current control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Custom firmware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embedded-control/custom-firmware/F28069M_ADC_Custom_Config.c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Handwritten register-level ADC configuration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MATLAB tooling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host-software/setup, logging, analysis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Configuration, capture, export, plotting, and processing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Evidence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results/*.png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Raw signals, filters, measured bins, density, and contours</w:t>
            </w:r>
          </w:p>
        </w:tc>
      </w:tr>
    </w:tbl>
    <w:p>
      <w:pPr>
        <w:spacing w:after="20"/>
      </w:pPr>
    </w:p>
    <w:p>
      <w:pPr>
        <w:pStyle w:val="Heading1"/>
      </w:pPr>
      <w:r>
        <w:t>3. Embedded Control Architecture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1. Control and telemetry architecture used by the public implementation.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C2000 target owns the high-rate field-oriented control loops and machine feedback. The host supplies supervisory references and test sequencing but does not act as the current-loop or speed-loop scheduler. Motor 1 operates as the drive machine. Motor 2 applies opposing or assisting q-axis current to create a controllable load condition.</w:t>
      </w:r>
    </w:p>
    <w:p>
      <w:pPr>
        <w:pStyle w:val="Heading2"/>
      </w:pPr>
      <w:r>
        <w:t>3.1 Simulink model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3672"/>
        <w:gridCol w:w="6264"/>
      </w:tblGrid>
      <w:tr>
        <w:trPr>
          <w:tblHeader w:val="true"/>
        </w:trPr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Engineering role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C2000_Dual_Motor_CAN_Target.slx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Integrated C2000 target model containing dual-machine control, feedback, CAN paths, and deployable target logic.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Current_Control.slx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Reusable current-control implementation supporting the target FOC path.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CAN_Receive.slx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Receives and unpacks the supervisory command payload.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CAN_Transmit.slx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Returns command echo or selected telemetry for diagnostic separation.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Efficiency_Mapping_Host.slx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Commands repeatable speed/load points and supports efficiency acquisition.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Drive_Cycle_Host.slx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Runs time-varying speed and load profiles.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Speedgoat_CAN_Host.slx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Provides the real-time supervisory CAN endpoint.</w:t>
            </w:r>
          </w:p>
        </w:tc>
      </w:tr>
    </w:tbl>
    <w:p>
      <w:pPr>
        <w:spacing w:after="20"/>
      </w:pPr>
    </w:p>
    <w:p>
      <w:pPr>
        <w:pStyle w:val="Heading1"/>
      </w:pPr>
      <w:r>
        <w:t>4. Custom F28069M ADC Integration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public release includes handwritten source rather than only generated support code. F28069M_ADC_Custom_Config.c configures two additional simultaneous ADC pairs for the measurement path and integrates them with the target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512"/>
        <w:gridCol w:w="2088"/>
        <w:gridCol w:w="1440"/>
        <w:gridCol w:w="1944"/>
        <w:gridCol w:w="2376"/>
      </w:tblGrid>
      <w:tr>
        <w:trPr>
          <w:tblHeader w:val="true"/>
        </w:trPr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SOC pair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Analog inputs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Acquisition window</w:t>
            </w:r>
          </w:p>
        </w:tc>
        <w:tc>
          <w:tcPr>
            <w:tcW w:type="dxa" w:w="2045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Interrupt routing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SOC12 / SOC13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ADCINA2 / ADCINB2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ePWM1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7 ADC clocks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EOC13 → ADCINT5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SOC14 / SOC15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ADCINA1 / ADCINB1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ePWM1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7 ADC clocks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EOC15 → ADCINT9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7D7D7"/>
          <w:start w:val="single" w:sz="4" w:color="D7D7D7"/>
          <w:bottom w:val="single" w:sz="4" w:color="D7D7D7"/>
          <w:end w:val="single" w:sz="4" w:color="D7D7D7"/>
          <w:insideH w:val="single" w:sz="4" w:color="D7D7D7"/>
          <w:insideV w:val="single" w:sz="4" w:color="D7D7D7"/>
        </w:tblBorders>
      </w:tblPr>
      <w:tblGrid>
        <w:gridCol w:w="10224"/>
      </w:tblGrid>
      <w:tr>
        <w:tc>
          <w:tcPr>
            <w:tcW w:type="dxa" w:w="10224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OWNERSHIP AND ACCURACY</w:t>
            </w:r>
          </w:p>
          <w:p>
            <w:pPr>
              <w:spacing w:after="0"/>
            </w:pPr>
            <w:r>
              <w:rPr>
                <w:rFonts w:ascii="Noto Serif" w:hAnsi="Noto Serif" w:eastAsia="Noto Serif"/>
                <w:b/>
                <w:color w:val="FFFFFF"/>
                <w:sz w:val="17"/>
              </w:rPr>
              <w:t>The custom file is presented as register-level peripheral integration. Generated C/C++ support files and TI library internals are excluded; the release does not claim a ground-up ADC driver.</w:t>
            </w:r>
          </w:p>
        </w:tc>
      </w:tr>
    </w:tbl>
    <w:p>
      <w:pPr>
        <w:pStyle w:val="Heading1"/>
      </w:pPr>
      <w:r>
        <w:t>5. CAN Command and Diagnostic Path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supervisory transport uses a standard CAN command frame containing four 16-bit words. The receive subsystem decodes references and control state into the existing target signal paths. A separate return identifier carries command echo or selected diagnostic telemetry, helping distinguish physical-link faults from target-logic faults.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1800"/>
        <w:gridCol w:w="2376"/>
        <w:gridCol w:w="5760"/>
      </w:tblGrid>
      <w:tr>
        <w:trPr>
          <w:tblHeader w:val="true"/>
        </w:trPr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Public definition</w:t>
            </w:r>
          </w:p>
        </w:tc>
        <w:tc>
          <w:tcPr>
            <w:tcW w:type="dxa" w:w="3408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Implementation role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Command ID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0x100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Four 16-bit command words in an 8-byte standard frame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Return ID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0x101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Command echo or selected diagnostic telemetry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Target integration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CAN receive and unpack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Decoded signals feed reference, enable, selection, and FOC paths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Diagnostic purpose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Return traffic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Separates bus-level failure from model-level interpretation</w:t>
            </w:r>
          </w:p>
        </w:tc>
      </w:tr>
    </w:tbl>
    <w:p>
      <w:pPr>
        <w:spacing w:after="20"/>
      </w:pPr>
    </w:p>
    <w:p>
      <w:pPr>
        <w:pStyle w:val="Heading1"/>
      </w:pPr>
      <w:r>
        <w:t>6. Host Software and Acquisition Workflow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efficiency_test_setup.m configures repeatable speed/load sweeps and opens the neutral customer-facing host model.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drive_cycle_setup.m configures time-varying command profiles without school or course references.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save_debug_session.m exports timeseries, constants, metadata, and a session README.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post_dyno_export.m and plot_all_dyno_runs.m organize retained datasets and produce reviewable plots.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motor_efficiency_processing.m performs signal alignment, power calculations, validity filtering, binning, density review, and contour generation.</w:t>
      </w:r>
    </w:p>
    <w:p>
      <w:pPr>
        <w:pStyle w:val="Heading1"/>
      </w:pPr>
      <w:r>
        <w:t>7. Characterization Method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processing chain intentionally exposes intermediate decisions. Raw command and feedback signals are aligned, forced or invalid values are identified, physics-based masks are applied, retained operating points are reviewed, measured bins are formed, sample counts are inspected, and interpolation is presented only after measured coverage is visible.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2. Raw speed, current, voltage, mechanical, and torque-related signals retained before filtering.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3. Explicit electrical-power, mechanical-power, torque, and combined validity masks.</w:t>
      </w:r>
    </w:p>
    <w:p>
      <w:pPr>
        <w:pStyle w:val="Heading1"/>
      </w:pPr>
      <w:r>
        <w:t>8. Measured Evidence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4. Retained speed-torque operating points colored by calculated efficiency.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5. Measured-bin efficiency map; unpopulated regions remain visibly distinct.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6. Sample-count map used to judge operating-region density and confidence.</w:t>
      </w:r>
    </w:p>
    <w:p>
      <w:pPr>
        <w:pStyle w:val="Heading2"/>
      </w:pPr>
      <w:r>
        <w:t>8.1 Controlled interpretation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Published speed sweeps approach 4000 RPM in the retained evidence.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Demonstrated torque-related operating points are concentrated roughly between 0.045 and 0.17 N·m.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Efficiency values are filtered using explicit power, torque, and bounded-efficiency criteria before binning.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Measured bins and sample density are the primary evidence used for public interpretation.</w:t>
      </w:r>
    </w:p>
    <w:p>
      <w:pPr>
        <w:pStyle w:val="ListBullet"/>
        <w:spacing w:after="40"/>
      </w:pPr>
      <w:r>
        <w:rPr>
          <w:rFonts w:ascii="Noto Serif" w:hAnsi="Noto Serif" w:eastAsia="Noto Serif"/>
          <w:color w:val="28313A"/>
          <w:sz w:val="20"/>
        </w:rPr>
        <w:t>The results demonstrate bench integration and processing discipline, not calibrated product efficiency or regulatory qualification.</w:t>
      </w:r>
    </w:p>
    <w:p>
      <w:pPr>
        <w:pStyle w:val="Heading1"/>
      </w:pPr>
      <w:r>
        <w:t>9. Physical Interface Evidence</w:t>
      </w:r>
    </w:p>
    <w:p>
      <w:pPr>
        <w:keepNext/>
        <w:jc w:val="center"/>
      </w:pPr>
      <w:r>
        <w:rPr>
          <w:rFonts w:ascii="Noto Serif" w:hAnsi="Noto Serif" w:eastAsia="Noto Serif"/>
          <w:color w:val="28313A"/>
          <w:sz w:val="20"/>
        </w:rPr>
      </w:r>
      <w:r>
        <w:rPr>
          <w:rFonts w:ascii="Noto Serif" w:hAnsi="Noto Serif" w:eastAsia="Noto Serif"/>
          <w:color w:val="28313A"/>
          <w:sz w:val="20"/>
        </w:rPr>
      </w:r>
    </w:p>
    <w:p>
      <w:pPr>
        <w:spacing w:after="160"/>
        <w:jc w:val="center"/>
      </w:pPr>
      <w:r>
        <w:rPr>
          <w:rFonts w:ascii="Noto Serif" w:hAnsi="Noto Serif" w:eastAsia="Noto Serif"/>
          <w:i/>
          <w:color w:val="28313A"/>
          <w:sz w:val="20"/>
        </w:rPr>
        <w:t>Figure 7. BoosterPack-to-LaunchPad interface reference used during hardware integration.</w:t>
      </w:r>
    </w:p>
    <w:p>
      <w:pPr>
        <w:spacing w:after="100" w:line="259" w:lineRule="auto"/>
      </w:pPr>
      <w:r>
        <w:rPr>
          <w:rFonts w:ascii="Noto Serif" w:hAnsi="Noto Serif" w:eastAsia="Noto Serif"/>
          <w:color w:val="28313A"/>
          <w:sz w:val="20"/>
        </w:rPr>
        <w:t>The release also retains the applicable LaunchPad and BOOSTXL-DRV8305EVM public schematics and a concise interface summary. These references support pinout review and connection traceability without redistributing editable vendor manufacturing sources.</w:t>
      </w:r>
    </w:p>
    <w:p>
      <w:pPr>
        <w:pStyle w:val="Heading1"/>
      </w:pPr>
      <w:r>
        <w:t>10. Limitations and Next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0D0D0"/>
          <w:start w:val="single" w:sz="4" w:color="D0D0D0"/>
          <w:bottom w:val="single" w:sz="4" w:color="D0D0D0"/>
          <w:end w:val="single" w:sz="4" w:color="D0D0D0"/>
          <w:insideH w:val="single" w:sz="4" w:color="D0D0D0"/>
          <w:insideV w:val="single" w:sz="4" w:color="D0D0D0"/>
        </w:tblBorders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24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/>
                <w:color w:val="FFFFFF"/>
                <w:sz w:val="17"/>
              </w:rPr>
              <w:t>Controlled statement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Torque and electrical calibration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Independent traceable calibration is outside the retained public evidence.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Thermal endurance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Long-duration thermal and derating qualification is not included.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Fault coverage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 complete independent protection chain and production fault tree are not claimed.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EMC and environment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Formal EMC, vibration, ingress, and environmental testing are not included.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Model dependencies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Opening and deploying the models requires compatible MATLAB/Simulink, C2000 support packages, and relevant licensed hardware blocks.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Physical demonstration media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  <w:tcBorders>
              <w:top w:val="single" w:sz="4" w:color="CBD5DF"/>
              <w:bottom w:val="single" w:sz="4" w:color="CBD5DF"/>
              <w:left w:val="single" w:sz="4" w:color="CBD5DF"/>
              <w:right w:val="single" w:sz="4" w:color="CBD5DF"/>
            </w:tcBorders>
          </w:tcPr>
          <w:p>
            <w:r>
              <w:rPr>
                <w:rFonts w:ascii="Noto Serif" w:hAnsi="Noto Serif" w:eastAsia="Noto Serif"/>
                <w:b w:val="0"/>
                <w:color w:val="28313A"/>
                <w:sz w:val="17"/>
              </w:rPr>
              <w:t>A dedicated platform video or full-bench photograph should be added when approved and available.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893" w:right="1152" w:bottom="79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erif" w:hAnsi="Noto Serif" w:eastAsia="Noto Serif"/>
        <w:color w:val="5B6875"/>
        <w:sz w:val="16"/>
      </w:rPr>
      <w:t>Dual-Motor PMSM Dynamometer Platform  •  Controlled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8" w:space="3" w:color="243B57"/>
      </w:pBdr>
    </w:pPr>
    <w:r>
      <w:rPr>
        <w:rFonts w:ascii="Noto Serif" w:hAnsi="Noto Serif" w:eastAsia="Noto Serif"/>
        <w:b/>
        <w:color w:val="5B6875"/>
        <w:sz w:val="16"/>
      </w:rPr>
      <w:t>HERDER ELEKTRONISCHE SYSTEMEN   |   ENGINEERING REQUIREMENTS   |   REV 2.1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color="FFFFFF"/>
        <w:start w:val="single" w:sz="0" w:color="FFFFFF"/>
        <w:bottom w:val="single" w:sz="0" w:color="FFFFFF"/>
        <w:end w:val="single" w:sz="0" w:color="FFFFFF"/>
        <w:insideH w:val="single" w:sz="0" w:color="FFFFFF"/>
        <w:insideV w:val="single" w:sz="0" w:color="FFFFFF"/>
      </w:tblBorders>
    </w:tblPr>
    <w:tblGrid>
      <w:gridCol w:w="6480"/>
      <w:gridCol w:w="3744"/>
    </w:tblGrid>
    <w:tr>
      <w:tc>
        <w:tcPr>
          <w:tcW w:type="dxa" w:w="5112"/>
        </w:tcPr>
        <w:p>
          <w:r>
            <w:rPr>
              <w:rFonts w:ascii="Arial" w:hAnsi="Arial"/>
              <w:color w:val="CC002B"/>
              <w:sz w:val="18"/>
            </w:rPr>
            <w:t>HERDER ELEKTRONISCHE SYSTEMEN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rial" w:hAnsi="Arial"/>
              <w:sz w:val="20"/>
            </w:rPr>
            <w:t>ENGINEERING REPORT  |</w:t>
            <w:br/>
            <w:t>REV 1.8</w:t>
          </w:r>
        </w:p>
      </w:tc>
    </w:tr>
  </w:tbl>
  <w:p>
    <w:pPr>
      <w:pBdr>
        <w:bottom w:val="single" w:sz="10" w:color="CC00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Noto Serif" w:hAnsi="Noto Serif" w:eastAsia="Noto Serif"/>
      <w:color w:val="28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24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24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C720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Noto Serif" w:hAnsi="Noto Serif" w:eastAsia="Noto Serif"/>
      <w:color w:val="28313A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" w:hAnsi="Noto Serif" w:eastAsia="Noto Serif"/>
      <w:color w:val="28313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" w:hAnsi="Noto Serif" w:eastAsia="Noto Serif"/>
      <w:color w:val="28313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" w:hAnsi="Noto Serif" w:eastAsia="Noto Serif"/>
      <w:b/>
      <w:bCs/>
      <w:i/>
      <w:color w:val="5B68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Revision 2.0</dc:description>
  <cp:lastModifiedBy/>
  <cp:revision>1</cp:revision>
  <dcterms:created xsi:type="dcterms:W3CDTF">2013-12-23T23:15:00Z</dcterms:created>
  <dcterms:modified xsi:type="dcterms:W3CDTF">2013-12-23T23:15:00Z</dcterms:modified>
  <cp:category/>
  <cp:version>1.7</cp:version>
</cp:coreProperties>
</file>