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0" w:color="CC002B"/>
          <w:start w:val="single" w:sz="0" w:color="CC002B"/>
          <w:bottom w:val="single" w:sz="0" w:color="CC002B"/>
          <w:end w:val="single" w:sz="0" w:color="CC002B"/>
          <w:insideH w:val="single" w:sz="0" w:color="CC002B"/>
          <w:insideV w:val="single" w:sz="0" w:color="CC002B"/>
        </w:tblBorders>
      </w:tblPr>
      <w:tblGrid>
        <w:gridCol w:w="10224"/>
      </w:tblGrid>
      <w:tr>
        <w:tc>
          <w:tcPr>
            <w:tcW w:type="dxa" w:w="10224"/>
            <w:shd w:fill="FFFFFF"/>
            <w:tcMar>
              <w:top w:w="260" w:type="dxa"/>
              <w:start w:w="180" w:type="dxa"/>
              <w:bottom w:w="260" w:type="dxa"/>
              <w:end w:w="180" w:type="dxa"/>
            </w:tcMar>
            <w:tcBorders>
              <w:top w:val="nil"/>
              <w:bottom w:val="nil"/>
              <w:left w:val="nil"/>
              <w:right w:val="nil"/>
            </w:tcBorders>
          </w:tcPr>
          <w:p>
            <w:pPr>
              <w:spacing w:after="100"/>
              <w:jc w:val="left"/>
            </w:pPr>
            <w:r/>
            <w:r>
              <w:rPr>
                <w:rFonts w:ascii="Noto Serif" w:hAnsi="Noto Serif" w:eastAsia="Noto Serif"/>
                <w:b/>
                <w:color w:val="243B57"/>
                <w:sz w:val="56"/>
              </w:rPr>
              <w:t>DUAL-MOTOR PMSM</w:t>
            </w:r>
          </w:p>
          <w:p>
            <w:pPr>
              <w:spacing w:after="100"/>
              <w:jc w:val="left"/>
            </w:pPr>
            <w:r>
              <w:rPr>
                <w:rFonts w:ascii="Noto Serif" w:hAnsi="Noto Serif" w:eastAsia="Noto Serif"/>
                <w:b/>
                <w:color w:val="243B57"/>
                <w:sz w:val="56"/>
              </w:rPr>
              <w:t>DYNAMOMETER PLATFORM</w:t>
            </w:r>
          </w:p>
          <w:p>
            <w:pPr>
              <w:spacing w:after="40"/>
              <w:jc w:val="left"/>
            </w:pPr>
            <w:r>
              <w:rPr>
                <w:rFonts w:ascii="Noto Serif" w:hAnsi="Noto Serif" w:eastAsia="Noto Serif"/>
                <w:b/>
                <w:color w:val="C7203C"/>
                <w:sz w:val="38"/>
              </w:rPr>
              <w:t>FUNCTIONAL REQUIREMENTS &amp; VALIDATION</w:t>
            </w:r>
          </w:p>
          <w:p>
            <w:pPr>
              <w:spacing w:before="160"/>
            </w:pPr>
            <w:r>
              <w:rPr>
                <w:rFonts w:ascii="Noto Serif" w:hAnsi="Noto Serif" w:eastAsia="Noto Serif"/>
                <w:b/>
                <w:color w:val="5B6875"/>
                <w:sz w:val="23"/>
              </w:rPr>
              <w:t>TI C2000 F28069M dual-inverter control, interfaces, evidence, and acceptance</w:t>
            </w:r>
          </w:p>
          <w:p>
            <w:pPr>
              <w:spacing w:before="160"/>
            </w:pPr>
            <w:r>
              <w:rPr>
                <w:rFonts w:ascii="Noto Serif" w:hAnsi="Noto Serif" w:eastAsia="Noto Serif"/>
                <w:b/>
                <w:color w:val="243B57"/>
                <w:sz w:val="18"/>
              </w:rPr>
              <w:t>ENGINEERING REQUIREMENTS DOCUMENT  |  REVISION 2.1  |  5 AUGUST 2026</w:t>
            </w:r>
          </w:p>
        </w:tc>
      </w:tr>
    </w:tbl>
    <w:tbl>
      <w:tblPr>
        <w:tblW w:type="auto" w:w="0"/>
        <w:tblLook w:firstColumn="1" w:firstRow="1" w:lastColumn="0" w:lastRow="0" w:noHBand="0" w:noVBand="1" w:val="04A0"/>
        <w:jc w:val="center"/>
        <w:tblBorders>
          <w:top w:val="single" w:sz="4" w:color="D0D0D0"/>
          <w:start w:val="single" w:sz="4" w:color="D0D0D0"/>
          <w:bottom w:val="single" w:sz="4" w:color="D0D0D0"/>
          <w:end w:val="single" w:sz="4" w:color="D0D0D0"/>
          <w:insideH w:val="single" w:sz="4" w:color="D0D0D0"/>
          <w:insideV w:val="single" w:sz="4" w:color="D0D0D0"/>
        </w:tblBorders>
      </w:tblPr>
      <w:tblGrid>
        <w:gridCol w:w="2736"/>
        <w:gridCol w:w="7488"/>
      </w:tblGrid>
      <w:tr>
        <w:trPr>
          <w:cantSplit/>
        </w:trPr>
        <w:tc>
          <w:tcPr>
            <w:tcW w:type="dxa" w:w="5112"/>
            <w:shd w:fill="243B57"/>
            <w:tcMar>
              <w:top w:w="110" w:type="dxa"/>
              <w:start w:w="110" w:type="dxa"/>
              <w:bottom w:w="110" w:type="dxa"/>
              <w:end w:w="11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color w:val="FFFFFF"/>
                <w:sz w:val="18"/>
              </w:rPr>
              <w:t>Prepared by</w:t>
            </w:r>
          </w:p>
        </w:tc>
        <w:tc>
          <w:tcPr>
            <w:tcW w:type="dxa" w:w="5112"/>
            <w:shd w:fill="FFFFFF"/>
            <w:tcMar>
              <w:top w:w="110" w:type="dxa"/>
              <w:start w:w="110" w:type="dxa"/>
              <w:bottom w:w="110" w:type="dxa"/>
              <w:end w:w="11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val="0"/>
                <w:color w:val="28313A"/>
                <w:sz w:val="18"/>
              </w:rPr>
              <w:t>Herder Elektronische Systemen</w:t>
            </w:r>
          </w:p>
        </w:tc>
      </w:tr>
      <w:tr>
        <w:trPr>
          <w:cantSplit/>
        </w:trPr>
        <w:tc>
          <w:tcPr>
            <w:tcW w:type="dxa" w:w="5112"/>
            <w:shd w:fill="E8EEF3"/>
            <w:tcMar>
              <w:top w:w="110" w:type="dxa"/>
              <w:start w:w="110" w:type="dxa"/>
              <w:bottom w:w="110" w:type="dxa"/>
              <w:end w:w="11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color w:val="28313A"/>
                <w:sz w:val="18"/>
              </w:rPr>
              <w:t>Document scope</w:t>
            </w:r>
          </w:p>
        </w:tc>
        <w:tc>
          <w:tcPr>
            <w:tcW w:type="dxa" w:w="5112"/>
            <w:shd w:fill="FFFFFF"/>
            <w:tcMar>
              <w:top w:w="110" w:type="dxa"/>
              <w:start w:w="110" w:type="dxa"/>
              <w:bottom w:w="110" w:type="dxa"/>
              <w:end w:w="11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val="0"/>
                <w:color w:val="28313A"/>
                <w:sz w:val="18"/>
              </w:rPr>
              <w:t>System behavior, operating modes, external interfaces, verification, and release boundary</w:t>
            </w:r>
          </w:p>
        </w:tc>
      </w:tr>
      <w:tr>
        <w:trPr>
          <w:cantSplit/>
        </w:trPr>
        <w:tc>
          <w:tcPr>
            <w:tcW w:type="dxa" w:w="5112"/>
            <w:shd w:fill="E8EEF3"/>
            <w:tcMar>
              <w:top w:w="110" w:type="dxa"/>
              <w:start w:w="110" w:type="dxa"/>
              <w:bottom w:w="110" w:type="dxa"/>
              <w:end w:w="11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color w:val="28313A"/>
                <w:sz w:val="18"/>
              </w:rPr>
              <w:t>Evidence basis</w:t>
            </w:r>
          </w:p>
        </w:tc>
        <w:tc>
          <w:tcPr>
            <w:tcW w:type="dxa" w:w="5112"/>
            <w:shd w:fill="FFFFFF"/>
            <w:tcMar>
              <w:top w:w="110" w:type="dxa"/>
              <w:start w:w="110" w:type="dxa"/>
              <w:bottom w:w="110" w:type="dxa"/>
              <w:end w:w="11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val="0"/>
                <w:color w:val="28313A"/>
                <w:sz w:val="18"/>
              </w:rPr>
              <w:t>Editable Simulink models, handwritten ADC source, CAN interfaces, scripts, and retained evidence</w:t>
            </w:r>
          </w:p>
        </w:tc>
      </w:tr>
      <w:tr>
        <w:trPr>
          <w:cantSplit/>
        </w:trPr>
        <w:tc>
          <w:tcPr>
            <w:tcW w:type="dxa" w:w="5112"/>
            <w:shd w:fill="E8EEF3"/>
            <w:tcMar>
              <w:top w:w="110" w:type="dxa"/>
              <w:start w:w="110" w:type="dxa"/>
              <w:bottom w:w="110" w:type="dxa"/>
              <w:end w:w="11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color w:val="28313A"/>
                <w:sz w:val="18"/>
              </w:rPr>
              <w:t>Distribution</w:t>
            </w:r>
          </w:p>
        </w:tc>
        <w:tc>
          <w:tcPr>
            <w:tcW w:type="dxa" w:w="5112"/>
            <w:shd w:fill="FFFFFF"/>
            <w:tcMar>
              <w:top w:w="110" w:type="dxa"/>
              <w:start w:w="110" w:type="dxa"/>
              <w:bottom w:w="110" w:type="dxa"/>
              <w:end w:w="11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val="0"/>
                <w:color w:val="28313A"/>
                <w:sz w:val="18"/>
              </w:rPr>
              <w:t>Customer-facing; controlled source models, custom firmware, and engineering evidence</w:t>
            </w:r>
          </w:p>
        </w:tc>
      </w:tr>
    </w:tbl>
    <w:tbl>
      <w:tblPr>
        <w:tblW w:type="auto" w:w="0"/>
        <w:jc w:val="center"/>
        <w:tblLook w:firstColumn="1" w:firstRow="1" w:lastColumn="0" w:lastRow="0" w:noHBand="0" w:noVBand="1" w:val="04A0"/>
        <w:tblBorders>
          <w:top w:val="single" w:sz="0" w:color="F4F4F4"/>
          <w:start w:val="single" w:sz="0" w:color="F4F4F4"/>
          <w:bottom w:val="single" w:sz="0" w:color="F4F4F4"/>
          <w:end w:val="single" w:sz="0" w:color="F4F4F4"/>
          <w:insideH w:val="single" w:sz="0" w:color="F4F4F4"/>
          <w:insideV w:val="single" w:sz="0" w:color="F4F4F4"/>
        </w:tblBorders>
      </w:tblPr>
      <w:tblGrid>
        <w:gridCol w:w="10224"/>
      </w:tblGrid>
      <w:tr>
        <w:tc>
          <w:tcPr>
            <w:tcW w:type="dxa" w:w="10224"/>
            <w:shd w:fill="E8EEF3"/>
            <w:tcMar>
              <w:top w:w="140" w:type="dxa"/>
              <w:start w:w="140" w:type="dxa"/>
              <w:bottom w:w="140" w:type="dxa"/>
              <w:end w:w="140" w:type="dxa"/>
            </w:tcMar>
            <w:tcBorders>
              <w:left w:val="single" w:sz="18" w:color="C7203C"/>
              <w:top w:val="single" w:sz="4" w:color="CBD5DF"/>
              <w:bottom w:val="single" w:sz="4" w:color="CBD5DF"/>
              <w:right w:val="single" w:sz="4" w:color="CBD5DF"/>
            </w:tcBorders>
          </w:tcPr>
          <w:p>
            <w:r/>
            <w:r>
              <w:rPr>
                <w:rFonts w:ascii="Noto Serif" w:hAnsi="Noto Serif" w:eastAsia="Noto Serif"/>
                <w:b/>
                <w:color w:val="243B57"/>
                <w:sz w:val="20"/>
              </w:rPr>
              <w:t>DOCUMENT PURPOSE</w:t>
            </w:r>
          </w:p>
          <w:p>
            <w:r>
              <w:rPr>
                <w:rFonts w:ascii="Noto Serif" w:hAnsi="Noto Serif" w:eastAsia="Noto Serif"/>
                <w:b/>
                <w:color w:val="243B57"/>
                <w:sz w:val="20"/>
              </w:rPr>
              <w:t>Defines the controlled functional, performance, interface, safety, verification, and acceptance requirements for the public dual-motor dynamometer platform. Implementation detail and efficiency characterization are controlled in the companion engineering report.</w:t>
            </w:r>
          </w:p>
        </w:tc>
      </w:tr>
    </w:tbl>
    <w:p>
      <w:r>
        <w:rPr>
          <w:rFonts w:ascii="Noto Serif" w:hAnsi="Noto Serif" w:eastAsia="Noto Serif"/>
          <w:color w:val="28313A"/>
          <w:sz w:val="20"/>
        </w:rPr>
      </w:r>
    </w:p>
    <w:p>
      <w:pPr>
        <w:pStyle w:val="Heading1"/>
        <w:keepNext/>
      </w:pPr>
      <w:r>
        <w:rPr>
          <w:color w:val="C8102E"/>
        </w:rPr>
        <w:t>1. Purpose, Scope, and Use of This FRD</w:t>
      </w:r>
    </w:p>
    <w:p>
      <w:pPr>
        <w:pStyle w:val="BodyText"/>
        <w:spacing w:after="100" w:line="259" w:lineRule="auto"/>
      </w:pPr>
      <w:r>
        <w:rPr>
          <w:rFonts w:ascii="Noto Serif" w:hAnsi="Noto Serif" w:eastAsia="Noto Serif"/>
          <w:color w:val="28313A"/>
          <w:sz w:val="20"/>
        </w:rPr>
        <w:t>This Functional Requirements Document (FRD) defines the required behavior, external interfaces, evidence obligations, constraints, and acceptance basis for the public Dual-Motor PMSM Dynamometer Platform. It is intended to support engineering review, controlled modification, verification planning, and customer understanding of the released system boundary.</w:t>
      </w:r>
    </w:p>
    <w:p>
      <w:pPr>
        <w:pStyle w:val="BodyText"/>
        <w:spacing w:after="100" w:line="259" w:lineRule="auto"/>
      </w:pPr>
      <w:r>
        <w:rPr>
          <w:rFonts w:ascii="Noto Serif" w:hAnsi="Noto Serif" w:eastAsia="Noto Serif"/>
          <w:color w:val="28313A"/>
          <w:sz w:val="20"/>
        </w:rPr>
        <w:t>Unlike the companion Embedded Control &amp; Characterization Report, this document does not present characterization plots, processing methods, or measured-result interpretation. It establishes the required system behavior and the evidence needed to demonstrate compliance.</w:t>
      </w:r>
    </w:p>
    <w:tbl>
      <w:tblPr>
        <w:tblW w:type="auto" w:w="0"/>
        <w:jc w:val="center"/>
        <w:tblLayout w:type="fixed"/>
        <w:tblLook w:firstColumn="1" w:firstRow="1" w:lastColumn="0" w:lastRow="0" w:noHBand="0" w:noVBand="1" w:val="04A0"/>
      </w:tblPr>
      <w:tblGrid>
        <w:gridCol w:w="10224"/>
      </w:tblGrid>
      <w:tr>
        <w:tc>
          <w:tcPr>
            <w:tcW w:type="dxa" w:w="9576"/>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color w:val="FFFFFF"/>
                <w:sz w:val="17"/>
              </w:rPr>
              <w:t>WHAT MAKES THIS AN FRD</w:t>
              <w:br/>
            </w:r>
            <w:r>
              <w:rPr>
                <w:rFonts w:ascii="Noto Serif" w:hAnsi="Noto Serif" w:eastAsia="Noto Serif"/>
                <w:b/>
                <w:color w:val="FFFFFF"/>
                <w:sz w:val="17"/>
              </w:rPr>
              <w:t>Each mandatory capability is expressed as an atomic “shall” statement with a unique identifier, verification method, status, and retained evidence reference. Narrative sections explain system intent and operating behavior so the requirement tables are understandable without becoming an implementation manual.</w:t>
            </w:r>
          </w:p>
        </w:tc>
      </w:tr>
    </w:tbl>
    <w:p>
      <w:pPr>
        <w:spacing w:after="0"/>
      </w:pPr>
    </w:p>
    <w:p>
      <w:pPr>
        <w:pStyle w:val="Heading2"/>
        <w:keepNext/>
      </w:pPr>
      <w:r>
        <w:rPr>
          <w:color w:val="252525"/>
        </w:rPr>
        <w:t>1.1 Intended audience and decisions supported</w:t>
      </w:r>
    </w:p>
    <w:p>
      <w:pPr>
        <w:pStyle w:val="ListBullet"/>
        <w:spacing w:after="40"/>
      </w:pPr>
      <w:r>
        <w:rPr>
          <w:rFonts w:ascii="Noto Serif" w:hAnsi="Noto Serif" w:eastAsia="Noto Serif"/>
          <w:color w:val="28313A"/>
          <w:sz w:val="20"/>
        </w:rPr>
        <w:t>Customers and reviewers evaluating system capability and release maturity.</w:t>
      </w:r>
    </w:p>
    <w:p>
      <w:pPr>
        <w:pStyle w:val="ListBullet"/>
        <w:spacing w:after="40"/>
      </w:pPr>
      <w:r>
        <w:rPr>
          <w:rFonts w:ascii="Noto Serif" w:hAnsi="Noto Serif" w:eastAsia="Noto Serif"/>
          <w:color w:val="28313A"/>
          <w:sz w:val="20"/>
        </w:rPr>
        <w:t>Engineers modifying host, target, CAN, ADC, or acquisition functions.</w:t>
      </w:r>
    </w:p>
    <w:p>
      <w:pPr>
        <w:pStyle w:val="ListBullet"/>
        <w:spacing w:after="40"/>
      </w:pPr>
      <w:r>
        <w:rPr>
          <w:rFonts w:ascii="Noto Serif" w:hAnsi="Noto Serif" w:eastAsia="Noto Serif"/>
          <w:color w:val="28313A"/>
          <w:sz w:val="20"/>
        </w:rPr>
        <w:t>Test personnel selecting verification methods and acceptance evidence.</w:t>
      </w:r>
    </w:p>
    <w:p>
      <w:pPr>
        <w:pStyle w:val="ListBullet"/>
        <w:spacing w:after="40"/>
      </w:pPr>
      <w:r>
        <w:rPr>
          <w:rFonts w:ascii="Noto Serif" w:hAnsi="Noto Serif" w:eastAsia="Noto Serif"/>
          <w:color w:val="28313A"/>
          <w:sz w:val="20"/>
        </w:rPr>
        <w:t>Maintainers determining whether a proposed change affects an approved requirement or interface.</w:t>
      </w:r>
    </w:p>
    <w:p>
      <w:pPr>
        <w:pStyle w:val="Heading2"/>
        <w:keepNext/>
      </w:pPr>
      <w:r>
        <w:rPr>
          <w:color w:val="252525"/>
        </w:rPr>
        <w:t>1.2 Public system boundary</w:t>
      </w:r>
    </w:p>
    <w:p>
      <w:pPr>
        <w:pStyle w:val="BodyText"/>
        <w:spacing w:after="100" w:line="259" w:lineRule="auto"/>
      </w:pPr>
      <w:r>
        <w:rPr>
          <w:rFonts w:ascii="Noto Serif" w:hAnsi="Noto Serif" w:eastAsia="Noto Serif"/>
          <w:color w:val="28313A"/>
          <w:sz w:val="20"/>
        </w:rPr>
        <w:t>The public release includes selected editable Simulink models, handwritten ADC peripheral source, MATLAB setup and analysis utilities, interface references, schematics, and approved evidence figures. Generated code, binaries, private raw data, vendor manufacturing packages, and institution-specific instructional materials remain outside the release.</w:t>
      </w:r>
    </w:p>
    <w:p>
      <w:r>
        <w:rPr>
          <w:rFonts w:ascii="Noto Serif" w:hAnsi="Noto Serif" w:eastAsia="Noto Serif"/>
          <w:color w:val="28313A"/>
          <w:sz w:val="20"/>
        </w:rPr>
      </w:r>
    </w:p>
    <w:p>
      <w:pPr>
        <w:pStyle w:val="Heading1"/>
        <w:keepNext/>
      </w:pPr>
      <w:r>
        <w:rPr>
          <w:color w:val="C8102E"/>
        </w:rPr>
        <w:t>2. System Overview and Operational Concept</w:t>
      </w:r>
    </w:p>
    <w:p>
      <w:pPr>
        <w:pStyle w:val="BodyText"/>
        <w:spacing w:after="100" w:line="259" w:lineRule="auto"/>
      </w:pPr>
      <w:r>
        <w:rPr>
          <w:rFonts w:ascii="Noto Serif" w:hAnsi="Noto Serif" w:eastAsia="Noto Serif"/>
          <w:color w:val="28313A"/>
          <w:sz w:val="20"/>
        </w:rPr>
        <w:t>The platform couples two encoder-equipped permanent-magnet synchronous machines on a common shaft. Motor 1 establishes shaft speed. Motor 2 applies opposing or assisting q-axis current so the coupled assembly can be exercised as a compact dynamometer. A TI C2000 F28069M target executes the real-time control loops, while supervisory models provide commands, acquisition, and test orchestration.</w:t>
      </w:r>
    </w:p>
    <w:p>
      <w:pPr>
        <w:jc w:val="center"/>
      </w:pPr>
      <w:r>
        <w:rPr>
          <w:rFonts w:ascii="Noto Serif" w:hAnsi="Noto Serif" w:eastAsia="Noto Serif"/>
          <w:color w:val="28313A"/>
          <w:sz w:val="20"/>
        </w:rPr>
      </w:r>
    </w:p>
    <w:p>
      <w:pPr>
        <w:pStyle w:val="Caption"/>
        <w:spacing w:after="100"/>
        <w:jc w:val="center"/>
      </w:pPr>
      <w:r>
        <w:rPr>
          <w:i/>
          <w:color w:val="666666"/>
          <w:sz w:val="17"/>
        </w:rPr>
        <w:t>Figure 1. Public functional architecture and system boundary.</w:t>
      </w:r>
    </w:p>
    <w:p>
      <w:pPr>
        <w:pStyle w:val="Heading2"/>
        <w:keepNext/>
      </w:pPr>
      <w:r>
        <w:rPr>
          <w:color w:val="252525"/>
        </w:rPr>
        <w:t>2.1 Functional decomposition</w:t>
      </w:r>
    </w:p>
    <w:tbl>
      <w:tblPr>
        <w:tblStyle w:val="TableGrid"/>
        <w:tblW w:type="auto" w:w="0"/>
        <w:jc w:val="center"/>
        <w:tblLayout w:type="fixed"/>
        <w:tblLook w:firstColumn="1" w:firstRow="1" w:lastColumn="0" w:lastRow="0" w:noHBand="0" w:noVBand="1" w:val="04A0"/>
      </w:tblPr>
      <w:tblGrid>
        <w:gridCol w:w="1944"/>
        <w:gridCol w:w="5400"/>
        <w:gridCol w:w="1944"/>
      </w:tblGrid>
      <w:tr>
        <w:trPr>
          <w:tblHeader w:val="true"/>
        </w:trPr>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Element</w:t>
            </w:r>
          </w:p>
        </w:tc>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Required responsibility</w:t>
            </w:r>
          </w:p>
        </w:tc>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Boundary</w:t>
            </w:r>
          </w:p>
        </w:tc>
      </w:tr>
      <w:tr>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Supervisory host</w:t>
            </w:r>
          </w:p>
        </w:tc>
        <w:tc>
          <w:tcPr>
            <w:tcW w:type="dxa" w:w="540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Provide speed, load/current, enable, selection, and test commands; collect observable signals.</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Non-real-time supervision</w:t>
            </w:r>
          </w:p>
        </w:tc>
      </w:tr>
      <w:tr>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C2000 target</w:t>
            </w:r>
          </w:p>
        </w:tc>
        <w:tc>
          <w:tcPr>
            <w:tcW w:type="dxa" w:w="540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Execute embedded FOC, encoder acquisition, CAN handling, ADC acquisition, and deterministic target logic.</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Real-time control</w:t>
            </w:r>
          </w:p>
        </w:tc>
      </w:tr>
      <w:tr>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Dual inverter stages</w:t>
            </w:r>
          </w:p>
        </w:tc>
        <w:tc>
          <w:tcPr>
            <w:tcW w:type="dxa" w:w="540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Convert DC bus power into controlled three-phase machine excitation.</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TI reference hardware</w:t>
            </w:r>
          </w:p>
        </w:tc>
      </w:tr>
      <w:tr>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Coupled PMSMs</w:t>
            </w:r>
          </w:p>
        </w:tc>
        <w:tc>
          <w:tcPr>
            <w:tcW w:type="dxa" w:w="540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Provide drive and load/assist behavior through a shared mechanical shaft.</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Physical test article</w:t>
            </w:r>
          </w:p>
        </w:tc>
      </w:tr>
      <w:tr>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Analysis workflow</w:t>
            </w:r>
          </w:p>
        </w:tc>
        <w:tc>
          <w:tcPr>
            <w:tcW w:type="dxa" w:w="540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Transform retained signals into reviewable engineering evidence.</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Postprocessing</w:t>
            </w:r>
          </w:p>
        </w:tc>
      </w:tr>
    </w:tbl>
    <w:p>
      <w:pPr>
        <w:spacing w:after="0"/>
      </w:pPr>
    </w:p>
    <w:p>
      <w:pPr>
        <w:pStyle w:val="Heading2"/>
        <w:keepNext/>
      </w:pPr>
      <w:r>
        <w:rPr>
          <w:color w:val="252525"/>
        </w:rPr>
        <w:t>2.2 Normal operating sequence</w:t>
      </w:r>
    </w:p>
    <w:p>
      <w:pPr>
        <w:pStyle w:val="BodyText"/>
        <w:spacing w:after="100" w:line="259" w:lineRule="auto"/>
      </w:pPr>
      <w:r>
        <w:rPr>
          <w:rFonts w:ascii="Noto Serif" w:hAnsi="Noto Serif" w:eastAsia="Noto Serif"/>
          <w:color w:val="28313A"/>
          <w:sz w:val="20"/>
        </w:rPr>
        <w:t>A typical run begins with wiring and polarity verification, low-risk target deployment, encoder and phase-order confirmation, command enable, controlled speed and load application, data capture, and post-run evidence review. The host coordinates this sequence but does not replace the embedded timing or current-control functions.</w:t>
      </w:r>
    </w:p>
    <w:p>
      <w:r>
        <w:rPr>
          <w:rFonts w:ascii="Noto Serif" w:hAnsi="Noto Serif" w:eastAsia="Noto Serif"/>
          <w:color w:val="28313A"/>
          <w:sz w:val="20"/>
        </w:rPr>
      </w:r>
    </w:p>
    <w:p>
      <w:pPr>
        <w:pStyle w:val="Heading1"/>
        <w:keepNext/>
      </w:pPr>
      <w:r>
        <w:rPr>
          <w:color w:val="C8102E"/>
        </w:rPr>
        <w:t>3. Requirement Structure and Interpretation</w:t>
      </w:r>
    </w:p>
    <w:p>
      <w:pPr>
        <w:pStyle w:val="BodyText"/>
        <w:spacing w:after="100" w:line="259" w:lineRule="auto"/>
      </w:pPr>
      <w:r>
        <w:rPr>
          <w:rFonts w:ascii="Noto Serif" w:hAnsi="Noto Serif" w:eastAsia="Noto Serif"/>
          <w:color w:val="28313A"/>
          <w:sz w:val="20"/>
        </w:rPr>
        <w:t>Requirements are grouped by functional behavior, physical and communication interfaces, acquisition/evidence obligations, and release constraints. Every mandatory requirement uses “shall.” Explanatory paragraphs provide intent and context; they are not substitutes for the numbered requirement statements.</w:t>
      </w:r>
    </w:p>
    <w:tbl>
      <w:tblPr>
        <w:tblStyle w:val="TableGrid"/>
        <w:tblW w:type="auto" w:w="0"/>
        <w:jc w:val="center"/>
        <w:tblLayout w:type="fixed"/>
        <w:tblLook w:firstColumn="1" w:firstRow="1" w:lastColumn="0" w:lastRow="0" w:noHBand="0" w:noVBand="1" w:val="04A0"/>
      </w:tblPr>
      <w:tblGrid>
        <w:gridCol w:w="1944"/>
        <w:gridCol w:w="7344"/>
      </w:tblGrid>
      <w:tr>
        <w:trPr>
          <w:tblHeader w:val="true"/>
        </w:trPr>
        <w:tc>
          <w:tcPr>
            <w:tcW w:type="dxa" w:w="5112"/>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Attribute</w:t>
            </w:r>
          </w:p>
        </w:tc>
        <w:tc>
          <w:tcPr>
            <w:tcW w:type="dxa" w:w="5112"/>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Meaning</w:t>
            </w:r>
          </w:p>
        </w:tc>
      </w:tr>
      <w:tr>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Identifier</w:t>
            </w:r>
          </w:p>
        </w:tc>
        <w:tc>
          <w:tcPr>
            <w:tcW w:type="dxa" w:w="73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Stable reference used in design discussions, verification records, and change review.</w:t>
            </w:r>
          </w:p>
        </w:tc>
      </w:tr>
      <w:tr>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Requirement</w:t>
            </w:r>
          </w:p>
        </w:tc>
        <w:tc>
          <w:tcPr>
            <w:tcW w:type="dxa" w:w="73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Atomic mandatory behavior written as a testable “shall” statement.</w:t>
            </w:r>
          </w:p>
        </w:tc>
      </w:tr>
      <w:tr>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Rationale</w:t>
            </w:r>
          </w:p>
        </w:tc>
        <w:tc>
          <w:tcPr>
            <w:tcW w:type="dxa" w:w="73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Why the capability is necessary to the system mission or evidence chain.</w:t>
            </w:r>
          </w:p>
        </w:tc>
      </w:tr>
      <w:tr>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Verification</w:t>
            </w:r>
          </w:p>
        </w:tc>
        <w:tc>
          <w:tcPr>
            <w:tcW w:type="dxa" w:w="73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Inspection, analysis, demonstration, test, or a controlled combination.</w:t>
            </w:r>
          </w:p>
        </w:tc>
      </w:tr>
      <w:tr>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Status</w:t>
            </w:r>
          </w:p>
        </w:tc>
        <w:tc>
          <w:tcPr>
            <w:tcW w:type="dxa" w:w="73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 Verified, Open, or Not Claimed for this public release.</w:t>
            </w:r>
          </w:p>
        </w:tc>
      </w:tr>
      <w:tr>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Evidence</w:t>
            </w:r>
          </w:p>
        </w:tc>
        <w:tc>
          <w:tcPr>
            <w:tcW w:type="dxa" w:w="73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Retained model, source file, figure, procedure, or repository artifact supporting closure.</w:t>
            </w:r>
          </w:p>
        </w:tc>
      </w:tr>
    </w:tbl>
    <w:p>
      <w:pPr>
        <w:spacing w:after="0"/>
      </w:pPr>
    </w:p>
    <w:tbl>
      <w:tblPr>
        <w:tblW w:type="auto" w:w="0"/>
        <w:jc w:val="center"/>
        <w:tblLayout w:type="fixed"/>
        <w:tblLook w:firstColumn="1" w:firstRow="1" w:lastColumn="0" w:lastRow="0" w:noHBand="0" w:noVBand="1" w:val="04A0"/>
      </w:tblPr>
      <w:tblGrid>
        <w:gridCol w:w="10224"/>
      </w:tblGrid>
      <w:tr>
        <w:tc>
          <w:tcPr>
            <w:tcW w:type="dxa" w:w="9576"/>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color w:val="FFFFFF"/>
                <w:sz w:val="17"/>
              </w:rPr>
              <w:t>STATUS CONVENTION</w:t>
              <w:br/>
            </w:r>
            <w:r>
              <w:rPr>
                <w:rFonts w:ascii="Noto Serif" w:hAnsi="Noto Serif" w:eastAsia="Noto Serif"/>
                <w:b/>
                <w:color w:val="FFFFFF"/>
                <w:sz w:val="17"/>
              </w:rPr>
              <w:t>“Demonstrated” means operation has been shown on the engineering platform. “Verified” means release content or an analysis obligation has been checked. Neither term implies calibrated metrology, production qualification, functional-safety certification, or regulatory approval.</w:t>
            </w:r>
          </w:p>
        </w:tc>
      </w:tr>
    </w:tbl>
    <w:p>
      <w:pPr>
        <w:spacing w:after="0"/>
      </w:pPr>
    </w:p>
    <w:p>
      <w:pPr>
        <w:pStyle w:val="Heading2"/>
        <w:keepNext/>
      </w:pPr>
      <w:r>
        <w:rPr>
          <w:color w:val="252525"/>
        </w:rPr>
        <w:t>3.1 Operating modes</w:t>
      </w:r>
    </w:p>
    <w:tbl>
      <w:tblPr>
        <w:tblStyle w:val="TableGrid"/>
        <w:tblW w:type="auto" w:w="0"/>
        <w:jc w:val="center"/>
        <w:tblLayout w:type="fixed"/>
        <w:tblLook w:firstColumn="1" w:firstRow="1" w:lastColumn="0" w:lastRow="0" w:noHBand="0" w:noVBand="1" w:val="04A0"/>
      </w:tblPr>
      <w:tblGrid>
        <w:gridCol w:w="2088"/>
        <w:gridCol w:w="5112"/>
        <w:gridCol w:w="2088"/>
      </w:tblGrid>
      <w:tr>
        <w:trPr>
          <w:tblHeader w:val="true"/>
        </w:trPr>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Mode</w:t>
            </w:r>
          </w:p>
        </w:tc>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Description</w:t>
            </w:r>
          </w:p>
        </w:tc>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Entry/exit expectation</w:t>
            </w:r>
          </w:p>
        </w:tc>
      </w:tr>
      <w:tr>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Disabled / setup</w:t>
            </w:r>
          </w:p>
        </w:tc>
        <w:tc>
          <w:tcPr>
            <w:tcW w:type="dxa" w:w="51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Commands are configured while torque-producing operation remains disabled.</w:t>
            </w:r>
          </w:p>
        </w:tc>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Default safe software state; wiring and feedback checks occur here.</w:t>
            </w:r>
          </w:p>
        </w:tc>
      </w:tr>
      <w:tr>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Drive / load operation</w:t>
            </w:r>
          </w:p>
        </w:tc>
        <w:tc>
          <w:tcPr>
            <w:tcW w:type="dxa" w:w="51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Motor 1 regulates shaft speed while Motor 2 applies a commanded load or assist current.</w:t>
            </w:r>
          </w:p>
        </w:tc>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Entered only after enable and feedback checks; exited by disable or fault response.</w:t>
            </w:r>
          </w:p>
        </w:tc>
      </w:tr>
      <w:tr>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CAN-supervised operation</w:t>
            </w:r>
          </w:p>
        </w:tc>
        <w:tc>
          <w:tcPr>
            <w:tcW w:type="dxa" w:w="51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Command words arrive over the documented CAN path and are returned or observed diagnostically.</w:t>
            </w:r>
          </w:p>
        </w:tc>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Communication must be validated before relying on remote commands.</w:t>
            </w:r>
          </w:p>
        </w:tc>
      </w:tr>
      <w:tr>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Acquisition / review</w:t>
            </w:r>
          </w:p>
        </w:tc>
        <w:tc>
          <w:tcPr>
            <w:tcW w:type="dxa" w:w="51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Signals are captured, exported, and processed after or during a controlled run.</w:t>
            </w:r>
          </w:p>
        </w:tc>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Evidence must remain traceable to source models and scripts.</w:t>
            </w:r>
          </w:p>
        </w:tc>
      </w:tr>
    </w:tbl>
    <w:p>
      <w:pPr>
        <w:spacing w:after="0"/>
      </w:pPr>
    </w:p>
    <w:p>
      <w:r>
        <w:rPr>
          <w:rFonts w:ascii="Noto Serif" w:hAnsi="Noto Serif" w:eastAsia="Noto Serif"/>
          <w:color w:val="28313A"/>
          <w:sz w:val="20"/>
        </w:rPr>
      </w:r>
    </w:p>
    <w:p>
      <w:pPr>
        <w:pStyle w:val="Heading1"/>
        <w:keepNext/>
      </w:pPr>
      <w:r>
        <w:rPr>
          <w:color w:val="C8102E"/>
        </w:rPr>
        <w:t>4. Functional Requirements</w:t>
      </w:r>
    </w:p>
    <w:p>
      <w:pPr>
        <w:pStyle w:val="BodyText"/>
        <w:spacing w:after="100" w:line="259" w:lineRule="auto"/>
      </w:pPr>
      <w:r>
        <w:rPr>
          <w:rFonts w:ascii="Noto Serif" w:hAnsi="Noto Serif" w:eastAsia="Noto Serif"/>
          <w:color w:val="28313A"/>
          <w:sz w:val="20"/>
        </w:rPr>
        <w:t>The functional requirements define the externally observable behavior of the platform. Implementation details may change, but the required drive/load roles, command paths, feedback separation, and evidence workflow must remain intact unless the FRD is revised.</w:t>
      </w:r>
    </w:p>
    <w:tbl>
      <w:tblPr>
        <w:tblStyle w:val="TableGrid"/>
        <w:tblW w:type="auto" w:w="0"/>
        <w:jc w:val="center"/>
        <w:tblLayout w:type="fixed"/>
        <w:tblLook w:firstColumn="1" w:firstRow="1" w:lastColumn="0" w:lastRow="0" w:noHBand="0" w:noVBand="1" w:val="04A0"/>
      </w:tblPr>
      <w:tblGrid>
        <w:gridCol w:w="835"/>
        <w:gridCol w:w="1296"/>
        <w:gridCol w:w="3816"/>
        <w:gridCol w:w="1944"/>
        <w:gridCol w:w="1296"/>
        <w:gridCol w:w="1080"/>
      </w:tblGrid>
      <w:tr>
        <w:trPr>
          <w:tblHeader w:val="true"/>
        </w:trPr>
        <w:tc>
          <w:tcPr>
            <w:tcW w:type="dxa" w:w="1704"/>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ID</w:t>
            </w:r>
          </w:p>
        </w:tc>
        <w:tc>
          <w:tcPr>
            <w:tcW w:type="dxa" w:w="1704"/>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Area</w:t>
            </w:r>
          </w:p>
        </w:tc>
        <w:tc>
          <w:tcPr>
            <w:tcW w:type="dxa" w:w="1704"/>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Requirement</w:t>
            </w:r>
          </w:p>
        </w:tc>
        <w:tc>
          <w:tcPr>
            <w:tcW w:type="dxa" w:w="1704"/>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Rationale</w:t>
            </w:r>
          </w:p>
        </w:tc>
        <w:tc>
          <w:tcPr>
            <w:tcW w:type="dxa" w:w="1704"/>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Verification</w:t>
            </w:r>
          </w:p>
        </w:tc>
        <w:tc>
          <w:tcPr>
            <w:tcW w:type="dxa" w:w="1704"/>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Status</w:t>
            </w:r>
          </w:p>
        </w:tc>
      </w:tr>
      <w:tr>
        <w:tc>
          <w:tcPr>
            <w:tcW w:type="dxa" w:w="835"/>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SYS-001</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Real-time control</w:t>
            </w:r>
          </w:p>
        </w:tc>
        <w:tc>
          <w:tcPr>
            <w:tcW w:type="dxa" w:w="381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system shall execute fast motor-control loops on the embedded target independently of host display timing.</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Host timing is unsuitable as the deterministic control clock.</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Inspection + functional test</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35"/>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SYS-002</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Dual-machine operation</w:t>
            </w:r>
          </w:p>
        </w:tc>
        <w:tc>
          <w:tcPr>
            <w:tcW w:type="dxa" w:w="381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system shall command one PMSM as the drive machine and the second as a controllable load or assist machine.</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Defines the dynamometer function.</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Functional test</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35"/>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SYS-003</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Speed reference</w:t>
            </w:r>
          </w:p>
        </w:tc>
        <w:tc>
          <w:tcPr>
            <w:tcW w:type="dxa" w:w="381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system shall accept a supervisory speed reference for the drive machine.</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Provides controlled operating-point selection.</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Functional test</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35"/>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SYS-004</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Load reference</w:t>
            </w:r>
          </w:p>
        </w:tc>
        <w:tc>
          <w:tcPr>
            <w:tcW w:type="dxa" w:w="381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system shall accept a q-axis current or equivalent load reference for the load machine.</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Provides controllable shaft loading.</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Functional test</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35"/>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SYS-005</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Enable control</w:t>
            </w:r>
          </w:p>
        </w:tc>
        <w:tc>
          <w:tcPr>
            <w:tcW w:type="dxa" w:w="381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system shall provide explicit enable and disable control for commanded operation.</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Separates configuration from torque-producing operation.</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Inspection + test</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35"/>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SYS-006</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Feedback</w:t>
            </w:r>
          </w:p>
        </w:tc>
        <w:tc>
          <w:tcPr>
            <w:tcW w:type="dxa" w:w="381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system shall maintain independent encoder feedback paths for both machines.</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Prevents cross-coupled or ambiguous machine state.</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Inspection + feedback test</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35"/>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SYS-007</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Observability</w:t>
            </w:r>
          </w:p>
        </w:tc>
        <w:tc>
          <w:tcPr>
            <w:tcW w:type="dxa" w:w="381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system shall expose speed, current, voltage, torque-related, power-related, and diagnostic quantities required by the approved workflow.</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Supports verification and engineering review.</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Inspection + analysis</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35"/>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SYS-008</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Repeatable workflow</w:t>
            </w:r>
          </w:p>
        </w:tc>
        <w:tc>
          <w:tcPr>
            <w:tcW w:type="dxa" w:w="381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host workflow shall support repeatable setup, capture, export, and postprocessing.</w:t>
            </w:r>
          </w:p>
        </w:tc>
        <w:tc>
          <w:tcPr>
            <w:tcW w:type="dxa" w:w="194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Reduces ad hoc operator dependence.</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Procedure review</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bl>
    <w:p>
      <w:pPr>
        <w:spacing w:after="0"/>
      </w:pPr>
    </w:p>
    <w:p>
      <w:r>
        <w:rPr>
          <w:rFonts w:ascii="Noto Serif" w:hAnsi="Noto Serif" w:eastAsia="Noto Serif"/>
          <w:color w:val="28313A"/>
          <w:sz w:val="20"/>
        </w:rPr>
      </w:r>
    </w:p>
    <w:p>
      <w:pPr>
        <w:pStyle w:val="Heading1"/>
        <w:keepNext/>
      </w:pPr>
      <w:r>
        <w:rPr>
          <w:color w:val="C8102E"/>
        </w:rPr>
        <w:t>5. Interface Requirements</w:t>
      </w:r>
    </w:p>
    <w:p>
      <w:pPr>
        <w:pStyle w:val="BodyText"/>
        <w:spacing w:after="100" w:line="259" w:lineRule="auto"/>
      </w:pPr>
      <w:r>
        <w:rPr>
          <w:rFonts w:ascii="Noto Serif" w:hAnsi="Noto Serif" w:eastAsia="Noto Serif"/>
          <w:color w:val="28313A"/>
          <w:sz w:val="20"/>
        </w:rPr>
        <w:t>Interface requirements control the points where errors are most likely to damage hardware, invalidate data, or break compatibility. They cover power, phase and encoder routing, CAN communication, and the custom analog acquisition path.</w:t>
      </w:r>
    </w:p>
    <w:p>
      <w:pPr>
        <w:jc w:val="center"/>
      </w:pPr>
      <w:r>
        <w:rPr>
          <w:rFonts w:ascii="Noto Serif" w:hAnsi="Noto Serif" w:eastAsia="Noto Serif"/>
          <w:color w:val="28313A"/>
          <w:sz w:val="20"/>
        </w:rPr>
      </w:r>
    </w:p>
    <w:p>
      <w:pPr>
        <w:pStyle w:val="Caption"/>
        <w:spacing w:after="100"/>
        <w:jc w:val="center"/>
      </w:pPr>
      <w:r>
        <w:rPr>
          <w:i/>
          <w:color w:val="666666"/>
          <w:sz w:val="17"/>
        </w:rPr>
        <w:t>Figure 2. BoosterPack-to-LaunchPad board-interface reference retained with the release.</w:t>
      </w:r>
    </w:p>
    <w:tbl>
      <w:tblPr>
        <w:tblStyle w:val="TableGrid"/>
        <w:tblW w:type="auto" w:w="0"/>
        <w:jc w:val="center"/>
        <w:tblLayout w:type="fixed"/>
        <w:tblLook w:firstColumn="1" w:firstRow="1" w:lastColumn="0" w:lastRow="0" w:noHBand="0" w:noVBand="1" w:val="04A0"/>
      </w:tblPr>
      <w:tblGrid>
        <w:gridCol w:w="893"/>
        <w:gridCol w:w="1584"/>
        <w:gridCol w:w="4896"/>
        <w:gridCol w:w="1512"/>
        <w:gridCol w:w="1152"/>
      </w:tblGrid>
      <w:tr>
        <w:trPr>
          <w:tblHeader w:val="true"/>
        </w:trPr>
        <w:tc>
          <w:tcPr>
            <w:tcW w:type="dxa" w:w="2045"/>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ID</w:t>
            </w:r>
          </w:p>
        </w:tc>
        <w:tc>
          <w:tcPr>
            <w:tcW w:type="dxa" w:w="2045"/>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Interface</w:t>
            </w:r>
          </w:p>
        </w:tc>
        <w:tc>
          <w:tcPr>
            <w:tcW w:type="dxa" w:w="2045"/>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Requirement</w:t>
            </w:r>
          </w:p>
        </w:tc>
        <w:tc>
          <w:tcPr>
            <w:tcW w:type="dxa" w:w="2045"/>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Verification</w:t>
            </w:r>
          </w:p>
        </w:tc>
        <w:tc>
          <w:tcPr>
            <w:tcW w:type="dxa" w:w="2045"/>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Status</w:t>
            </w:r>
          </w:p>
        </w:tc>
      </w:tr>
      <w:tr>
        <w:tc>
          <w:tcPr>
            <w:tcW w:type="dxa" w:w="893"/>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IF-001</w:t>
            </w:r>
          </w:p>
        </w:tc>
        <w:tc>
          <w:tcPr>
            <w:tcW w:type="dxa" w:w="158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DC input</w:t>
            </w:r>
          </w:p>
        </w:tc>
        <w:tc>
          <w:tcPr>
            <w:tcW w:type="dxa" w:w="48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inverter stack shall use a verified 24 VDC supply with current limiting during bring-up.</w:t>
            </w:r>
          </w:p>
        </w:tc>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DMM + startup test</w:t>
            </w:r>
          </w:p>
        </w:tc>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93"/>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IF-002</w:t>
            </w:r>
          </w:p>
        </w:tc>
        <w:tc>
          <w:tcPr>
            <w:tcW w:type="dxa" w:w="158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Motor phases</w:t>
            </w:r>
          </w:p>
        </w:tc>
        <w:tc>
          <w:tcPr>
            <w:tcW w:type="dxa" w:w="48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Each PMSM shall be connected consistently to its assigned inverter phase outputs.</w:t>
            </w:r>
          </w:p>
        </w:tc>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Continuity + spin test</w:t>
            </w:r>
          </w:p>
        </w:tc>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93"/>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IF-003</w:t>
            </w:r>
          </w:p>
        </w:tc>
        <w:tc>
          <w:tcPr>
            <w:tcW w:type="dxa" w:w="158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Encoder routing</w:t>
            </w:r>
          </w:p>
        </w:tc>
        <w:tc>
          <w:tcPr>
            <w:tcW w:type="dxa" w:w="48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Motor 1 and Motor 2 encoder channels shall remain electrically and logically distinct.</w:t>
            </w:r>
          </w:p>
        </w:tc>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Pin inspection + feedback test</w:t>
            </w:r>
          </w:p>
        </w:tc>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93"/>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IF-004</w:t>
            </w:r>
          </w:p>
        </w:tc>
        <w:tc>
          <w:tcPr>
            <w:tcW w:type="dxa" w:w="158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CAN physical layer</w:t>
            </w:r>
          </w:p>
        </w:tc>
        <w:tc>
          <w:tcPr>
            <w:tcW w:type="dxa" w:w="48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CAN bus shall provide CANH, CANL, reference ground, and appropriate termination.</w:t>
            </w:r>
          </w:p>
        </w:tc>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Resistance + bus test</w:t>
            </w:r>
          </w:p>
        </w:tc>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93"/>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IF-005</w:t>
            </w:r>
          </w:p>
        </w:tc>
        <w:tc>
          <w:tcPr>
            <w:tcW w:type="dxa" w:w="158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CAN command</w:t>
            </w:r>
          </w:p>
        </w:tc>
        <w:tc>
          <w:tcPr>
            <w:tcW w:type="dxa" w:w="48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target shall receive the four-word supervisory command payload on the documented command identifier.</w:t>
            </w:r>
          </w:p>
        </w:tc>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Bus test</w:t>
            </w:r>
          </w:p>
        </w:tc>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93"/>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IF-006</w:t>
            </w:r>
          </w:p>
        </w:tc>
        <w:tc>
          <w:tcPr>
            <w:tcW w:type="dxa" w:w="158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CAN diagnostics</w:t>
            </w:r>
          </w:p>
        </w:tc>
        <w:tc>
          <w:tcPr>
            <w:tcW w:type="dxa" w:w="48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target shall provide a return identifier for command echo or telemetry diagnostics.</w:t>
            </w:r>
          </w:p>
        </w:tc>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Bus test</w:t>
            </w:r>
          </w:p>
        </w:tc>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893"/>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IF-007</w:t>
            </w:r>
          </w:p>
        </w:tc>
        <w:tc>
          <w:tcPr>
            <w:tcW w:type="dxa" w:w="158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Custom ADC acquisition</w:t>
            </w:r>
          </w:p>
        </w:tc>
        <w:tc>
          <w:tcPr>
            <w:tcW w:type="dxa" w:w="48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target shall configure two additional simultaneous ADC input pairs using handwritten F28069M peripheral source.</w:t>
            </w:r>
          </w:p>
        </w:tc>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Source inspection + acquisition test</w:t>
            </w:r>
          </w:p>
        </w:tc>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bl>
    <w:p>
      <w:pPr>
        <w:spacing w:after="0"/>
      </w:pPr>
    </w:p>
    <w:tbl>
      <w:tblPr>
        <w:tblW w:type="auto" w:w="0"/>
        <w:jc w:val="center"/>
        <w:tblLayout w:type="fixed"/>
        <w:tblLook w:firstColumn="1" w:firstRow="1" w:lastColumn="0" w:lastRow="0" w:noHBand="0" w:noVBand="1" w:val="04A0"/>
      </w:tblPr>
      <w:tblGrid>
        <w:gridCol w:w="10224"/>
      </w:tblGrid>
      <w:tr>
        <w:tc>
          <w:tcPr>
            <w:tcW w:type="dxa" w:w="9576"/>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color w:val="FFFFFF"/>
                <w:sz w:val="17"/>
              </w:rPr>
              <w:t>INTERFACE CONTROL NOTE</w:t>
              <w:br/>
            </w:r>
            <w:r>
              <w:rPr>
                <w:rFonts w:ascii="Noto Serif" w:hAnsi="Noto Serif" w:eastAsia="Noto Serif"/>
                <w:b/>
                <w:color w:val="FFFFFF"/>
                <w:sz w:val="17"/>
              </w:rPr>
              <w:t>Exact header positions, polarity, termination, and board-revision pin assignments must be confirmed against the current retained schematics and interface summary before energizing hardware.</w:t>
            </w:r>
          </w:p>
        </w:tc>
      </w:tr>
    </w:tbl>
    <w:p>
      <w:pPr>
        <w:spacing w:after="0"/>
      </w:pPr>
    </w:p>
    <w:p>
      <w:r>
        <w:rPr>
          <w:rFonts w:ascii="Noto Serif" w:hAnsi="Noto Serif" w:eastAsia="Noto Serif"/>
          <w:color w:val="28313A"/>
          <w:sz w:val="20"/>
        </w:rPr>
      </w:r>
    </w:p>
    <w:p>
      <w:pPr>
        <w:pStyle w:val="Heading1"/>
        <w:keepNext/>
      </w:pPr>
      <w:r>
        <w:rPr>
          <w:color w:val="C8102E"/>
        </w:rPr>
        <w:t>6. Data, Evidence, and Verification Requirements</w:t>
      </w:r>
    </w:p>
    <w:p>
      <w:pPr>
        <w:pStyle w:val="BodyText"/>
        <w:spacing w:after="100" w:line="259" w:lineRule="auto"/>
      </w:pPr>
      <w:r>
        <w:rPr>
          <w:rFonts w:ascii="Noto Serif" w:hAnsi="Noto Serif" w:eastAsia="Noto Serif"/>
          <w:color w:val="28313A"/>
          <w:sz w:val="20"/>
        </w:rPr>
        <w:t>This FRD does not reproduce characterization figures or analyze measured performance. It requires every published engineering claim to remain traceable to retained source artifacts and sufficient verification evidence.</w:t>
      </w:r>
    </w:p>
    <w:tbl>
      <w:tblPr>
        <w:tblStyle w:val="TableGrid"/>
        <w:tblW w:type="auto" w:w="0"/>
        <w:jc w:val="center"/>
        <w:tblLayout w:type="fixed"/>
        <w:tblLook w:firstColumn="1" w:firstRow="1" w:lastColumn="0" w:lastRow="0" w:noHBand="0" w:noVBand="1" w:val="04A0"/>
      </w:tblPr>
      <w:tblGrid>
        <w:gridCol w:w="936"/>
        <w:gridCol w:w="1656"/>
        <w:gridCol w:w="5256"/>
        <w:gridCol w:w="1656"/>
        <w:gridCol w:w="1080"/>
      </w:tblGrid>
      <w:tr>
        <w:trPr>
          <w:tblHeader w:val="true"/>
        </w:trPr>
        <w:tc>
          <w:tcPr>
            <w:tcW w:type="dxa" w:w="2045"/>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ID</w:t>
            </w:r>
          </w:p>
        </w:tc>
        <w:tc>
          <w:tcPr>
            <w:tcW w:type="dxa" w:w="2045"/>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Area</w:t>
            </w:r>
          </w:p>
        </w:tc>
        <w:tc>
          <w:tcPr>
            <w:tcW w:type="dxa" w:w="2045"/>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Requirement</w:t>
            </w:r>
          </w:p>
        </w:tc>
        <w:tc>
          <w:tcPr>
            <w:tcW w:type="dxa" w:w="2045"/>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Verification</w:t>
            </w:r>
          </w:p>
        </w:tc>
        <w:tc>
          <w:tcPr>
            <w:tcW w:type="dxa" w:w="2045"/>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Status</w:t>
            </w:r>
          </w:p>
        </w:tc>
      </w:tr>
      <w:tr>
        <w:tc>
          <w:tcPr>
            <w:tcW w:type="dxa" w:w="9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DAT-001</w:t>
            </w:r>
          </w:p>
        </w:tc>
        <w:tc>
          <w:tcPr>
            <w:tcW w:type="dxa" w:w="16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Evidence traceability</w:t>
            </w:r>
          </w:p>
        </w:tc>
        <w:tc>
          <w:tcPr>
            <w:tcW w:type="dxa" w:w="52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Published engineering results shall be traceable to retained scripts, source models, or approved evidence outputs.</w:t>
            </w:r>
          </w:p>
        </w:tc>
        <w:tc>
          <w:tcPr>
            <w:tcW w:type="dxa" w:w="16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Repository inspection</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Verified</w:t>
            </w:r>
          </w:p>
        </w:tc>
      </w:tr>
      <w:tr>
        <w:tc>
          <w:tcPr>
            <w:tcW w:type="dxa" w:w="9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DAT-002</w:t>
            </w:r>
          </w:p>
        </w:tc>
        <w:tc>
          <w:tcPr>
            <w:tcW w:type="dxa" w:w="16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Source distinction</w:t>
            </w:r>
          </w:p>
        </w:tc>
        <w:tc>
          <w:tcPr>
            <w:tcW w:type="dxa" w:w="52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release shall distinguish handwritten firmware, editable Simulink source, generated support code, and third-party reference material.</w:t>
            </w:r>
          </w:p>
        </w:tc>
        <w:tc>
          <w:tcPr>
            <w:tcW w:type="dxa" w:w="16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Repository + document inspection</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Verified</w:t>
            </w:r>
          </w:p>
        </w:tc>
      </w:tr>
      <w:tr>
        <w:tc>
          <w:tcPr>
            <w:tcW w:type="dxa" w:w="9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DAT-003</w:t>
            </w:r>
          </w:p>
        </w:tc>
        <w:tc>
          <w:tcPr>
            <w:tcW w:type="dxa" w:w="16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Result ownership</w:t>
            </w:r>
          </w:p>
        </w:tc>
        <w:tc>
          <w:tcPr>
            <w:tcW w:type="dxa" w:w="52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Detailed characterization methods, plots, and measured-result interpretation shall reside only in the companion implementation report.</w:t>
            </w:r>
          </w:p>
        </w:tc>
        <w:tc>
          <w:tcPr>
            <w:tcW w:type="dxa" w:w="16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Document inspection</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Verified</w:t>
            </w:r>
          </w:p>
        </w:tc>
      </w:tr>
      <w:tr>
        <w:tc>
          <w:tcPr>
            <w:tcW w:type="dxa" w:w="9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DAT-004</w:t>
            </w:r>
          </w:p>
        </w:tc>
        <w:tc>
          <w:tcPr>
            <w:tcW w:type="dxa" w:w="16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Release integrity</w:t>
            </w:r>
          </w:p>
        </w:tc>
        <w:tc>
          <w:tcPr>
            <w:tcW w:type="dxa" w:w="52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release shall include checksums and shall open directly at repository root without an unnecessary outer directory.</w:t>
            </w:r>
          </w:p>
        </w:tc>
        <w:tc>
          <w:tcPr>
            <w:tcW w:type="dxa" w:w="165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Archive inspection</w:t>
            </w:r>
          </w:p>
        </w:tc>
        <w:tc>
          <w:tcPr>
            <w:tcW w:type="dxa" w:w="108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Verified</w:t>
            </w:r>
          </w:p>
        </w:tc>
      </w:tr>
    </w:tbl>
    <w:p>
      <w:pPr>
        <w:spacing w:after="0"/>
      </w:pPr>
    </w:p>
    <w:p>
      <w:pPr>
        <w:pStyle w:val="Heading2"/>
        <w:keepNext/>
      </w:pPr>
      <w:r>
        <w:rPr>
          <w:color w:val="252525"/>
        </w:rPr>
        <w:t>6.1 Verification strategy</w:t>
      </w:r>
    </w:p>
    <w:p>
      <w:pPr>
        <w:pStyle w:val="BodyText"/>
        <w:spacing w:after="100" w:line="259" w:lineRule="auto"/>
      </w:pPr>
      <w:r>
        <w:rPr>
          <w:rFonts w:ascii="Noto Serif" w:hAnsi="Noto Serif" w:eastAsia="Noto Serif"/>
          <w:color w:val="28313A"/>
          <w:sz w:val="20"/>
        </w:rPr>
        <w:t>Verification answers whether the implementation satisfies a stated requirement. Inspection is used for model structure, source configuration, repository boundaries, and wiring documentation. Functional and bus tests are used where observable behavior must be exercised. Analysis is used only where equations, signal derivations, or retained outputs must be evaluated.</w:t>
      </w:r>
    </w:p>
    <w:tbl>
      <w:tblPr>
        <w:tblStyle w:val="TableGrid"/>
        <w:tblW w:type="auto" w:w="0"/>
        <w:jc w:val="center"/>
        <w:tblLayout w:type="fixed"/>
        <w:tblLook w:firstColumn="1" w:firstRow="1" w:lastColumn="0" w:lastRow="0" w:noHBand="0" w:noVBand="1" w:val="04A0"/>
      </w:tblPr>
      <w:tblGrid>
        <w:gridCol w:w="1512"/>
        <w:gridCol w:w="3240"/>
        <w:gridCol w:w="4536"/>
      </w:tblGrid>
      <w:tr>
        <w:trPr>
          <w:tblHeader w:val="true"/>
        </w:trPr>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Method</w:t>
            </w:r>
          </w:p>
        </w:tc>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Applied to</w:t>
            </w:r>
          </w:p>
        </w:tc>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Acceptance principle</w:t>
            </w:r>
          </w:p>
        </w:tc>
      </w:tr>
      <w:tr>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Inspection</w:t>
            </w:r>
          </w:p>
        </w:tc>
        <w:tc>
          <w:tcPr>
            <w:tcW w:type="dxa" w:w="324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Models, source, schematics, repository structure</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Required element exists, is correctly configured, and matches the controlled interface.</w:t>
            </w:r>
          </w:p>
        </w:tc>
      </w:tr>
      <w:tr>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Demonstration</w:t>
            </w:r>
          </w:p>
        </w:tc>
        <w:tc>
          <w:tcPr>
            <w:tcW w:type="dxa" w:w="324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Operator workflow and observable behavior</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Capability can be shown under controlled conditions without exhaustive measurement.</w:t>
            </w:r>
          </w:p>
        </w:tc>
      </w:tr>
      <w:tr>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Functional test</w:t>
            </w:r>
          </w:p>
        </w:tc>
        <w:tc>
          <w:tcPr>
            <w:tcW w:type="dxa" w:w="324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Drive/load operation, enable, feedback, acquisition</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Commanded input produces the expected observable system behavior.</w:t>
            </w:r>
          </w:p>
        </w:tc>
      </w:tr>
      <w:tr>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Bus test</w:t>
            </w:r>
          </w:p>
        </w:tc>
        <w:tc>
          <w:tcPr>
            <w:tcW w:type="dxa" w:w="324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CAN receive, unpacking, return/diagnostic traffic</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Frames are received and interpreted on the documented identifiers and payload layout.</w:t>
            </w:r>
          </w:p>
        </w:tc>
      </w:tr>
      <w:tr>
        <w:tc>
          <w:tcPr>
            <w:tcW w:type="dxa" w:w="151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Analysis</w:t>
            </w:r>
          </w:p>
        </w:tc>
        <w:tc>
          <w:tcPr>
            <w:tcW w:type="dxa" w:w="324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Signal availability and retained evidence chain</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Calculation or review supports the stated requirement without unsupported extrapolation.</w:t>
            </w:r>
          </w:p>
        </w:tc>
      </w:tr>
    </w:tbl>
    <w:p>
      <w:pPr>
        <w:spacing w:after="0"/>
      </w:pPr>
    </w:p>
    <w:p>
      <w:r>
        <w:rPr>
          <w:rFonts w:ascii="Noto Serif" w:hAnsi="Noto Serif" w:eastAsia="Noto Serif"/>
          <w:color w:val="28313A"/>
          <w:sz w:val="20"/>
        </w:rPr>
      </w:r>
    </w:p>
    <w:p>
      <w:pPr>
        <w:pStyle w:val="Heading1"/>
        <w:keepNext/>
      </w:pPr>
      <w:r>
        <w:rPr>
          <w:color w:val="C8102E"/>
        </w:rPr>
        <w:t>7. Requirements Traceability Matrix</w:t>
      </w:r>
    </w:p>
    <w:p>
      <w:pPr>
        <w:pStyle w:val="BodyText"/>
        <w:spacing w:after="100" w:line="259" w:lineRule="auto"/>
      </w:pPr>
      <w:r>
        <w:rPr>
          <w:rFonts w:ascii="Noto Serif" w:hAnsi="Noto Serif" w:eastAsia="Noto Serif"/>
          <w:color w:val="28313A"/>
          <w:sz w:val="20"/>
        </w:rPr>
        <w:t>The traceability matrix connects each requirement to its verification method and retained evidence. It is the primary closure record for this public FRD. Detailed implementation discussion remains in the companion report.</w:t>
      </w:r>
    </w:p>
    <w:tbl>
      <w:tblPr>
        <w:tblStyle w:val="TableGrid"/>
        <w:tblW w:type="auto" w:w="0"/>
        <w:jc w:val="center"/>
        <w:tblLayout w:type="fixed"/>
        <w:tblLook w:firstColumn="1" w:firstRow="1" w:lastColumn="0" w:lastRow="0" w:noHBand="0" w:noVBand="1" w:val="04A0"/>
      </w:tblPr>
      <w:tblGrid>
        <w:gridCol w:w="1224"/>
        <w:gridCol w:w="2520"/>
        <w:gridCol w:w="4536"/>
        <w:gridCol w:w="1296"/>
      </w:tblGrid>
      <w:tr>
        <w:trPr>
          <w:tblHeader w:val="true"/>
        </w:trPr>
        <w:tc>
          <w:tcPr>
            <w:tcW w:type="dxa" w:w="2556"/>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Requirement</w:t>
            </w:r>
          </w:p>
        </w:tc>
        <w:tc>
          <w:tcPr>
            <w:tcW w:type="dxa" w:w="2556"/>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Verification method</w:t>
            </w:r>
          </w:p>
        </w:tc>
        <w:tc>
          <w:tcPr>
            <w:tcW w:type="dxa" w:w="2556"/>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Retained evidence</w:t>
            </w:r>
          </w:p>
        </w:tc>
        <w:tc>
          <w:tcPr>
            <w:tcW w:type="dxa" w:w="2556"/>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Status</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SYS-001</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Inspection + functional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C2000_Dual_Motor_CAN_Target.slx</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SYS-002</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Functional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target and host models</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SYS-003</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Functional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host setup models</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SYS-004</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Functional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host setup models</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SYS-005</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Inspection +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host/target models</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SYS-006</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Inspection + feedback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board interface + target model</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SYS-007</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Inspection + analysis</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target model + processing scripts</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SYS-008</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Procedure review</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setup/logging/analysis scripts</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IF-001</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DMM + startup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INTERFACE_SUMMARY.md</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IF-002</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Continuity + spin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INTERFACE_SUMMARY.md</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IF-003</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Pin inspection + feedback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board-interface figure</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IF-004</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Resistance + bus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CAN model set</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IF-005</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Bus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CAN_Receive.slx</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IF-006</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Bus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CAN_Transmit.slx</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IF-007</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Source inspection + acquisition test</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F28069M_ADC_Custom_Config.c</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DAT-001</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Repository inspection</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models, scripts, reports, checksums</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Verified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DAT-002</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Repository + document inspection</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embedded-control/README.md + NOTICE.md</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Verified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DAT-003</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Document inspection</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FRD + companion report</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Verified</w:t>
            </w:r>
          </w:p>
        </w:tc>
      </w:tr>
      <w:tr>
        <w:tc>
          <w:tcPr>
            <w:tcW w:type="dxa" w:w="1224"/>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DAT-004</w:t>
            </w:r>
          </w:p>
        </w:tc>
        <w:tc>
          <w:tcPr>
            <w:tcW w:type="dxa" w:w="252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Archive inspection</w:t>
            </w:r>
          </w:p>
        </w:tc>
        <w:tc>
          <w:tcPr>
            <w:tcW w:type="dxa" w:w="45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SHA256SUMS.txt + final ZIP</w:t>
            </w:r>
          </w:p>
        </w:tc>
        <w:tc>
          <w:tcPr>
            <w:tcW w:type="dxa" w:w="129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Verified</w:t>
            </w:r>
          </w:p>
        </w:tc>
      </w:tr>
    </w:tbl>
    <w:p>
      <w:pPr>
        <w:spacing w:after="0"/>
      </w:pPr>
    </w:p>
    <w:p>
      <w:r>
        <w:rPr>
          <w:rFonts w:ascii="Noto Serif" w:hAnsi="Noto Serif" w:eastAsia="Noto Serif"/>
          <w:color w:val="28313A"/>
          <w:sz w:val="20"/>
        </w:rPr>
      </w:r>
    </w:p>
    <w:p>
      <w:pPr>
        <w:pStyle w:val="Heading1"/>
        <w:keepNext/>
      </w:pPr>
      <w:r>
        <w:rPr>
          <w:color w:val="C8102E"/>
        </w:rPr>
        <w:t>8. Constraints, Assumptions, and Safety Requirements</w:t>
      </w:r>
    </w:p>
    <w:p>
      <w:pPr>
        <w:pStyle w:val="Heading2"/>
        <w:keepNext/>
      </w:pPr>
      <w:r>
        <w:rPr>
          <w:color w:val="252525"/>
        </w:rPr>
        <w:t>8.1 Assumptions and dependencies</w:t>
      </w:r>
    </w:p>
    <w:p>
      <w:pPr>
        <w:pStyle w:val="ListBullet"/>
        <w:spacing w:after="40"/>
      </w:pPr>
      <w:r>
        <w:rPr>
          <w:rFonts w:ascii="Noto Serif" w:hAnsi="Noto Serif" w:eastAsia="Noto Serif"/>
          <w:color w:val="28313A"/>
          <w:sz w:val="20"/>
        </w:rPr>
        <w:t>Compatible MATLAB/Simulink, C2000 support packages, and required hardware drivers are available to the user.</w:t>
      </w:r>
    </w:p>
    <w:p>
      <w:pPr>
        <w:pStyle w:val="ListBullet"/>
        <w:spacing w:after="40"/>
      </w:pPr>
      <w:r>
        <w:rPr>
          <w:rFonts w:ascii="Noto Serif" w:hAnsi="Noto Serif" w:eastAsia="Noto Serif"/>
          <w:color w:val="28313A"/>
          <w:sz w:val="20"/>
        </w:rPr>
        <w:t>The retained TI schematics and connector references correspond to the board revisions being operated.</w:t>
      </w:r>
    </w:p>
    <w:p>
      <w:pPr>
        <w:pStyle w:val="ListBullet"/>
        <w:spacing w:after="40"/>
      </w:pPr>
      <w:r>
        <w:rPr>
          <w:rFonts w:ascii="Noto Serif" w:hAnsi="Noto Serif" w:eastAsia="Noto Serif"/>
          <w:color w:val="28313A"/>
          <w:sz w:val="20"/>
        </w:rPr>
        <w:t>Mechanical coupling, motor mounting, and encoder attachment are secure before commanded rotation.</w:t>
      </w:r>
    </w:p>
    <w:p>
      <w:pPr>
        <w:pStyle w:val="ListBullet"/>
        <w:spacing w:after="40"/>
      </w:pPr>
      <w:r>
        <w:rPr>
          <w:rFonts w:ascii="Noto Serif" w:hAnsi="Noto Serif" w:eastAsia="Noto Serif"/>
          <w:color w:val="28313A"/>
          <w:sz w:val="20"/>
        </w:rPr>
        <w:t>Instrumentation and calculated quantities are engineering evidence unless separately calibrated and certified.</w:t>
      </w:r>
    </w:p>
    <w:p>
      <w:pPr>
        <w:pStyle w:val="Heading2"/>
        <w:keepNext/>
      </w:pPr>
      <w:r>
        <w:rPr>
          <w:color w:val="252525"/>
        </w:rPr>
        <w:t>8.2 Safety and release constraints</w:t>
      </w:r>
    </w:p>
    <w:tbl>
      <w:tblPr>
        <w:tblStyle w:val="TableGrid"/>
        <w:tblW w:type="auto" w:w="0"/>
        <w:jc w:val="center"/>
        <w:tblLayout w:type="fixed"/>
        <w:tblLook w:firstColumn="1" w:firstRow="1" w:lastColumn="0" w:lastRow="0" w:noHBand="0" w:noVBand="1" w:val="04A0"/>
      </w:tblPr>
      <w:tblGrid>
        <w:gridCol w:w="1152"/>
        <w:gridCol w:w="2088"/>
        <w:gridCol w:w="6336"/>
      </w:tblGrid>
      <w:tr>
        <w:trPr>
          <w:tblHeader w:val="true"/>
        </w:trPr>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ID</w:t>
            </w:r>
          </w:p>
        </w:tc>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Constraint</w:t>
            </w:r>
          </w:p>
        </w:tc>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Acceptance statement</w:t>
            </w:r>
          </w:p>
        </w:tc>
      </w:tr>
      <w:tr>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SAF-001</w:t>
            </w:r>
          </w:p>
        </w:tc>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Polarity</w:t>
            </w:r>
          </w:p>
        </w:tc>
        <w:tc>
          <w:tcPr>
            <w:tcW w:type="dxa" w:w="63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DC polarity shall be verified before either inverter stage is energized.</w:t>
            </w:r>
          </w:p>
        </w:tc>
      </w:tr>
      <w:tr>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SAF-002</w:t>
            </w:r>
          </w:p>
        </w:tc>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Conservative startup</w:t>
            </w:r>
          </w:p>
        </w:tc>
        <w:tc>
          <w:tcPr>
            <w:tcW w:type="dxa" w:w="63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Initial operation shall use low speed, zero load command, conservative current limits, and accessible shutdown.</w:t>
            </w:r>
          </w:p>
        </w:tc>
      </w:tr>
      <w:tr>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SAF-003</w:t>
            </w:r>
          </w:p>
        </w:tc>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Feedback validation</w:t>
            </w:r>
          </w:p>
        </w:tc>
        <w:tc>
          <w:tcPr>
            <w:tcW w:type="dxa" w:w="63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Encoder direction and phase order shall be confirmed before closed-loop sweeps.</w:t>
            </w:r>
          </w:p>
        </w:tc>
      </w:tr>
      <w:tr>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SAF-004</w:t>
            </w:r>
          </w:p>
        </w:tc>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Independent protection</w:t>
            </w:r>
          </w:p>
        </w:tc>
        <w:tc>
          <w:tcPr>
            <w:tcW w:type="dxa" w:w="63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Software disable shall not be represented as an independent safety function.</w:t>
            </w:r>
          </w:p>
        </w:tc>
      </w:tr>
      <w:tr>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REL-001</w:t>
            </w:r>
          </w:p>
        </w:tc>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Qualification boundary</w:t>
            </w:r>
          </w:p>
        </w:tc>
        <w:tc>
          <w:tcPr>
            <w:tcW w:type="dxa" w:w="63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The release shall not be represented as production-qualified, calibrated, EMC-qualified, or safety-certified.</w:t>
            </w:r>
          </w:p>
        </w:tc>
      </w:tr>
      <w:tr>
        <w:tc>
          <w:tcPr>
            <w:tcW w:type="dxa" w:w="1152"/>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REL-002</w:t>
            </w:r>
          </w:p>
        </w:tc>
        <w:tc>
          <w:tcPr>
            <w:tcW w:type="dxa" w:w="208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IP boundary</w:t>
            </w:r>
          </w:p>
        </w:tc>
        <w:tc>
          <w:tcPr>
            <w:tcW w:type="dxa" w:w="6336"/>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Generated binaries, private raw data, vendor manufacturing packages, and institution-specific instructional material shall remain excluded.</w:t>
            </w:r>
          </w:p>
        </w:tc>
      </w:tr>
    </w:tbl>
    <w:p>
      <w:pPr>
        <w:spacing w:after="0"/>
      </w:pPr>
    </w:p>
    <w:p>
      <w:pPr>
        <w:pStyle w:val="Heading1"/>
        <w:keepNext/>
      </w:pPr>
      <w:r>
        <w:rPr>
          <w:color w:val="C8102E"/>
        </w:rPr>
        <w:t>9. Validation Summary and Release Gate</w:t>
      </w:r>
    </w:p>
    <w:p>
      <w:pPr>
        <w:pStyle w:val="BodyText"/>
        <w:spacing w:after="100" w:line="259" w:lineRule="auto"/>
      </w:pPr>
      <w:r>
        <w:rPr>
          <w:rFonts w:ascii="Noto Serif" w:hAnsi="Noto Serif" w:eastAsia="Noto Serif"/>
          <w:color w:val="28313A"/>
          <w:sz w:val="20"/>
        </w:rPr>
        <w:t>Validation asks whether the released platform is useful for its intended engineering purpose. The public evidence supports coupled drive/load operation, supervisory CAN command flow, additional ADC acquisition, repeatable host workflows, and traceable characterization. It does not establish product certification or calibrated laboratory metrology.</w:t>
      </w:r>
    </w:p>
    <w:tbl>
      <w:tblPr>
        <w:tblStyle w:val="TableGrid"/>
        <w:tblW w:type="auto" w:w="0"/>
        <w:jc w:val="center"/>
        <w:tblLayout w:type="fixed"/>
        <w:tblLook w:firstColumn="1" w:firstRow="1" w:lastColumn="0" w:lastRow="0" w:noHBand="0" w:noVBand="1" w:val="04A0"/>
      </w:tblPr>
      <w:tblGrid>
        <w:gridCol w:w="2448"/>
        <w:gridCol w:w="5760"/>
        <w:gridCol w:w="1440"/>
      </w:tblGrid>
      <w:tr>
        <w:trPr>
          <w:tblHeader w:val="true"/>
        </w:trPr>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Validation objective</w:t>
            </w:r>
          </w:p>
        </w:tc>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Acceptance basis</w:t>
            </w:r>
          </w:p>
        </w:tc>
        <w:tc>
          <w:tcPr>
            <w:tcW w:type="dxa" w:w="3408"/>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pPr>
              <w:jc w:val="center"/>
            </w:pPr>
            <w:r>
              <w:rPr>
                <w:rFonts w:ascii="Noto Serif" w:hAnsi="Noto Serif" w:eastAsia="Noto Serif"/>
                <w:b/>
                <w:color w:val="FFFFFF"/>
                <w:sz w:val="17"/>
              </w:rPr>
              <w:t>Status</w:t>
            </w:r>
          </w:p>
        </w:tc>
      </w:tr>
      <w:tr>
        <w:tc>
          <w:tcPr>
            <w:tcW w:type="dxa" w:w="244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Coupled drive/load operation</w:t>
            </w:r>
          </w:p>
        </w:tc>
        <w:tc>
          <w:tcPr>
            <w:tcW w:type="dxa" w:w="576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Motor 1 establishes shaft speed while Motor 2 applies controlled loading.</w:t>
            </w:r>
          </w:p>
        </w:tc>
        <w:tc>
          <w:tcPr>
            <w:tcW w:type="dxa" w:w="144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244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CAN supervisory control</w:t>
            </w:r>
          </w:p>
        </w:tc>
        <w:tc>
          <w:tcPr>
            <w:tcW w:type="dxa" w:w="576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Command receipt and diagnostic return are represented in retained models and evidence.</w:t>
            </w:r>
          </w:p>
        </w:tc>
        <w:tc>
          <w:tcPr>
            <w:tcW w:type="dxa" w:w="144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244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Custom ADC path</w:t>
            </w:r>
          </w:p>
        </w:tc>
        <w:tc>
          <w:tcPr>
            <w:tcW w:type="dxa" w:w="576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Additional PWM-triggered simultaneous input pairs are configured and integrated.</w:t>
            </w:r>
          </w:p>
        </w:tc>
        <w:tc>
          <w:tcPr>
            <w:tcW w:type="dxa" w:w="144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Demonstrated</w:t>
            </w:r>
          </w:p>
        </w:tc>
      </w:tr>
      <w:tr>
        <w:tc>
          <w:tcPr>
            <w:tcW w:type="dxa" w:w="244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Evidence traceability</w:t>
            </w:r>
          </w:p>
        </w:tc>
        <w:tc>
          <w:tcPr>
            <w:tcW w:type="dxa" w:w="576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Published claims map to retained models, custom source, scripts, figures, and checksums.</w:t>
            </w:r>
          </w:p>
        </w:tc>
        <w:tc>
          <w:tcPr>
            <w:tcW w:type="dxa" w:w="144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Verified</w:t>
            </w:r>
          </w:p>
        </w:tc>
      </w:tr>
      <w:tr>
        <w:tc>
          <w:tcPr>
            <w:tcW w:type="dxa" w:w="2448"/>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Production qualification</w:t>
            </w:r>
          </w:p>
        </w:tc>
        <w:tc>
          <w:tcPr>
            <w:tcW w:type="dxa" w:w="576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Calibration, endurance, EMC, environmental, cybersecurity, and independent safety validation.</w:t>
            </w:r>
          </w:p>
        </w:tc>
        <w:tc>
          <w:tcPr>
            <w:tcW w:type="dxa" w:w="1440"/>
            <w:tcMar>
              <w:top w:w="90" w:type="dxa"/>
              <w:start w:w="100" w:type="dxa"/>
              <w:bottom w:w="90" w:type="dxa"/>
              <w:end w:w="100" w:type="dxa"/>
            </w:tcMar>
            <w:vAlign w:val="center"/>
            <w:shd w:fill="FFFFFF"/>
            <w:tcBorders>
              <w:top w:val="single" w:sz="4" w:color="CBD5DF"/>
              <w:bottom w:val="single" w:sz="4" w:color="CBD5DF"/>
              <w:left w:val="single" w:sz="4" w:color="CBD5DF"/>
              <w:right w:val="single" w:sz="4" w:color="CBD5DF"/>
            </w:tcBorders>
          </w:tcPr>
          <w:p>
            <w:pPr>
              <w:spacing w:after="0" w:line="240" w:lineRule="auto"/>
            </w:pPr>
            <w:r>
              <w:rPr>
                <w:rFonts w:ascii="Noto Serif" w:hAnsi="Noto Serif" w:eastAsia="Noto Serif"/>
                <w:b w:val="0"/>
                <w:color w:val="28313A"/>
                <w:sz w:val="17"/>
              </w:rPr>
              <w:t>Not claimed</w:t>
            </w:r>
          </w:p>
        </w:tc>
      </w:tr>
    </w:tbl>
    <w:p>
      <w:pPr>
        <w:spacing w:after="0"/>
      </w:pPr>
    </w:p>
    <w:tbl>
      <w:tblPr>
        <w:tblW w:type="auto" w:w="0"/>
        <w:jc w:val="center"/>
        <w:tblLayout w:type="fixed"/>
        <w:tblLook w:firstColumn="1" w:firstRow="1" w:lastColumn="0" w:lastRow="0" w:noHBand="0" w:noVBand="1" w:val="04A0"/>
      </w:tblPr>
      <w:tblGrid>
        <w:gridCol w:w="10224"/>
      </w:tblGrid>
      <w:tr>
        <w:tc>
          <w:tcPr>
            <w:tcW w:type="dxa" w:w="9576"/>
            <w:shd w:fill="243B57"/>
            <w:tcMar>
              <w:top w:w="90" w:type="dxa"/>
              <w:start w:w="100" w:type="dxa"/>
              <w:bottom w:w="90" w:type="dxa"/>
              <w:end w:w="100" w:type="dxa"/>
            </w:tcMar>
            <w:vAlign w:val="center"/>
            <w:tcBorders>
              <w:top w:val="single" w:sz="4" w:color="CBD5DF"/>
              <w:bottom w:val="single" w:sz="4" w:color="CBD5DF"/>
              <w:left w:val="single" w:sz="4" w:color="CBD5DF"/>
              <w:right w:val="single" w:sz="4" w:color="CBD5DF"/>
            </w:tcBorders>
          </w:tcPr>
          <w:p>
            <w:r>
              <w:rPr>
                <w:rFonts w:ascii="Noto Serif" w:hAnsi="Noto Serif" w:eastAsia="Noto Serif"/>
                <w:b/>
                <w:color w:val="FFFFFF"/>
                <w:sz w:val="17"/>
              </w:rPr>
              <w:t>RELEASE GATE</w:t>
              <w:br/>
            </w:r>
            <w:r>
              <w:rPr>
                <w:rFonts w:ascii="Noto Serif" w:hAnsi="Noto Serif" w:eastAsia="Noto Serif"/>
                <w:b/>
                <w:color w:val="FFFFFF"/>
                <w:sz w:val="17"/>
              </w:rPr>
              <w:t>Publish only after both reports are rendered page by page, figure captions and tables are visually checked, links resolve, checksums are regenerated, the ZIP opens at repository root, and no private or institution-specific instructional material remains.</w:t>
            </w:r>
          </w:p>
        </w:tc>
      </w:tr>
    </w:tbl>
    <w:p>
      <w:pPr>
        <w:spacing w:after="0"/>
      </w:pPr>
    </w:p>
    <w:sectPr w:rsidR="00FC693F" w:rsidRPr="0006063C" w:rsidSect="00034616">
      <w:headerReference w:type="default" r:id="rId9"/>
      <w:footerReference w:type="default" r:id="rId10"/>
      <w:headerReference w:type="first" r:id="rId11"/>
      <w:pgSz w:w="12240" w:h="15840"/>
      <w:pgMar w:top="893" w:right="1152" w:bottom="79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erif" w:hAnsi="Noto Serif" w:eastAsia="Noto Serif"/>
        <w:color w:val="5B6875"/>
        <w:sz w:val="16"/>
      </w:rPr>
      <w:t>Dual-Motor PMSM Dynamometer Platform  •  Controlled engineering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8" w:space="3" w:color="243B57"/>
      </w:pBdr>
    </w:pPr>
    <w:r>
      <w:rPr>
        <w:rFonts w:ascii="Noto Serif" w:hAnsi="Noto Serif" w:eastAsia="Noto Serif"/>
        <w:b/>
        <w:color w:val="5B6875"/>
        <w:sz w:val="16"/>
      </w:rPr>
      <w:t>HERDER ELEKTRONISCHE SYSTEMEN   |   ENGINEERING REQUIREMENTS   |   REV 2.1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0" w:color="FFFFFF"/>
        <w:start w:val="single" w:sz="0" w:color="FFFFFF"/>
        <w:bottom w:val="single" w:sz="0" w:color="FFFFFF"/>
        <w:end w:val="single" w:sz="0" w:color="FFFFFF"/>
        <w:insideH w:val="single" w:sz="0" w:color="FFFFFF"/>
        <w:insideV w:val="single" w:sz="0" w:color="FFFFFF"/>
      </w:tblBorders>
    </w:tblPr>
    <w:tblGrid>
      <w:gridCol w:w="6480"/>
      <w:gridCol w:w="3744"/>
    </w:tblGrid>
    <w:tr>
      <w:tc>
        <w:tcPr>
          <w:tcW w:type="dxa" w:w="5112"/>
        </w:tcPr>
        <w:p>
          <w:r>
            <w:rPr>
              <w:rFonts w:ascii="Arial" w:hAnsi="Arial"/>
              <w:color w:val="CC002B"/>
              <w:sz w:val="18"/>
            </w:rPr>
            <w:t>HERDER ELEKTRONISCHE SYSTEMEN</w:t>
          </w:r>
        </w:p>
      </w:tc>
      <w:tc>
        <w:tcPr>
          <w:tcW w:type="dxa" w:w="5112"/>
        </w:tcPr>
        <w:p>
          <w:pPr>
            <w:jc w:val="right"/>
          </w:pPr>
          <w:r>
            <w:rPr>
              <w:rFonts w:ascii="Arial" w:hAnsi="Arial"/>
              <w:sz w:val="20"/>
            </w:rPr>
            <w:t>ENGINEERING REPORT  |</w:t>
            <w:br/>
            <w:t>REV 1.8</w:t>
          </w:r>
        </w:p>
      </w:tc>
    </w:tr>
  </w:tbl>
  <w:p>
    <w:pPr>
      <w:pBdr>
        <w:bottom w:val="single" w:sz="10" w:color="CC00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erif" w:hAnsi="Noto Serif" w:eastAsia="Noto Serif"/>
      <w:color w:val="28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erif" w:hAnsi="Noto Serif" w:eastAsia="Noto Serif"/>
      <w:b/>
      <w:bCs/>
      <w:color w:val="243B57"/>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erif" w:hAnsi="Noto Serif" w:eastAsia="Noto Serif"/>
      <w:b/>
      <w:bCs/>
      <w:color w:val="243B5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erif" w:hAnsi="Noto Serif" w:eastAsia="Noto Serif"/>
      <w:b/>
      <w:bCs/>
      <w:color w:val="C720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Noto Serif" w:hAnsi="Noto Serif" w:eastAsia="Noto Serif"/>
      <w:color w:val="28313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w:hAnsi="Noto Serif" w:eastAsia="Noto Serif"/>
      <w:color w:val="28313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w:hAnsi="Noto Serif" w:eastAsia="Noto Serif"/>
      <w:color w:val="28313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erif" w:hAnsi="Noto Serif" w:eastAsia="Noto Serif"/>
      <w:b/>
      <w:bCs/>
      <w:i/>
      <w:color w:val="5B68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Dual-Motor PMSM Dynamometer Platform - Functional Requirements &amp; Validation Report</dc:title>
  <dc:subject>Customer-facing functional requirements and verification report</dc:subject>
  <dc:creator>python-docx</dc:creator>
  <cp:keywords/>
  <dc:description>Revision 1.9</dc:description>
  <cp:lastModifiedBy/>
  <cp:revision>1</cp:revision>
  <dcterms:created xsi:type="dcterms:W3CDTF">2013-12-23T23:15:00Z</dcterms:created>
  <dcterms:modified xsi:type="dcterms:W3CDTF">2013-12-23T23:15:00Z</dcterms:modified>
  <cp:category/>
  <cp:version>1.7</cp:version>
</cp:coreProperties>
</file>