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color="CC002B"/>
          <w:start w:val="single" w:sz="0" w:color="CC002B"/>
          <w:bottom w:val="single" w:sz="0" w:color="CC002B"/>
          <w:end w:val="single" w:sz="0" w:color="CC002B"/>
          <w:insideH w:val="single" w:sz="0" w:color="CC002B"/>
          <w:insideV w:val="single" w:sz="0" w:color="CC002B"/>
        </w:tblBorders>
      </w:tblPr>
      <w:tblGrid>
        <w:gridCol w:w="10224"/>
      </w:tblGrid>
      <w:tr>
        <w:tc>
          <w:tcPr>
            <w:tcW w:type="dxa" w:w="8640"/>
            <w:shd w:fill="CC002B"/>
            <w:tcMar>
              <w:top w:w="360" w:type="dxa"/>
              <w:start w:w="300" w:type="dxa"/>
              <w:bottom w:w="260" w:type="dxa"/>
              <w:end w:w="300" w:type="dxa"/>
            </w:tcMar>
            <w:vAlign w:val="center"/>
          </w:tcPr>
          <w:p>
            <w:pPr>
              <w:spacing w:after="160"/>
              <w:jc w:val="left"/>
            </w:pPr>
            <w:r>
              <w:rPr>
                <w:rFonts w:ascii="Arial" w:hAnsi="Arial"/>
                <w:b/>
                <w:color w:val="FFFFFF"/>
                <w:sz w:val="56"/>
              </w:rPr>
              <w:t>DUAL-MOTOR PMSM</w:t>
              <w:br/>
              <w:t>DYNAMOMETER PLATFORM</w:t>
            </w:r>
          </w:p>
          <w:p>
            <w:pPr>
              <w:spacing w:before="40" w:after="200"/>
            </w:pPr>
            <w:r>
              <w:rPr>
                <w:rFonts w:ascii="Arial" w:hAnsi="Arial"/>
                <w:b/>
                <w:color w:val="FFFFFF"/>
                <w:sz w:val="40"/>
              </w:rPr>
              <w:t>FUNCTIONAL REQUIREMENTS &amp;</w:t>
              <w:br/>
              <w:t>VALIDATION REPORT</w:t>
            </w:r>
          </w:p>
          <w:p>
            <w:pPr>
              <w:spacing w:after="160"/>
            </w:pPr>
            <w:r>
              <w:rPr>
                <w:rFonts w:ascii="Arial" w:hAnsi="Arial"/>
                <w:b/>
                <w:color w:val="FFFFFF"/>
                <w:sz w:val="24"/>
              </w:rPr>
              <w:t>TI C2000 F28069M, dual-inverter control, CAN integration, and verification</w:t>
            </w:r>
          </w:p>
          <w:p>
            <w:pPr>
              <w:spacing w:after="0"/>
            </w:pPr>
            <w:r>
              <w:rPr>
                <w:rFonts w:ascii="Arial" w:hAnsi="Arial"/>
                <w:color w:val="FFFFFF"/>
                <w:sz w:val="21"/>
              </w:rPr>
              <w:t>Customer-facing functional requirements report</w:t>
              <w:br/>
              <w:t>Revision 1.5 - 5 August 2026</w:t>
            </w:r>
          </w:p>
        </w:tc>
      </w:tr>
    </w:tbl>
    <w:tbl>
      <w:tblPr>
        <w:tblW w:type="auto" w:w="0"/>
        <w:jc w:val="center"/>
        <w:tblLayout w:type="fixed"/>
        <w:tblLook w:firstColumn="1" w:firstRow="1" w:lastColumn="0" w:lastRow="0" w:noHBand="0" w:noVBand="1" w:val="04A0"/>
        <w:tblBorders>
          <w:top w:val="single" w:sz="4" w:color="C8C8C8"/>
          <w:start w:val="single" w:sz="4" w:color="C8C8C8"/>
          <w:bottom w:val="single" w:sz="4" w:color="C8C8C8"/>
          <w:end w:val="single" w:sz="4" w:color="C8C8C8"/>
          <w:insideH w:val="single" w:sz="4" w:color="C8C8C8"/>
          <w:insideV w:val="single" w:sz="4" w:color="C8C8C8"/>
        </w:tblBorders>
      </w:tblPr>
      <w:tblGrid>
        <w:gridCol w:w="2736"/>
        <w:gridCol w:w="7488"/>
      </w:tblGrid>
      <w:tr>
        <w:trPr>
          <w:cantSplit/>
        </w:trPr>
        <w:tc>
          <w:tcPr>
            <w:tcW w:type="dxa" w:w="4320"/>
            <w:shd w:fill="222222"/>
            <w:tcMar>
              <w:top w:w="90" w:type="dxa"/>
              <w:start w:w="90" w:type="dxa"/>
              <w:bottom w:w="90" w:type="dxa"/>
              <w:end w:w="90" w:type="dxa"/>
            </w:tcMar>
            <w:vAlign w:val="center"/>
          </w:tcPr>
          <w:p>
            <w:r>
              <w:rPr>
                <w:rFonts w:ascii="Arial" w:hAnsi="Arial"/>
                <w:b/>
                <w:color w:val="FFFFFF"/>
                <w:sz w:val="18"/>
              </w:rPr>
              <w:t>Prepared by</w:t>
            </w:r>
          </w:p>
        </w:tc>
        <w:tc>
          <w:tcPr>
            <w:tcW w:type="dxa" w:w="4320"/>
            <w:shd w:fill="F1F2F4"/>
            <w:tcMar>
              <w:top w:w="90" w:type="dxa"/>
              <w:start w:w="110" w:type="dxa"/>
              <w:bottom w:w="90" w:type="dxa"/>
              <w:end w:w="110" w:type="dxa"/>
            </w:tcMar>
            <w:vAlign w:val="center"/>
          </w:tcPr>
          <w:p>
            <w:r>
              <w:rPr>
                <w:rFonts w:ascii="Arial" w:hAnsi="Arial"/>
                <w:color w:val="000000"/>
                <w:sz w:val="18"/>
              </w:rPr>
              <w:t>Herder Elektronische Systemen</w:t>
            </w:r>
          </w:p>
        </w:tc>
      </w:tr>
      <w:tr>
        <w:trPr>
          <w:cantSplit/>
        </w:trPr>
        <w:tc>
          <w:tcPr>
            <w:tcW w:type="dxa" w:w="4320"/>
            <w:shd w:fill="222222"/>
            <w:tcMar>
              <w:top w:w="90" w:type="dxa"/>
              <w:start w:w="90" w:type="dxa"/>
              <w:bottom w:w="90" w:type="dxa"/>
              <w:end w:w="90" w:type="dxa"/>
            </w:tcMar>
            <w:vAlign w:val="center"/>
          </w:tcPr>
          <w:p>
            <w:r>
              <w:rPr>
                <w:rFonts w:ascii="Arial" w:hAnsi="Arial"/>
                <w:b/>
                <w:color w:val="FFFFFF"/>
                <w:sz w:val="18"/>
              </w:rPr>
              <w:t>Primary subject</w:t>
            </w:r>
          </w:p>
        </w:tc>
        <w:tc>
          <w:tcPr>
            <w:tcW w:type="dxa" w:w="4320"/>
            <w:shd w:fill="F1F2F4"/>
            <w:tcMar>
              <w:top w:w="90" w:type="dxa"/>
              <w:start w:w="110" w:type="dxa"/>
              <w:bottom w:w="90" w:type="dxa"/>
              <w:end w:w="110" w:type="dxa"/>
            </w:tcMar>
            <w:vAlign w:val="center"/>
          </w:tcPr>
          <w:p>
            <w:r>
              <w:rPr>
                <w:rFonts w:ascii="Arial" w:hAnsi="Arial"/>
                <w:color w:val="000000"/>
                <w:sz w:val="18"/>
              </w:rPr>
              <w:t>System requirements, interfaces, verification, public release boundary, and validation evidence</w:t>
            </w:r>
          </w:p>
        </w:tc>
      </w:tr>
      <w:tr>
        <w:trPr>
          <w:cantSplit/>
        </w:trPr>
        <w:tc>
          <w:tcPr>
            <w:tcW w:type="dxa" w:w="4320"/>
            <w:shd w:fill="222222"/>
            <w:tcMar>
              <w:top w:w="90" w:type="dxa"/>
              <w:start w:w="90" w:type="dxa"/>
              <w:bottom w:w="90" w:type="dxa"/>
              <w:end w:w="90" w:type="dxa"/>
            </w:tcMar>
            <w:vAlign w:val="center"/>
          </w:tcPr>
          <w:p>
            <w:r>
              <w:rPr>
                <w:rFonts w:ascii="Arial" w:hAnsi="Arial"/>
                <w:b/>
                <w:color w:val="FFFFFF"/>
                <w:sz w:val="18"/>
              </w:rPr>
              <w:t>Evidence basis</w:t>
            </w:r>
          </w:p>
        </w:tc>
        <w:tc>
          <w:tcPr>
            <w:tcW w:type="dxa" w:w="4320"/>
            <w:shd w:fill="F1F2F4"/>
            <w:tcMar>
              <w:top w:w="90" w:type="dxa"/>
              <w:start w:w="110" w:type="dxa"/>
              <w:bottom w:w="90" w:type="dxa"/>
              <w:end w:w="110" w:type="dxa"/>
            </w:tcMar>
            <w:vAlign w:val="center"/>
          </w:tcPr>
          <w:p>
            <w:r>
              <w:rPr>
                <w:rFonts w:ascii="Arial" w:hAnsi="Arial"/>
                <w:color w:val="000000"/>
                <w:sz w:val="18"/>
              </w:rPr>
              <w:t>Editable Simulink models, custom ADC source, CAN interfaces, scripts, figures, schematics, and reports</w:t>
            </w:r>
          </w:p>
        </w:tc>
      </w:tr>
      <w:tr>
        <w:trPr>
          <w:cantSplit/>
        </w:trPr>
        <w:tc>
          <w:tcPr>
            <w:tcW w:type="dxa" w:w="4320"/>
            <w:shd w:fill="222222"/>
            <w:tcMar>
              <w:top w:w="90" w:type="dxa"/>
              <w:start w:w="90" w:type="dxa"/>
              <w:bottom w:w="90" w:type="dxa"/>
              <w:end w:w="90" w:type="dxa"/>
            </w:tcMar>
            <w:vAlign w:val="center"/>
          </w:tcPr>
          <w:p>
            <w:r>
              <w:rPr>
                <w:rFonts w:ascii="Arial" w:hAnsi="Arial"/>
                <w:b/>
                <w:color w:val="FFFFFF"/>
                <w:sz w:val="18"/>
              </w:rPr>
              <w:t>Distribution</w:t>
            </w:r>
          </w:p>
        </w:tc>
        <w:tc>
          <w:tcPr>
            <w:tcW w:type="dxa" w:w="4320"/>
            <w:shd w:fill="F1F2F4"/>
            <w:tcMar>
              <w:top w:w="90" w:type="dxa"/>
              <w:start w:w="110" w:type="dxa"/>
              <w:bottom w:w="90" w:type="dxa"/>
              <w:end w:w="110" w:type="dxa"/>
            </w:tcMar>
            <w:vAlign w:val="center"/>
          </w:tcPr>
          <w:p>
            <w:r>
              <w:rPr>
                <w:rFonts w:ascii="Arial" w:hAnsi="Arial"/>
                <w:color w:val="000000"/>
                <w:sz w:val="18"/>
              </w:rPr>
              <w:t>Customer-facing; selected source models, custom firmware, and engineering evidence included</w:t>
            </w:r>
          </w:p>
        </w:tc>
      </w:tr>
    </w:tbl>
    <w:tbl>
      <w:tblPr>
        <w:tblW w:type="auto" w:w="0"/>
        <w:jc w:val="center"/>
        <w:tblLayout w:type="fixed"/>
        <w:tblLook w:firstColumn="1" w:firstRow="1" w:lastColumn="0" w:lastRow="0" w:noHBand="0" w:noVBand="1" w:val="04A0"/>
        <w:tblBorders>
          <w:top w:val="single" w:sz="0" w:color="F4F4F4"/>
          <w:start w:val="single" w:sz="0" w:color="F4F4F4"/>
          <w:bottom w:val="single" w:sz="0" w:color="F4F4F4"/>
          <w:end w:val="single" w:sz="0" w:color="F4F4F4"/>
          <w:insideH w:val="single" w:sz="0" w:color="F4F4F4"/>
          <w:insideV w:val="single" w:sz="0" w:color="F4F4F4"/>
        </w:tblBorders>
      </w:tblPr>
      <w:tblGrid>
        <w:gridCol w:w="10224"/>
      </w:tblGrid>
      <w:tr>
        <w:tc>
          <w:tcPr>
            <w:tcW w:type="dxa" w:w="8640"/>
            <w:shd w:fill="F4F4F4"/>
            <w:tcMar>
              <w:top w:w="150" w:type="dxa"/>
              <w:start w:w="150" w:type="dxa"/>
              <w:bottom w:w="150" w:type="dxa"/>
              <w:end w:w="150" w:type="dxa"/>
            </w:tcMar>
          </w:tcPr>
          <w:p>
            <w:pPr>
              <w:spacing w:after="120"/>
            </w:pPr>
            <w:r>
              <w:rPr>
                <w:rFonts w:ascii="Arial" w:hAnsi="Arial"/>
                <w:b/>
                <w:color w:val="CC002B"/>
                <w:sz w:val="18"/>
              </w:rPr>
              <w:t>DOCUMENT PURPOSE</w:t>
            </w:r>
          </w:p>
          <w:p>
            <w:pPr>
              <w:spacing w:after="0"/>
            </w:pPr>
            <w:r>
              <w:rPr>
                <w:rFonts w:ascii="Arial" w:hAnsi="Arial"/>
                <w:color w:val="000000"/>
                <w:sz w:val="19"/>
              </w:rPr>
              <w:t>This report defines the customer-facing requirements and validation basis for the Dual-Motor PMSM Dynamometer Platform. Embedded control, CAN, custom ADC acquisition, host workflows, physical interfaces, and measured evidence are traced to retained public artifacts.</w:t>
            </w:r>
          </w:p>
        </w:tc>
      </w:tr>
    </w:tbl>
    <w:p>
      <w:r>
        <w:br/>
        <w:br w:type="page"/>
      </w:r>
    </w:p>
    <w:p>
      <w:pPr>
        <w:pStyle w:val="Heading1"/>
      </w:pPr>
      <w:r>
        <w:t>1. Executive Summary</w:t>
      </w:r>
    </w:p>
    <w:p>
      <w:r>
        <w:t>The platform is a dual-PMSM dynamometer centered on a TI C2000 Piccolo F28069M real-time controller, two DRV8305 inverter stages, quadrature encoder feedback, and a host-side test and analysis workflow. The inherited platform contained usable hardware and control assets, but the documented motor-phase and encoder connections did not match the physical bench. The electrical interface was corrected, dual-machine control was restored, host-target pacing was stabilized, an efficiency-map workflow was built, and the communications path was extended from SCI-based operation to CAN-controlled real-time testing.</w:t>
      </w:r>
    </w:p>
    <w:p>
      <w:r>
        <w:t>This FRD converts the public evidence set into controlled, testable requirements. Each normative requirement is uniquely identified, written as a single “shall” statement, assigned a verification method, and traced to retained evidence. The structure is aligned with ISO/IEC/IEEE 29148 requirements-engineering principles and NASA requirements/verification guidance; it is not a claim of formal certification to either framework.</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5083"/>
        <w:gridCol w:w="5083"/>
      </w:tblGrid>
      <w:tr>
        <w:trPr>
          <w:tblHeader w:val="true"/>
        </w:trPr>
        <w:tc>
          <w:tcPr>
            <w:tcW w:type="dxa" w:w="3168"/>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Demonstrated capability</w:t>
            </w:r>
          </w:p>
        </w:tc>
        <w:tc>
          <w:tcPr>
            <w:tcW w:type="dxa" w:w="633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Public evidence</w:t>
            </w:r>
          </w:p>
        </w:tc>
      </w:tr>
      <w:tr>
        <w:tc>
          <w:tcPr>
            <w:tcW w:type="dxa" w:w="3168"/>
            <w:vAlign w:val="center"/>
            <w:tcMar>
              <w:top w:w="80" w:type="dxa"/>
              <w:start w:w="90" w:type="dxa"/>
              <w:bottom w:w="80" w:type="dxa"/>
              <w:end w:w="90" w:type="dxa"/>
            </w:tcMar>
          </w:tcPr>
          <w:p>
            <w:pPr>
              <w:spacing w:after="0" w:line="252" w:lineRule="auto"/>
              <w:jc w:val="center"/>
            </w:pPr>
            <w:r/>
            <w:r>
              <w:rPr>
                <w:rFonts w:ascii="Arial" w:hAnsi="Arial"/>
                <w:b w:val="0"/>
                <w:color w:val="222222"/>
                <w:sz w:val="16"/>
              </w:rPr>
              <w:t>Dual-machine operation</w:t>
            </w:r>
          </w:p>
        </w:tc>
        <w:tc>
          <w:tcPr>
            <w:tcW w:type="dxa" w:w="6336"/>
            <w:vAlign w:val="center"/>
            <w:tcMar>
              <w:top w:w="80" w:type="dxa"/>
              <w:start w:w="90" w:type="dxa"/>
              <w:bottom w:w="80" w:type="dxa"/>
              <w:end w:w="90" w:type="dxa"/>
            </w:tcMar>
          </w:tcPr>
          <w:p>
            <w:pPr>
              <w:spacing w:after="0" w:line="252" w:lineRule="auto"/>
              <w:jc w:val="center"/>
            </w:pPr>
            <w:r/>
            <w:r>
              <w:rPr>
                <w:rFonts w:ascii="Arial" w:hAnsi="Arial"/>
                <w:b w:val="0"/>
                <w:color w:val="222222"/>
                <w:sz w:val="16"/>
              </w:rPr>
              <w:t>Corrected phase and QEP interface; stable commanded drive/load behavior.</w:t>
            </w:r>
          </w:p>
        </w:tc>
      </w:tr>
      <w:tr>
        <w:tc>
          <w:tcPr>
            <w:tcW w:type="dxa" w:w="3168"/>
            <w:vAlign w:val="center"/>
            <w:tcMar>
              <w:top w:w="80" w:type="dxa"/>
              <w:start w:w="90" w:type="dxa"/>
              <w:bottom w:w="80" w:type="dxa"/>
              <w:end w:w="90" w:type="dxa"/>
            </w:tcMar>
          </w:tcPr>
          <w:p>
            <w:pPr>
              <w:spacing w:after="0" w:line="252" w:lineRule="auto"/>
              <w:jc w:val="center"/>
            </w:pPr>
            <w:r/>
            <w:r>
              <w:rPr>
                <w:rFonts w:ascii="Arial" w:hAnsi="Arial"/>
                <w:b w:val="0"/>
                <w:color w:val="222222"/>
                <w:sz w:val="16"/>
              </w:rPr>
              <w:t>Operating envelope represented in data</w:t>
            </w:r>
          </w:p>
        </w:tc>
        <w:tc>
          <w:tcPr>
            <w:tcW w:type="dxa" w:w="6336"/>
            <w:vAlign w:val="center"/>
            <w:tcMar>
              <w:top w:w="80" w:type="dxa"/>
              <w:start w:w="90" w:type="dxa"/>
              <w:bottom w:w="80" w:type="dxa"/>
              <w:end w:w="90" w:type="dxa"/>
            </w:tcMar>
          </w:tcPr>
          <w:p>
            <w:pPr>
              <w:spacing w:after="0" w:line="252" w:lineRule="auto"/>
              <w:jc w:val="center"/>
            </w:pPr>
            <w:r/>
            <w:r>
              <w:rPr>
                <w:rFonts w:ascii="Arial" w:hAnsi="Arial"/>
                <w:b w:val="0"/>
                <w:color w:val="222222"/>
                <w:sz w:val="16"/>
              </w:rPr>
              <w:t>0-4000 rpm and 0-0.25 N m processing range.</w:t>
            </w:r>
          </w:p>
        </w:tc>
      </w:tr>
      <w:tr>
        <w:tc>
          <w:tcPr>
            <w:tcW w:type="dxa" w:w="3168"/>
            <w:vAlign w:val="center"/>
            <w:tcMar>
              <w:top w:w="80" w:type="dxa"/>
              <w:start w:w="90" w:type="dxa"/>
              <w:bottom w:w="80" w:type="dxa"/>
              <w:end w:w="90" w:type="dxa"/>
            </w:tcMar>
          </w:tcPr>
          <w:p>
            <w:pPr>
              <w:spacing w:after="0" w:line="252" w:lineRule="auto"/>
              <w:jc w:val="center"/>
            </w:pPr>
            <w:r/>
            <w:r>
              <w:rPr>
                <w:rFonts w:ascii="Arial" w:hAnsi="Arial"/>
                <w:b w:val="0"/>
                <w:color w:val="222222"/>
                <w:sz w:val="16"/>
              </w:rPr>
              <w:t>Measured efficiency characterization</w:t>
            </w:r>
          </w:p>
        </w:tc>
        <w:tc>
          <w:tcPr>
            <w:tcW w:type="dxa" w:w="6336"/>
            <w:vAlign w:val="center"/>
            <w:tcMar>
              <w:top w:w="80" w:type="dxa"/>
              <w:start w:w="90" w:type="dxa"/>
              <w:bottom w:w="80" w:type="dxa"/>
              <w:end w:w="90" w:type="dxa"/>
            </w:tcMar>
          </w:tcPr>
          <w:p>
            <w:pPr>
              <w:spacing w:after="0" w:line="252" w:lineRule="auto"/>
              <w:jc w:val="center"/>
            </w:pPr>
            <w:r/>
            <w:r>
              <w:rPr>
                <w:rFonts w:ascii="Arial" w:hAnsi="Arial"/>
                <w:b w:val="0"/>
                <w:color w:val="222222"/>
                <w:sz w:val="16"/>
              </w:rPr>
              <w:t>Raw-signal review, validity masks, measured-bin maps, sample counts, and interpolation views.</w:t>
            </w:r>
          </w:p>
        </w:tc>
      </w:tr>
      <w:tr>
        <w:tc>
          <w:tcPr>
            <w:tcW w:type="dxa" w:w="3168"/>
            <w:vAlign w:val="center"/>
            <w:tcMar>
              <w:top w:w="80" w:type="dxa"/>
              <w:start w:w="90" w:type="dxa"/>
              <w:bottom w:w="80" w:type="dxa"/>
              <w:end w:w="90" w:type="dxa"/>
            </w:tcMar>
          </w:tcPr>
          <w:p>
            <w:pPr>
              <w:spacing w:after="0" w:line="252" w:lineRule="auto"/>
              <w:jc w:val="center"/>
            </w:pPr>
            <w:r/>
            <w:r>
              <w:rPr>
                <w:rFonts w:ascii="Arial" w:hAnsi="Arial"/>
                <w:b w:val="0"/>
                <w:color w:val="222222"/>
                <w:sz w:val="16"/>
              </w:rPr>
              <w:t>Real-time communications</w:t>
            </w:r>
          </w:p>
        </w:tc>
        <w:tc>
          <w:tcPr>
            <w:tcW w:type="dxa" w:w="6336"/>
            <w:vAlign w:val="center"/>
            <w:tcMar>
              <w:top w:w="80" w:type="dxa"/>
              <w:start w:w="90" w:type="dxa"/>
              <w:bottom w:w="80" w:type="dxa"/>
              <w:end w:w="90" w:type="dxa"/>
            </w:tcMar>
          </w:tcPr>
          <w:p>
            <w:pPr>
              <w:spacing w:after="0" w:line="252" w:lineRule="auto"/>
              <w:jc w:val="center"/>
            </w:pPr>
            <w:r/>
            <w:r>
              <w:rPr>
                <w:rFonts w:ascii="Arial" w:hAnsi="Arial"/>
                <w:b w:val="0"/>
                <w:color w:val="222222"/>
                <w:sz w:val="16"/>
              </w:rPr>
              <w:t>CAN receive ID 0x100 and transmit ID 0x101 in retained generated-code evidence; four packed 16-bit command values and telemetry organization.</w:t>
            </w:r>
          </w:p>
        </w:tc>
      </w:tr>
      <w:tr>
        <w:tc>
          <w:tcPr>
            <w:tcW w:type="dxa" w:w="3168"/>
            <w:vAlign w:val="center"/>
            <w:tcMar>
              <w:top w:w="80" w:type="dxa"/>
              <w:start w:w="90" w:type="dxa"/>
              <w:bottom w:w="80" w:type="dxa"/>
              <w:end w:w="90" w:type="dxa"/>
            </w:tcMar>
          </w:tcPr>
          <w:p>
            <w:pPr>
              <w:spacing w:after="0" w:line="252" w:lineRule="auto"/>
              <w:jc w:val="center"/>
            </w:pPr>
            <w:r/>
            <w:r>
              <w:rPr>
                <w:rFonts w:ascii="Arial" w:hAnsi="Arial"/>
                <w:b w:val="0"/>
                <w:color w:val="222222"/>
                <w:sz w:val="16"/>
              </w:rPr>
              <w:t>Drive-cycle workflow</w:t>
            </w:r>
          </w:p>
        </w:tc>
        <w:tc>
          <w:tcPr>
            <w:tcW w:type="dxa" w:w="6336"/>
            <w:vAlign w:val="center"/>
            <w:tcMar>
              <w:top w:w="80" w:type="dxa"/>
              <w:start w:w="90" w:type="dxa"/>
              <w:bottom w:w="80" w:type="dxa"/>
              <w:end w:w="90" w:type="dxa"/>
            </w:tcMar>
          </w:tcPr>
          <w:p>
            <w:pPr>
              <w:spacing w:after="0" w:line="252" w:lineRule="auto"/>
              <w:jc w:val="center"/>
            </w:pPr>
            <w:r/>
            <w:r>
              <w:rPr>
                <w:rFonts w:ascii="Arial" w:hAnsi="Arial"/>
                <w:b w:val="0"/>
                <w:color w:val="222222"/>
                <w:sz w:val="16"/>
              </w:rPr>
              <w:t>Compressed FTP-style command profile and load-command generation for bench demonstration.</w:t>
            </w:r>
          </w:p>
        </w:tc>
      </w:tr>
    </w:tbl>
    <w:p>
      <w:pPr>
        <w:spacing w:after="0"/>
      </w:pPr>
    </w:p>
    <w:p>
      <w:pPr>
        <w:pStyle w:val="Heading1"/>
      </w:pPr>
      <w:r>
        <w:t>2. Document Scope and Conventions</w:t>
      </w:r>
    </w:p>
    <w:p>
      <w:pPr>
        <w:pStyle w:val="Heading2"/>
      </w:pPr>
      <w:r>
        <w:t>2.1 Public system boundary</w:t>
      </w:r>
    </w:p>
    <w:p>
      <w:pPr>
        <w:pStyle w:val="ListBullet"/>
        <w:ind w:left="360" w:hanging="216"/>
      </w:pPr>
      <w:r>
        <w:t>Included: system architecture, interface definitions, actual editable Simulink target/host models, custom F28069M ADC configuration source, selected MATLAB utilities, sanitized plots, vendor schematic references, public BOM, requirements, and verification evidence.</w:t>
      </w:r>
    </w:p>
    <w:p>
      <w:pPr>
        <w:pStyle w:val="ListBullet"/>
        <w:ind w:left="360" w:hanging="216"/>
      </w:pPr>
      <w:r>
        <w:t>Excluded: generated code trees, compiled firmware and binaries, vendor device-support source, private tuning history, raw unpublished data, editable PCB/manufacturing packages, and internal development records.</w:t>
      </w:r>
    </w:p>
    <w:p>
      <w:pPr>
        <w:pStyle w:val="ListBullet"/>
        <w:ind w:left="360" w:hanging="216"/>
      </w:pPr>
      <w:r>
        <w:t>Third-party boundary: TI boards and documentation, MathWorks software, Speedgoat interfaces, motors, and inherited fixtures remain third-party or inherited elements.</w:t>
      </w:r>
    </w:p>
    <w:p>
      <w:pPr>
        <w:pStyle w:val="Heading2"/>
      </w:pPr>
      <w:r>
        <w:t>2.2 Requirement language and status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5083"/>
        <w:gridCol w:w="5083"/>
      </w:tblGrid>
      <w:tr>
        <w:trPr>
          <w:tblHeader w:val="true"/>
        </w:trPr>
        <w:tc>
          <w:tcPr>
            <w:tcW w:type="dxa" w:w="1944"/>
            <w:vAlign w:val="center"/>
            <w:tcMar>
              <w:top w:w="80" w:type="dxa"/>
              <w:start w:w="90" w:type="dxa"/>
              <w:bottom w:w="80" w:type="dxa"/>
              <w:end w:w="90" w:type="dxa"/>
            </w:tcMar>
            <w:shd w:fill="CC0000"/>
          </w:tcPr>
          <w:p>
            <w:pPr>
              <w:spacing w:after="0" w:line="252" w:lineRule="auto"/>
              <w:jc w:val="center"/>
            </w:pPr>
            <w:r/>
            <w:r>
              <w:rPr>
                <w:rFonts w:ascii="Arial" w:hAnsi="Arial"/>
                <w:b/>
                <w:color w:val="FFFFFF"/>
                <w:sz w:val="17"/>
              </w:rPr>
              <w:t>Term</w:t>
            </w:r>
          </w:p>
        </w:tc>
        <w:tc>
          <w:tcPr>
            <w:tcW w:type="dxa" w:w="756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7"/>
              </w:rPr>
              <w:t>Meaning</w:t>
            </w:r>
          </w:p>
        </w:tc>
      </w:tr>
      <w:tr>
        <w:tc>
          <w:tcPr>
            <w:tcW w:type="dxa" w:w="1944"/>
            <w:vAlign w:val="center"/>
            <w:tcMar>
              <w:top w:w="80" w:type="dxa"/>
              <w:start w:w="90" w:type="dxa"/>
              <w:bottom w:w="80" w:type="dxa"/>
              <w:end w:w="90" w:type="dxa"/>
            </w:tcMar>
          </w:tcPr>
          <w:p>
            <w:pPr>
              <w:spacing w:after="0" w:line="252" w:lineRule="auto"/>
              <w:jc w:val="center"/>
            </w:pPr>
            <w:r/>
            <w:r>
              <w:rPr>
                <w:rFonts w:ascii="Arial" w:hAnsi="Arial"/>
                <w:b w:val="0"/>
                <w:color w:val="222222"/>
                <w:sz w:val="17"/>
              </w:rPr>
              <w:t>Shall</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7"/>
              </w:rPr>
              <w:t>Mandatory behavior or constraint for the public baseline.</w:t>
            </w:r>
          </w:p>
        </w:tc>
      </w:tr>
      <w:tr>
        <w:tc>
          <w:tcPr>
            <w:tcW w:type="dxa" w:w="1944"/>
            <w:vAlign w:val="center"/>
            <w:tcMar>
              <w:top w:w="80" w:type="dxa"/>
              <w:start w:w="90" w:type="dxa"/>
              <w:bottom w:w="80" w:type="dxa"/>
              <w:end w:w="90" w:type="dxa"/>
            </w:tcMar>
          </w:tcPr>
          <w:p>
            <w:pPr>
              <w:spacing w:after="0" w:line="252" w:lineRule="auto"/>
              <w:jc w:val="center"/>
            </w:pPr>
            <w:r/>
            <w:r>
              <w:rPr>
                <w:rFonts w:ascii="Arial" w:hAnsi="Arial"/>
                <w:b w:val="0"/>
                <w:color w:val="222222"/>
                <w:sz w:val="17"/>
              </w:rPr>
              <w:t>Should</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7"/>
              </w:rPr>
              <w:t>Recommended practice or future enhancement; not mandatory.</w:t>
            </w:r>
          </w:p>
        </w:tc>
      </w:tr>
      <w:tr>
        <w:tc>
          <w:tcPr>
            <w:tcW w:type="dxa" w:w="1944"/>
            <w:vAlign w:val="center"/>
            <w:tcMar>
              <w:top w:w="80" w:type="dxa"/>
              <w:start w:w="90" w:type="dxa"/>
              <w:bottom w:w="80" w:type="dxa"/>
              <w:end w:w="90" w:type="dxa"/>
            </w:tcMar>
          </w:tcPr>
          <w:p>
            <w:pPr>
              <w:spacing w:after="0" w:line="252" w:lineRule="auto"/>
              <w:jc w:val="center"/>
            </w:pPr>
            <w:r/>
            <w:r>
              <w:rPr>
                <w:rFonts w:ascii="Arial" w:hAnsi="Arial"/>
                <w:b w:val="0"/>
                <w:color w:val="222222"/>
                <w:sz w:val="17"/>
              </w:rPr>
              <w:t>Verified</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7"/>
              </w:rPr>
              <w:t>Objective evidence supports the requirement for the reviewed baseline.</w:t>
            </w:r>
          </w:p>
        </w:tc>
      </w:tr>
      <w:tr>
        <w:tc>
          <w:tcPr>
            <w:tcW w:type="dxa" w:w="1944"/>
            <w:vAlign w:val="center"/>
            <w:tcMar>
              <w:top w:w="80" w:type="dxa"/>
              <w:start w:w="90" w:type="dxa"/>
              <w:bottom w:w="80" w:type="dxa"/>
              <w:end w:w="90" w:type="dxa"/>
            </w:tcMar>
          </w:tcPr>
          <w:p>
            <w:pPr>
              <w:spacing w:after="0" w:line="252" w:lineRule="auto"/>
              <w:jc w:val="center"/>
            </w:pPr>
            <w:r/>
            <w:r>
              <w:rPr>
                <w:rFonts w:ascii="Arial" w:hAnsi="Arial"/>
                <w:b w:val="0"/>
                <w:color w:val="222222"/>
                <w:sz w:val="17"/>
              </w:rPr>
              <w:t>Partially verified</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7"/>
              </w:rPr>
              <w:t>Some evidence exists, but an identified condition remains open.</w:t>
            </w:r>
          </w:p>
        </w:tc>
      </w:tr>
      <w:tr>
        <w:tc>
          <w:tcPr>
            <w:tcW w:type="dxa" w:w="1944"/>
            <w:vAlign w:val="center"/>
            <w:tcMar>
              <w:top w:w="80" w:type="dxa"/>
              <w:start w:w="90" w:type="dxa"/>
              <w:bottom w:w="80" w:type="dxa"/>
              <w:end w:w="90" w:type="dxa"/>
            </w:tcMar>
          </w:tcPr>
          <w:p>
            <w:pPr>
              <w:spacing w:after="0" w:line="252" w:lineRule="auto"/>
              <w:jc w:val="center"/>
            </w:pPr>
            <w:r/>
            <w:r>
              <w:rPr>
                <w:rFonts w:ascii="Arial" w:hAnsi="Arial"/>
                <w:b w:val="0"/>
                <w:color w:val="222222"/>
                <w:sz w:val="17"/>
              </w:rPr>
              <w:t>Not verified</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7"/>
              </w:rPr>
              <w:t>No adequate objective evidence is included in the public release.</w:t>
            </w:r>
          </w:p>
        </w:tc>
      </w:tr>
    </w:tbl>
    <w:p>
      <w:pPr>
        <w:spacing w:after="0"/>
      </w:pPr>
    </w:p>
    <w:p>
      <w:pPr>
        <w:pStyle w:val="Heading2"/>
      </w:pPr>
      <w:r>
        <w:t>2.3 Verification methods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389"/>
        <w:gridCol w:w="3389"/>
        <w:gridCol w:w="3389"/>
      </w:tblGrid>
      <w:tr>
        <w:trPr>
          <w:tblHeader w:val="true"/>
        </w:trPr>
        <w:tc>
          <w:tcPr>
            <w:tcW w:type="dxa" w:w="93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Code</w:t>
            </w:r>
          </w:p>
        </w:tc>
        <w:tc>
          <w:tcPr>
            <w:tcW w:type="dxa" w:w="165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Method</w:t>
            </w:r>
          </w:p>
        </w:tc>
        <w:tc>
          <w:tcPr>
            <w:tcW w:type="dxa" w:w="6912"/>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Definition</w:t>
            </w:r>
          </w:p>
        </w:tc>
      </w:tr>
      <w:tr>
        <w:tc>
          <w:tcPr>
            <w:tcW w:type="dxa" w:w="936"/>
            <w:vAlign w:val="center"/>
            <w:tcMar>
              <w:top w:w="80" w:type="dxa"/>
              <w:start w:w="90" w:type="dxa"/>
              <w:bottom w:w="80" w:type="dxa"/>
              <w:end w:w="90" w:type="dxa"/>
            </w:tcMar>
          </w:tcPr>
          <w:p>
            <w:pPr>
              <w:spacing w:after="0" w:line="252" w:lineRule="auto"/>
              <w:jc w:val="center"/>
            </w:pPr>
            <w:r/>
            <w:r>
              <w:rPr>
                <w:rFonts w:ascii="Arial" w:hAnsi="Arial"/>
                <w:b w:val="0"/>
                <w:color w:val="222222"/>
                <w:sz w:val="16"/>
              </w:rPr>
              <w:t>I</w:t>
            </w:r>
          </w:p>
        </w:tc>
        <w:tc>
          <w:tcPr>
            <w:tcW w:type="dxa" w:w="1656"/>
            <w:vAlign w:val="center"/>
            <w:tcMar>
              <w:top w:w="80" w:type="dxa"/>
              <w:start w:w="90" w:type="dxa"/>
              <w:bottom w:w="80" w:type="dxa"/>
              <w:end w:w="90" w:type="dxa"/>
            </w:tcMar>
          </w:tcPr>
          <w:p>
            <w:pPr>
              <w:spacing w:after="0" w:line="252" w:lineRule="auto"/>
              <w:jc w:val="left"/>
            </w:pPr>
            <w:r/>
            <w:r>
              <w:rPr>
                <w:rFonts w:ascii="Arial" w:hAnsi="Arial"/>
                <w:b w:val="0"/>
                <w:color w:val="222222"/>
                <w:sz w:val="16"/>
              </w:rPr>
              <w:t>Inspection</w:t>
            </w:r>
          </w:p>
        </w:tc>
        <w:tc>
          <w:tcPr>
            <w:tcW w:type="dxa" w:w="6912"/>
            <w:vAlign w:val="center"/>
            <w:tcMar>
              <w:top w:w="80" w:type="dxa"/>
              <w:start w:w="90" w:type="dxa"/>
              <w:bottom w:w="80" w:type="dxa"/>
              <w:end w:w="90" w:type="dxa"/>
            </w:tcMar>
          </w:tcPr>
          <w:p>
            <w:pPr>
              <w:spacing w:after="0" w:line="252" w:lineRule="auto"/>
              <w:jc w:val="center"/>
            </w:pPr>
            <w:r/>
            <w:r>
              <w:rPr>
                <w:rFonts w:ascii="Arial" w:hAnsi="Arial"/>
                <w:b w:val="0"/>
                <w:color w:val="222222"/>
                <w:sz w:val="16"/>
              </w:rPr>
              <w:t>Review of drawings, files, configuration, labels, or retained source artifacts.</w:t>
            </w:r>
          </w:p>
        </w:tc>
      </w:tr>
      <w:tr>
        <w:tc>
          <w:tcPr>
            <w:tcW w:type="dxa" w:w="936"/>
            <w:vAlign w:val="center"/>
            <w:tcMar>
              <w:top w:w="80" w:type="dxa"/>
              <w:start w:w="90" w:type="dxa"/>
              <w:bottom w:w="80" w:type="dxa"/>
              <w:end w:w="90" w:type="dxa"/>
            </w:tcMar>
          </w:tcPr>
          <w:p>
            <w:pPr>
              <w:spacing w:after="0" w:line="252" w:lineRule="auto"/>
              <w:jc w:val="center"/>
            </w:pPr>
            <w:r/>
            <w:r>
              <w:rPr>
                <w:rFonts w:ascii="Arial" w:hAnsi="Arial"/>
                <w:b w:val="0"/>
                <w:color w:val="222222"/>
                <w:sz w:val="16"/>
              </w:rPr>
              <w:t>A</w:t>
            </w:r>
          </w:p>
        </w:tc>
        <w:tc>
          <w:tcPr>
            <w:tcW w:type="dxa" w:w="1656"/>
            <w:vAlign w:val="center"/>
            <w:tcMar>
              <w:top w:w="80" w:type="dxa"/>
              <w:start w:w="90" w:type="dxa"/>
              <w:bottom w:w="80" w:type="dxa"/>
              <w:end w:w="90" w:type="dxa"/>
            </w:tcMar>
          </w:tcPr>
          <w:p>
            <w:pPr>
              <w:spacing w:after="0" w:line="252" w:lineRule="auto"/>
              <w:jc w:val="left"/>
            </w:pPr>
            <w:r/>
            <w:r>
              <w:rPr>
                <w:rFonts w:ascii="Arial" w:hAnsi="Arial"/>
                <w:b w:val="0"/>
                <w:color w:val="222222"/>
                <w:sz w:val="16"/>
              </w:rPr>
              <w:t>Analysis</w:t>
            </w:r>
          </w:p>
        </w:tc>
        <w:tc>
          <w:tcPr>
            <w:tcW w:type="dxa" w:w="6912"/>
            <w:vAlign w:val="center"/>
            <w:tcMar>
              <w:top w:w="80" w:type="dxa"/>
              <w:start w:w="90" w:type="dxa"/>
              <w:bottom w:w="80" w:type="dxa"/>
              <w:end w:w="90" w:type="dxa"/>
            </w:tcMar>
          </w:tcPr>
          <w:p>
            <w:pPr>
              <w:spacing w:after="0" w:line="252" w:lineRule="auto"/>
              <w:jc w:val="center"/>
            </w:pPr>
            <w:r/>
            <w:r>
              <w:rPr>
                <w:rFonts w:ascii="Arial" w:hAnsi="Arial"/>
                <w:b w:val="0"/>
                <w:color w:val="222222"/>
                <w:sz w:val="16"/>
              </w:rPr>
              <w:t>Evaluation by calculation, data processing, or engineering reasoning.</w:t>
            </w:r>
          </w:p>
        </w:tc>
      </w:tr>
      <w:tr>
        <w:tc>
          <w:tcPr>
            <w:tcW w:type="dxa" w:w="936"/>
            <w:vAlign w:val="center"/>
            <w:tcMar>
              <w:top w:w="80" w:type="dxa"/>
              <w:start w:w="90" w:type="dxa"/>
              <w:bottom w:w="80" w:type="dxa"/>
              <w:end w:w="90" w:type="dxa"/>
            </w:tcMar>
          </w:tcPr>
          <w:p>
            <w:pPr>
              <w:spacing w:after="0" w:line="252" w:lineRule="auto"/>
              <w:jc w:val="center"/>
            </w:pPr>
            <w:r/>
            <w:r>
              <w:rPr>
                <w:rFonts w:ascii="Arial" w:hAnsi="Arial"/>
                <w:b w:val="0"/>
                <w:color w:val="222222"/>
                <w:sz w:val="16"/>
              </w:rPr>
              <w:t>D</w:t>
            </w:r>
          </w:p>
        </w:tc>
        <w:tc>
          <w:tcPr>
            <w:tcW w:type="dxa" w:w="1656"/>
            <w:vAlign w:val="center"/>
            <w:tcMar>
              <w:top w:w="80" w:type="dxa"/>
              <w:start w:w="90" w:type="dxa"/>
              <w:bottom w:w="80" w:type="dxa"/>
              <w:end w:w="90" w:type="dxa"/>
            </w:tcMar>
          </w:tcPr>
          <w:p>
            <w:pPr>
              <w:spacing w:after="0" w:line="252" w:lineRule="auto"/>
              <w:jc w:val="left"/>
            </w:pPr>
            <w:r/>
            <w:r>
              <w:rPr>
                <w:rFonts w:ascii="Arial" w:hAnsi="Arial"/>
                <w:b w:val="0"/>
                <w:color w:val="222222"/>
                <w:sz w:val="16"/>
              </w:rPr>
              <w:t>Demonstration</w:t>
            </w:r>
          </w:p>
        </w:tc>
        <w:tc>
          <w:tcPr>
            <w:tcW w:type="dxa" w:w="6912"/>
            <w:vAlign w:val="center"/>
            <w:tcMar>
              <w:top w:w="80" w:type="dxa"/>
              <w:start w:w="90" w:type="dxa"/>
              <w:bottom w:w="80" w:type="dxa"/>
              <w:end w:w="90" w:type="dxa"/>
            </w:tcMar>
          </w:tcPr>
          <w:p>
            <w:pPr>
              <w:spacing w:after="0" w:line="252" w:lineRule="auto"/>
              <w:jc w:val="center"/>
            </w:pPr>
            <w:r/>
            <w:r>
              <w:rPr>
                <w:rFonts w:ascii="Arial" w:hAnsi="Arial"/>
                <w:b w:val="0"/>
                <w:color w:val="222222"/>
                <w:sz w:val="16"/>
              </w:rPr>
              <w:t>Observed operation without exhaustive quantitative acceptance limits.</w:t>
            </w:r>
          </w:p>
        </w:tc>
      </w:tr>
      <w:tr>
        <w:tc>
          <w:tcPr>
            <w:tcW w:type="dxa" w:w="936"/>
            <w:vAlign w:val="center"/>
            <w:tcMar>
              <w:top w:w="80" w:type="dxa"/>
              <w:start w:w="90" w:type="dxa"/>
              <w:bottom w:w="80" w:type="dxa"/>
              <w:end w:w="90" w:type="dxa"/>
            </w:tcMar>
          </w:tcPr>
          <w:p>
            <w:pPr>
              <w:spacing w:after="0" w:line="252" w:lineRule="auto"/>
              <w:jc w:val="center"/>
            </w:pPr>
            <w:r/>
            <w:r>
              <w:rPr>
                <w:rFonts w:ascii="Arial" w:hAnsi="Arial"/>
                <w:b w:val="0"/>
                <w:color w:val="222222"/>
                <w:sz w:val="16"/>
              </w:rPr>
              <w:t>T</w:t>
            </w:r>
          </w:p>
        </w:tc>
        <w:tc>
          <w:tcPr>
            <w:tcW w:type="dxa" w:w="1656"/>
            <w:vAlign w:val="center"/>
            <w:tcMar>
              <w:top w:w="80" w:type="dxa"/>
              <w:start w:w="90" w:type="dxa"/>
              <w:bottom w:w="80" w:type="dxa"/>
              <w:end w:w="90" w:type="dxa"/>
            </w:tcMar>
          </w:tcPr>
          <w:p>
            <w:pPr>
              <w:spacing w:after="0" w:line="252" w:lineRule="auto"/>
              <w:jc w:val="left"/>
            </w:pPr>
            <w:r/>
            <w:r>
              <w:rPr>
                <w:rFonts w:ascii="Arial" w:hAnsi="Arial"/>
                <w:b w:val="0"/>
                <w:color w:val="222222"/>
                <w:sz w:val="16"/>
              </w:rPr>
              <w:t>Test</w:t>
            </w:r>
          </w:p>
        </w:tc>
        <w:tc>
          <w:tcPr>
            <w:tcW w:type="dxa" w:w="6912"/>
            <w:vAlign w:val="center"/>
            <w:tcMar>
              <w:top w:w="80" w:type="dxa"/>
              <w:start w:w="90" w:type="dxa"/>
              <w:bottom w:w="80" w:type="dxa"/>
              <w:end w:w="90" w:type="dxa"/>
            </w:tcMar>
          </w:tcPr>
          <w:p>
            <w:pPr>
              <w:spacing w:after="0" w:line="252" w:lineRule="auto"/>
              <w:jc w:val="center"/>
            </w:pPr>
            <w:r/>
            <w:r>
              <w:rPr>
                <w:rFonts w:ascii="Arial" w:hAnsi="Arial"/>
                <w:b w:val="0"/>
                <w:color w:val="222222"/>
                <w:sz w:val="16"/>
              </w:rPr>
              <w:t>Controlled execution with defined input, measured output, and acceptance criterion.</w:t>
            </w:r>
          </w:p>
        </w:tc>
      </w:tr>
    </w:tbl>
    <w:p>
      <w:pPr>
        <w:spacing w:after="0"/>
      </w:pPr>
    </w:p>
    <w:p>
      <w:pPr>
        <w:pStyle w:val="Heading1"/>
      </w:pPr>
      <w:r>
        <w:t>3. System Context and Architecture</w:t>
      </w:r>
    </w:p>
    <w:p>
      <w:pPr>
        <w:keepNext/>
        <w:jc w:val="center"/>
      </w:pPr>
      <w:r>
        <w:drawing>
          <wp:inline xmlns:a="http://schemas.openxmlformats.org/drawingml/2006/main" xmlns:pic="http://schemas.openxmlformats.org/drawingml/2006/picture">
            <wp:extent cx="6126480" cy="282498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2824988"/>
                    </a:xfrm>
                    <a:prstGeom prst="rect"/>
                  </pic:spPr>
                </pic:pic>
              </a:graphicData>
            </a:graphic>
          </wp:inline>
        </w:drawing>
      </w:r>
    </w:p>
    <w:p>
      <w:pPr>
        <w:pStyle w:val="Caption"/>
        <w:jc w:val="center"/>
      </w:pPr>
      <w:r>
        <w:t>Figure 1. Public system architecture and responsibility boundary.</w:t>
      </w:r>
    </w:p>
    <w:p>
      <w:r>
        <w:t>Time-critical motor control remains on the F28069M target. The host creates command profiles, supervises tests, logs selected channels, and performs analysis. The CAN link replaces dependence on host GUI refresh timing for the command/telemetry transport. Each inverter controls one PMSM; each encoder is assigned to the corresponding QEP input after physical verification.</w:t>
      </w:r>
    </w:p>
    <w:p>
      <w:pPr>
        <w:pStyle w:val="Heading2"/>
      </w:pPr>
      <w:r>
        <w:t>3.1 Primary interfaces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389"/>
        <w:gridCol w:w="3389"/>
        <w:gridCol w:w="3389"/>
      </w:tblGrid>
      <w:tr>
        <w:trPr>
          <w:tblHeader w:val="true"/>
        </w:trPr>
        <w:tc>
          <w:tcPr>
            <w:tcW w:type="dxa" w:w="165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Interface</w:t>
            </w:r>
          </w:p>
        </w:tc>
        <w:tc>
          <w:tcPr>
            <w:tcW w:type="dxa" w:w="4752"/>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Public definition</w:t>
            </w:r>
          </w:p>
        </w:tc>
        <w:tc>
          <w:tcPr>
            <w:tcW w:type="dxa" w:w="309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Boundary</w:t>
            </w:r>
          </w:p>
        </w:tc>
      </w:tr>
      <w:tr>
        <w:tc>
          <w:tcPr>
            <w:tcW w:type="dxa" w:w="1656"/>
            <w:vAlign w:val="center"/>
            <w:tcMar>
              <w:top w:w="80" w:type="dxa"/>
              <w:start w:w="90" w:type="dxa"/>
              <w:bottom w:w="80" w:type="dxa"/>
              <w:end w:w="90" w:type="dxa"/>
            </w:tcMar>
          </w:tcPr>
          <w:p>
            <w:pPr>
              <w:spacing w:after="0" w:line="252" w:lineRule="auto"/>
              <w:jc w:val="center"/>
            </w:pPr>
            <w:r/>
            <w:r>
              <w:rPr>
                <w:rFonts w:ascii="Arial" w:hAnsi="Arial"/>
                <w:b w:val="0"/>
                <w:color w:val="222222"/>
                <w:sz w:val="15"/>
              </w:rPr>
              <w:t>DC power</w:t>
            </w:r>
          </w:p>
        </w:tc>
        <w:tc>
          <w:tcPr>
            <w:tcW w:type="dxa" w:w="4752"/>
            <w:vAlign w:val="center"/>
            <w:tcMar>
              <w:top w:w="80" w:type="dxa"/>
              <w:start w:w="90" w:type="dxa"/>
              <w:bottom w:w="80" w:type="dxa"/>
              <w:end w:w="90" w:type="dxa"/>
            </w:tcMar>
          </w:tcPr>
          <w:p>
            <w:pPr>
              <w:spacing w:after="0" w:line="252" w:lineRule="auto"/>
              <w:jc w:val="left"/>
            </w:pPr>
            <w:r/>
            <w:r>
              <w:rPr>
                <w:rFonts w:ascii="Arial" w:hAnsi="Arial"/>
                <w:b w:val="0"/>
                <w:color w:val="222222"/>
                <w:sz w:val="15"/>
              </w:rPr>
              <w:t>Nominal 24 V bench supply to both inverter stages.</w:t>
            </w:r>
          </w:p>
        </w:tc>
        <w:tc>
          <w:tcPr>
            <w:tcW w:type="dxa" w:w="3096"/>
            <w:vAlign w:val="center"/>
            <w:tcMar>
              <w:top w:w="80" w:type="dxa"/>
              <w:start w:w="90" w:type="dxa"/>
              <w:bottom w:w="80" w:type="dxa"/>
              <w:end w:w="90" w:type="dxa"/>
            </w:tcMar>
          </w:tcPr>
          <w:p>
            <w:pPr>
              <w:spacing w:after="0" w:line="252" w:lineRule="auto"/>
              <w:jc w:val="center"/>
            </w:pPr>
            <w:r/>
            <w:r>
              <w:rPr>
                <w:rFonts w:ascii="Arial" w:hAnsi="Arial"/>
                <w:b w:val="0"/>
                <w:color w:val="222222"/>
                <w:sz w:val="15"/>
              </w:rPr>
              <w:t>Exact protection and supply design remain bench-specific.</w:t>
            </w:r>
          </w:p>
        </w:tc>
      </w:tr>
      <w:tr>
        <w:tc>
          <w:tcPr>
            <w:tcW w:type="dxa" w:w="1656"/>
            <w:vAlign w:val="center"/>
            <w:tcMar>
              <w:top w:w="80" w:type="dxa"/>
              <w:start w:w="90" w:type="dxa"/>
              <w:bottom w:w="80" w:type="dxa"/>
              <w:end w:w="90" w:type="dxa"/>
            </w:tcMar>
          </w:tcPr>
          <w:p>
            <w:pPr>
              <w:spacing w:after="0" w:line="252" w:lineRule="auto"/>
              <w:jc w:val="center"/>
            </w:pPr>
            <w:r/>
            <w:r>
              <w:rPr>
                <w:rFonts w:ascii="Arial" w:hAnsi="Arial"/>
                <w:b w:val="0"/>
                <w:color w:val="222222"/>
                <w:sz w:val="15"/>
              </w:rPr>
              <w:t>Motor phases</w:t>
            </w:r>
          </w:p>
        </w:tc>
        <w:tc>
          <w:tcPr>
            <w:tcW w:type="dxa" w:w="4752"/>
            <w:vAlign w:val="center"/>
            <w:tcMar>
              <w:top w:w="80" w:type="dxa"/>
              <w:start w:w="90" w:type="dxa"/>
              <w:bottom w:w="80" w:type="dxa"/>
              <w:end w:w="90" w:type="dxa"/>
            </w:tcMar>
          </w:tcPr>
          <w:p>
            <w:pPr>
              <w:spacing w:after="0" w:line="252" w:lineRule="auto"/>
              <w:jc w:val="left"/>
            </w:pPr>
            <w:r/>
            <w:r>
              <w:rPr>
                <w:rFonts w:ascii="Arial" w:hAnsi="Arial"/>
                <w:b w:val="0"/>
                <w:color w:val="222222"/>
                <w:sz w:val="15"/>
              </w:rPr>
              <w:t>Three-phase outputs from each DRV8305 inverter to its assigned PMSM.</w:t>
            </w:r>
          </w:p>
        </w:tc>
        <w:tc>
          <w:tcPr>
            <w:tcW w:type="dxa" w:w="3096"/>
            <w:vAlign w:val="center"/>
            <w:tcMar>
              <w:top w:w="80" w:type="dxa"/>
              <w:start w:w="90" w:type="dxa"/>
              <w:bottom w:w="80" w:type="dxa"/>
              <w:end w:w="90" w:type="dxa"/>
            </w:tcMar>
          </w:tcPr>
          <w:p>
            <w:pPr>
              <w:spacing w:after="0" w:line="252" w:lineRule="auto"/>
              <w:jc w:val="center"/>
            </w:pPr>
            <w:r/>
            <w:r>
              <w:rPr>
                <w:rFonts w:ascii="Arial" w:hAnsi="Arial"/>
                <w:b w:val="0"/>
                <w:color w:val="222222"/>
                <w:sz w:val="15"/>
              </w:rPr>
              <w:t>Phase order verified physically; no universal harness pinout is claimed.</w:t>
            </w:r>
          </w:p>
        </w:tc>
      </w:tr>
      <w:tr>
        <w:tc>
          <w:tcPr>
            <w:tcW w:type="dxa" w:w="1656"/>
            <w:vAlign w:val="center"/>
            <w:tcMar>
              <w:top w:w="80" w:type="dxa"/>
              <w:start w:w="90" w:type="dxa"/>
              <w:bottom w:w="80" w:type="dxa"/>
              <w:end w:w="90" w:type="dxa"/>
            </w:tcMar>
          </w:tcPr>
          <w:p>
            <w:pPr>
              <w:spacing w:after="0" w:line="252" w:lineRule="auto"/>
              <w:jc w:val="center"/>
            </w:pPr>
            <w:r/>
            <w:r>
              <w:rPr>
                <w:rFonts w:ascii="Arial" w:hAnsi="Arial"/>
                <w:b w:val="0"/>
                <w:color w:val="222222"/>
                <w:sz w:val="15"/>
              </w:rPr>
              <w:t>Encoder feedback</w:t>
            </w:r>
          </w:p>
        </w:tc>
        <w:tc>
          <w:tcPr>
            <w:tcW w:type="dxa" w:w="4752"/>
            <w:vAlign w:val="center"/>
            <w:tcMar>
              <w:top w:w="80" w:type="dxa"/>
              <w:start w:w="90" w:type="dxa"/>
              <w:bottom w:w="80" w:type="dxa"/>
              <w:end w:w="90" w:type="dxa"/>
            </w:tcMar>
          </w:tcPr>
          <w:p>
            <w:pPr>
              <w:spacing w:after="0" w:line="252" w:lineRule="auto"/>
              <w:jc w:val="left"/>
            </w:pPr>
            <w:r/>
            <w:r>
              <w:rPr>
                <w:rFonts w:ascii="Arial" w:hAnsi="Arial"/>
                <w:b w:val="0"/>
                <w:color w:val="222222"/>
                <w:sz w:val="15"/>
              </w:rPr>
              <w:t>Quadrature A/B feedback to F28069M QEP peripherals.</w:t>
            </w:r>
          </w:p>
        </w:tc>
        <w:tc>
          <w:tcPr>
            <w:tcW w:type="dxa" w:w="3096"/>
            <w:vAlign w:val="center"/>
            <w:tcMar>
              <w:top w:w="80" w:type="dxa"/>
              <w:start w:w="90" w:type="dxa"/>
              <w:bottom w:w="80" w:type="dxa"/>
              <w:end w:w="90" w:type="dxa"/>
            </w:tcMar>
          </w:tcPr>
          <w:p>
            <w:pPr>
              <w:spacing w:after="0" w:line="252" w:lineRule="auto"/>
              <w:jc w:val="center"/>
            </w:pPr>
            <w:r/>
            <w:r>
              <w:rPr>
                <w:rFonts w:ascii="Arial" w:hAnsi="Arial"/>
                <w:b w:val="0"/>
                <w:color w:val="222222"/>
                <w:sz w:val="15"/>
              </w:rPr>
              <w:t>Exact connectorization is platform-specific.</w:t>
            </w:r>
          </w:p>
        </w:tc>
      </w:tr>
      <w:tr>
        <w:tc>
          <w:tcPr>
            <w:tcW w:type="dxa" w:w="1656"/>
            <w:vAlign w:val="center"/>
            <w:tcMar>
              <w:top w:w="80" w:type="dxa"/>
              <w:start w:w="90" w:type="dxa"/>
              <w:bottom w:w="80" w:type="dxa"/>
              <w:end w:w="90" w:type="dxa"/>
            </w:tcMar>
          </w:tcPr>
          <w:p>
            <w:pPr>
              <w:spacing w:after="0" w:line="252" w:lineRule="auto"/>
              <w:jc w:val="center"/>
            </w:pPr>
            <w:r/>
            <w:r>
              <w:rPr>
                <w:rFonts w:ascii="Arial" w:hAnsi="Arial"/>
                <w:b w:val="0"/>
                <w:color w:val="222222"/>
                <w:sz w:val="15"/>
              </w:rPr>
              <w:t>CAN</w:t>
            </w:r>
          </w:p>
        </w:tc>
        <w:tc>
          <w:tcPr>
            <w:tcW w:type="dxa" w:w="4752"/>
            <w:vAlign w:val="center"/>
            <w:tcMar>
              <w:top w:w="80" w:type="dxa"/>
              <w:start w:w="90" w:type="dxa"/>
              <w:bottom w:w="80" w:type="dxa"/>
              <w:end w:w="90" w:type="dxa"/>
            </w:tcMar>
          </w:tcPr>
          <w:p>
            <w:pPr>
              <w:spacing w:after="0" w:line="252" w:lineRule="auto"/>
              <w:jc w:val="left"/>
            </w:pPr>
            <w:r/>
            <w:r>
              <w:rPr>
                <w:rFonts w:ascii="Arial" w:hAnsi="Arial"/>
                <w:b w:val="0"/>
                <w:color w:val="222222"/>
                <w:sz w:val="15"/>
              </w:rPr>
              <w:t>Differential CANH/CANL with common reference and termination.</w:t>
            </w:r>
          </w:p>
        </w:tc>
        <w:tc>
          <w:tcPr>
            <w:tcW w:type="dxa" w:w="3096"/>
            <w:vAlign w:val="center"/>
            <w:tcMar>
              <w:top w:w="80" w:type="dxa"/>
              <w:start w:w="90" w:type="dxa"/>
              <w:bottom w:w="80" w:type="dxa"/>
              <w:end w:w="90" w:type="dxa"/>
            </w:tcMar>
          </w:tcPr>
          <w:p>
            <w:pPr>
              <w:spacing w:after="0" w:line="252" w:lineRule="auto"/>
              <w:jc w:val="center"/>
            </w:pPr>
            <w:r/>
            <w:r>
              <w:rPr>
                <w:rFonts w:ascii="Arial" w:hAnsi="Arial"/>
                <w:b w:val="0"/>
                <w:color w:val="222222"/>
                <w:sz w:val="15"/>
              </w:rPr>
              <w:t>Public baseline identifies command 0x100 and response 0x101.</w:t>
            </w:r>
          </w:p>
        </w:tc>
      </w:tr>
      <w:tr>
        <w:tc>
          <w:tcPr>
            <w:tcW w:type="dxa" w:w="1656"/>
            <w:vAlign w:val="center"/>
            <w:tcMar>
              <w:top w:w="80" w:type="dxa"/>
              <w:start w:w="90" w:type="dxa"/>
              <w:bottom w:w="80" w:type="dxa"/>
              <w:end w:w="90" w:type="dxa"/>
            </w:tcMar>
          </w:tcPr>
          <w:p>
            <w:pPr>
              <w:spacing w:after="0" w:line="252" w:lineRule="auto"/>
              <w:jc w:val="center"/>
            </w:pPr>
            <w:r/>
            <w:r>
              <w:rPr>
                <w:rFonts w:ascii="Arial" w:hAnsi="Arial"/>
                <w:b w:val="0"/>
                <w:color w:val="222222"/>
                <w:sz w:val="15"/>
              </w:rPr>
              <w:t>Host data</w:t>
            </w:r>
          </w:p>
        </w:tc>
        <w:tc>
          <w:tcPr>
            <w:tcW w:type="dxa" w:w="4752"/>
            <w:vAlign w:val="center"/>
            <w:tcMar>
              <w:top w:w="80" w:type="dxa"/>
              <w:start w:w="90" w:type="dxa"/>
              <w:bottom w:w="80" w:type="dxa"/>
              <w:end w:w="90" w:type="dxa"/>
            </w:tcMar>
          </w:tcPr>
          <w:p>
            <w:pPr>
              <w:spacing w:after="0" w:line="252" w:lineRule="auto"/>
              <w:jc w:val="left"/>
            </w:pPr>
            <w:r/>
            <w:r>
              <w:rPr>
                <w:rFonts w:ascii="Arial" w:hAnsi="Arial"/>
                <w:b w:val="0"/>
                <w:color w:val="222222"/>
                <w:sz w:val="15"/>
              </w:rPr>
              <w:t>Selected signals exported for synchronized analysis.</w:t>
            </w:r>
          </w:p>
        </w:tc>
        <w:tc>
          <w:tcPr>
            <w:tcW w:type="dxa" w:w="3096"/>
            <w:vAlign w:val="center"/>
            <w:tcMar>
              <w:top w:w="80" w:type="dxa"/>
              <w:start w:w="90" w:type="dxa"/>
              <w:bottom w:w="80" w:type="dxa"/>
              <w:end w:w="90" w:type="dxa"/>
            </w:tcMar>
          </w:tcPr>
          <w:p>
            <w:pPr>
              <w:spacing w:after="0" w:line="252" w:lineRule="auto"/>
              <w:jc w:val="center"/>
            </w:pPr>
            <w:r/>
            <w:r>
              <w:rPr>
                <w:rFonts w:ascii="Arial" w:hAnsi="Arial"/>
                <w:b w:val="0"/>
                <w:color w:val="222222"/>
                <w:sz w:val="15"/>
              </w:rPr>
              <w:t>Complete private signal dictionary is excluded.</w:t>
            </w:r>
          </w:p>
        </w:tc>
      </w:tr>
    </w:tbl>
    <w:p>
      <w:pPr>
        <w:spacing w:after="0"/>
      </w:pPr>
    </w:p>
    <w:p>
      <w:pPr>
        <w:pStyle w:val="Heading1"/>
      </w:pPr>
      <w:r>
        <w:t>4. Functional Requirements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033"/>
        <w:gridCol w:w="2033"/>
        <w:gridCol w:w="2033"/>
        <w:gridCol w:w="2033"/>
        <w:gridCol w:w="2033"/>
      </w:tblGrid>
      <w:tr>
        <w:trPr>
          <w:tblHeader w:val="true"/>
        </w:trPr>
        <w:tc>
          <w:tcPr>
            <w:tcW w:type="dxa" w:w="979"/>
            <w:vAlign w:val="center"/>
            <w:tcMar>
              <w:top w:w="80" w:type="dxa"/>
              <w:start w:w="90" w:type="dxa"/>
              <w:bottom w:w="80" w:type="dxa"/>
              <w:end w:w="90" w:type="dxa"/>
            </w:tcMar>
            <w:shd w:fill="CC0000"/>
          </w:tcPr>
          <w:p>
            <w:pPr>
              <w:spacing w:after="0" w:line="252" w:lineRule="auto"/>
              <w:jc w:val="center"/>
            </w:pPr>
            <w:r/>
            <w:r>
              <w:rPr>
                <w:rFonts w:ascii="Arial" w:hAnsi="Arial"/>
                <w:b/>
                <w:color w:val="FFFFFF"/>
                <w:sz w:val="14"/>
              </w:rPr>
              <w:t>ID</w:t>
            </w:r>
          </w:p>
        </w:tc>
        <w:tc>
          <w:tcPr>
            <w:tcW w:type="dxa" w:w="4435"/>
            <w:vAlign w:val="center"/>
            <w:tcMar>
              <w:top w:w="80" w:type="dxa"/>
              <w:start w:w="90" w:type="dxa"/>
              <w:bottom w:w="80" w:type="dxa"/>
              <w:end w:w="90" w:type="dxa"/>
            </w:tcMar>
            <w:shd w:fill="CC0000"/>
          </w:tcPr>
          <w:p>
            <w:pPr>
              <w:spacing w:after="0" w:line="252" w:lineRule="auto"/>
              <w:jc w:val="center"/>
            </w:pPr>
            <w:r/>
            <w:r>
              <w:rPr>
                <w:rFonts w:ascii="Arial" w:hAnsi="Arial"/>
                <w:b/>
                <w:color w:val="FFFFFF"/>
                <w:sz w:val="14"/>
              </w:rPr>
              <w:t>Requirement</w:t>
            </w:r>
          </w:p>
        </w:tc>
        <w:tc>
          <w:tcPr>
            <w:tcW w:type="dxa" w:w="1037"/>
            <w:vAlign w:val="center"/>
            <w:tcMar>
              <w:top w:w="80" w:type="dxa"/>
              <w:start w:w="90" w:type="dxa"/>
              <w:bottom w:w="80" w:type="dxa"/>
              <w:end w:w="90" w:type="dxa"/>
            </w:tcMar>
            <w:shd w:fill="CC0000"/>
          </w:tcPr>
          <w:p>
            <w:pPr>
              <w:spacing w:after="0" w:line="252" w:lineRule="auto"/>
              <w:jc w:val="center"/>
            </w:pPr>
            <w:r/>
            <w:r>
              <w:rPr>
                <w:rFonts w:ascii="Arial" w:hAnsi="Arial"/>
                <w:b/>
                <w:color w:val="FFFFFF"/>
                <w:sz w:val="14"/>
              </w:rPr>
              <w:t>V-method</w:t>
            </w:r>
          </w:p>
        </w:tc>
        <w:tc>
          <w:tcPr>
            <w:tcW w:type="dxa" w:w="1181"/>
            <w:vAlign w:val="center"/>
            <w:tcMar>
              <w:top w:w="80" w:type="dxa"/>
              <w:start w:w="90" w:type="dxa"/>
              <w:bottom w:w="80" w:type="dxa"/>
              <w:end w:w="90" w:type="dxa"/>
            </w:tcMar>
            <w:shd w:fill="CC0000"/>
          </w:tcPr>
          <w:p>
            <w:pPr>
              <w:spacing w:after="0" w:line="252" w:lineRule="auto"/>
              <w:jc w:val="center"/>
            </w:pPr>
            <w:r/>
            <w:r>
              <w:rPr>
                <w:rFonts w:ascii="Arial" w:hAnsi="Arial"/>
                <w:b/>
                <w:color w:val="FFFFFF"/>
                <w:sz w:val="14"/>
              </w:rPr>
              <w:t>Status</w:t>
            </w:r>
          </w:p>
        </w:tc>
        <w:tc>
          <w:tcPr>
            <w:tcW w:type="dxa" w:w="2088"/>
            <w:vAlign w:val="center"/>
            <w:tcMar>
              <w:top w:w="80" w:type="dxa"/>
              <w:start w:w="90" w:type="dxa"/>
              <w:bottom w:w="80" w:type="dxa"/>
              <w:end w:w="90" w:type="dxa"/>
            </w:tcMar>
            <w:shd w:fill="CC0000"/>
          </w:tcPr>
          <w:p>
            <w:pPr>
              <w:spacing w:after="0" w:line="252" w:lineRule="auto"/>
              <w:jc w:val="center"/>
            </w:pPr>
            <w:r/>
            <w:r>
              <w:rPr>
                <w:rFonts w:ascii="Arial" w:hAnsi="Arial"/>
                <w:b/>
                <w:color w:val="FFFFFF"/>
                <w:sz w:val="14"/>
              </w:rPr>
              <w:t>Evidence</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SYS-001</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system shall provide independently commanded drive-machine and load-machine control paths.</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D/T</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Operational dual-motor bench evidence.</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SYS-002</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system shall maintain an explicit mapping between each inverter, motor, and encoder feedback channel.</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I/T</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Corrected phase and QEP assignments.</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CTL-001</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real-time target shall execute motor-control timing independently of host visualization refresh timing.</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Target FOC/PWM/ADC/QEP architecture.</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CTL-002</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target shall provide closed-loop speed regulation for the commanded drive machine within the demonstrated bench envelope.</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T</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Successful speed-command tests and efficiency-map runs.</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CTL-003</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target shall provide a controllable load-machine q-axis current or equivalent torque-producing command.</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T</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Fixed-dwell and drive-cycle load profiles.</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CTL-004</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control path shall preserve enable, limit, and command-interpretation logic rather than bypassing the established motor-control state path.</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Retained host/target model behavior and command routing.</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COM-001</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target shall receive a standard CAN command frame with identifier 0x100.</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Generated target code mailbox configuration.</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COM-002</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target shall transmit a standard CAN response frame with identifier 0x101.</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Generated target code mailbox configuration.</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COM-003</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A command frame shall transport four packed 16-bit values using a documented scaling convention.</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Byte pack/unpack and host command evidence.</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COM-004</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public interface description shall distinguish command transport from measurement telemetry.</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Interface summary and FRD architecture.</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DAQ-001</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acquisition workflow shall align selected signals to a common analysis interval and time base before derived calculations.</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Interpolation and crop logic in processing source.</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DAQ-002</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processing workflow shall reject non-finite and physically implausible samples before map generation.</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Validity masks and filtering plots.</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DAQ-003</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workflow shall retain sample-count evidence for each measured operating bin.</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A</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Sample-count map.</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CHR-001</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efficiency workflow shall support an analysis grid spanning 0-4000 rpm and 0-0.25 N m.</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Processing edges and published figures.</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CHR-002</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Electrical input power shall be derived from the selected q-axis voltage/current representation used by the retained workflow.</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Processing script and report method.</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CHR-003</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Mechanical output power shall be derived from measured or estimated torque and angular speed.</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Processing script and report method.</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CHR-004</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Measured-bin results shall remain distinguishable from interpolated visualization products.</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Separate measured and interpolated maps.</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DRV-001</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host workflow shall generate a bounded, compressed FTP-style speed command suitable for a short bench demonstration.</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Public drive-cycle setup script.</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SAF-001</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release shall not characterize the platform as production-safe or safety-certified.</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NOTICE and report limitations.</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REL-001</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public package shall exclude complete private control models, generated code, compiled firmware, and editable manufacturing sources.</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Final package inspection.</w:t>
            </w:r>
          </w:p>
        </w:tc>
      </w:tr>
      <w:tr>
        <w:tc>
          <w:tcPr>
            <w:tcW w:type="dxa" w:w="2033"/>
            <w:vAlign w:val="center"/>
          </w:tcPr>
          <w:p>
            <w:r/>
            <w:r>
              <w:rPr>
                <w:b w:val="0"/>
                <w:sz w:val="16"/>
              </w:rPr>
              <w:t>SYS-021</w:t>
            </w:r>
          </w:p>
        </w:tc>
        <w:tc>
          <w:tcPr>
            <w:tcW w:type="dxa" w:w="2033"/>
            <w:vAlign w:val="center"/>
          </w:tcPr>
          <w:p>
            <w:r/>
            <w:r>
              <w:rPr>
                <w:b w:val="0"/>
                <w:sz w:val="16"/>
              </w:rPr>
              <w:t>The target implementation shall configure the additional simultaneous ADC input pairs required by the public instrumentation path using project-specific F28069M SOC configuration source.</w:t>
            </w:r>
          </w:p>
        </w:tc>
        <w:tc>
          <w:tcPr>
            <w:tcW w:type="dxa" w:w="2033"/>
            <w:vAlign w:val="center"/>
          </w:tcPr>
          <w:p>
            <w:r/>
            <w:r>
              <w:rPr>
                <w:b w:val="0"/>
                <w:sz w:val="16"/>
              </w:rPr>
              <w:t>I/T</w:t>
            </w:r>
          </w:p>
        </w:tc>
        <w:tc>
          <w:tcPr>
            <w:tcW w:type="dxa" w:w="2033"/>
            <w:vAlign w:val="center"/>
          </w:tcPr>
          <w:p>
            <w:r/>
            <w:r>
              <w:rPr>
                <w:b w:val="0"/>
                <w:sz w:val="16"/>
              </w:rPr>
              <w:t>Verified</w:t>
            </w:r>
          </w:p>
        </w:tc>
        <w:tc>
          <w:tcPr>
            <w:tcW w:type="dxa" w:w="2033"/>
            <w:vAlign w:val="center"/>
          </w:tcPr>
          <w:p>
            <w:r/>
            <w:r>
              <w:rPr>
                <w:b w:val="0"/>
                <w:sz w:val="16"/>
              </w:rPr>
              <w:t>F28069M_ADC_Custom_Config.c; SOC12/13 and SOC14/15 configuration.</w:t>
            </w:r>
          </w:p>
        </w:tc>
      </w:tr>
    </w:tbl>
    <w:p>
      <w:pPr>
        <w:spacing w:after="0"/>
      </w:pPr>
    </w:p>
    <w:p>
      <w:pPr>
        <w:pStyle w:val="Heading1"/>
      </w:pPr>
      <w:r>
        <w:t>5. Performance and Quality Requirements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541"/>
        <w:gridCol w:w="2541"/>
        <w:gridCol w:w="2541"/>
        <w:gridCol w:w="2541"/>
      </w:tblGrid>
      <w:tr>
        <w:trPr>
          <w:tblHeader w:val="true"/>
        </w:trPr>
        <w:tc>
          <w:tcPr>
            <w:tcW w:type="dxa" w:w="108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ID</w:t>
            </w:r>
          </w:p>
        </w:tc>
        <w:tc>
          <w:tcPr>
            <w:tcW w:type="dxa" w:w="669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Requirement</w:t>
            </w:r>
          </w:p>
        </w:tc>
        <w:tc>
          <w:tcPr>
            <w:tcW w:type="dxa" w:w="108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Method</w:t>
            </w:r>
          </w:p>
        </w:tc>
        <w:tc>
          <w:tcPr>
            <w:tcW w:type="dxa" w:w="129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Status</w:t>
            </w:r>
          </w:p>
        </w:tc>
      </w:tr>
      <w:tr>
        <w:tc>
          <w:tcPr>
            <w:tcW w:type="dxa" w:w="1080"/>
            <w:vAlign w:val="center"/>
            <w:tcMar>
              <w:top w:w="80" w:type="dxa"/>
              <w:start w:w="90" w:type="dxa"/>
              <w:bottom w:w="80" w:type="dxa"/>
              <w:end w:w="90" w:type="dxa"/>
            </w:tcMar>
          </w:tcPr>
          <w:p>
            <w:pPr>
              <w:spacing w:after="0" w:line="252" w:lineRule="auto"/>
              <w:jc w:val="center"/>
            </w:pPr>
            <w:r/>
            <w:r>
              <w:rPr>
                <w:rFonts w:ascii="Arial" w:hAnsi="Arial"/>
                <w:b w:val="0"/>
                <w:color w:val="222222"/>
                <w:sz w:val="15"/>
              </w:rPr>
              <w:t>PER-001</w:t>
            </w:r>
          </w:p>
        </w:tc>
        <w:tc>
          <w:tcPr>
            <w:tcW w:type="dxa" w:w="6696"/>
            <w:vAlign w:val="center"/>
            <w:tcMar>
              <w:top w:w="80" w:type="dxa"/>
              <w:start w:w="90" w:type="dxa"/>
              <w:bottom w:w="80" w:type="dxa"/>
              <w:end w:w="90" w:type="dxa"/>
            </w:tcMar>
          </w:tcPr>
          <w:p>
            <w:pPr>
              <w:spacing w:after="0" w:line="252" w:lineRule="auto"/>
              <w:jc w:val="left"/>
            </w:pPr>
            <w:r/>
            <w:r>
              <w:rPr>
                <w:rFonts w:ascii="Arial" w:hAnsi="Arial"/>
                <w:b w:val="0"/>
                <w:color w:val="222222"/>
                <w:sz w:val="15"/>
              </w:rPr>
              <w:t>The public characterization workflow shall represent speed commands from 0 through 4000 rpm.</w:t>
            </w:r>
          </w:p>
        </w:tc>
        <w:tc>
          <w:tcPr>
            <w:tcW w:type="dxa" w:w="1080"/>
            <w:vAlign w:val="center"/>
            <w:tcMar>
              <w:top w:w="80" w:type="dxa"/>
              <w:start w:w="90" w:type="dxa"/>
              <w:bottom w:w="80" w:type="dxa"/>
              <w:end w:w="90" w:type="dxa"/>
            </w:tcMar>
          </w:tcPr>
          <w:p>
            <w:pPr>
              <w:spacing w:after="0" w:line="252" w:lineRule="auto"/>
              <w:jc w:val="left"/>
            </w:pPr>
            <w:r/>
            <w:r>
              <w:rPr>
                <w:rFonts w:ascii="Arial" w:hAnsi="Arial"/>
                <w:b w:val="0"/>
                <w:color w:val="222222"/>
                <w:sz w:val="15"/>
              </w:rPr>
              <w:t>I/A</w:t>
            </w:r>
          </w:p>
        </w:tc>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5"/>
              </w:rPr>
              <w:t>Verified</w:t>
            </w:r>
          </w:p>
        </w:tc>
      </w:tr>
      <w:tr>
        <w:tc>
          <w:tcPr>
            <w:tcW w:type="dxa" w:w="1080"/>
            <w:vAlign w:val="center"/>
            <w:tcMar>
              <w:top w:w="80" w:type="dxa"/>
              <w:start w:w="90" w:type="dxa"/>
              <w:bottom w:w="80" w:type="dxa"/>
              <w:end w:w="90" w:type="dxa"/>
            </w:tcMar>
          </w:tcPr>
          <w:p>
            <w:pPr>
              <w:spacing w:after="0" w:line="252" w:lineRule="auto"/>
              <w:jc w:val="center"/>
            </w:pPr>
            <w:r/>
            <w:r>
              <w:rPr>
                <w:rFonts w:ascii="Arial" w:hAnsi="Arial"/>
                <w:b w:val="0"/>
                <w:color w:val="222222"/>
                <w:sz w:val="15"/>
              </w:rPr>
              <w:t>PER-002</w:t>
            </w:r>
          </w:p>
        </w:tc>
        <w:tc>
          <w:tcPr>
            <w:tcW w:type="dxa" w:w="6696"/>
            <w:vAlign w:val="center"/>
            <w:tcMar>
              <w:top w:w="80" w:type="dxa"/>
              <w:start w:w="90" w:type="dxa"/>
              <w:bottom w:w="80" w:type="dxa"/>
              <w:end w:w="90" w:type="dxa"/>
            </w:tcMar>
          </w:tcPr>
          <w:p>
            <w:pPr>
              <w:spacing w:after="0" w:line="252" w:lineRule="auto"/>
              <w:jc w:val="left"/>
            </w:pPr>
            <w:r/>
            <w:r>
              <w:rPr>
                <w:rFonts w:ascii="Arial" w:hAnsi="Arial"/>
                <w:b w:val="0"/>
                <w:color w:val="222222"/>
                <w:sz w:val="15"/>
              </w:rPr>
              <w:t>The public characterization workflow shall represent torque values from 0 through 0.25 N m.</w:t>
            </w:r>
          </w:p>
        </w:tc>
        <w:tc>
          <w:tcPr>
            <w:tcW w:type="dxa" w:w="1080"/>
            <w:vAlign w:val="center"/>
            <w:tcMar>
              <w:top w:w="80" w:type="dxa"/>
              <w:start w:w="90" w:type="dxa"/>
              <w:bottom w:w="80" w:type="dxa"/>
              <w:end w:w="90" w:type="dxa"/>
            </w:tcMar>
          </w:tcPr>
          <w:p>
            <w:pPr>
              <w:spacing w:after="0" w:line="252" w:lineRule="auto"/>
              <w:jc w:val="left"/>
            </w:pPr>
            <w:r/>
            <w:r>
              <w:rPr>
                <w:rFonts w:ascii="Arial" w:hAnsi="Arial"/>
                <w:b w:val="0"/>
                <w:color w:val="222222"/>
                <w:sz w:val="15"/>
              </w:rPr>
              <w:t>I/A</w:t>
            </w:r>
          </w:p>
        </w:tc>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5"/>
              </w:rPr>
              <w:t>Verified</w:t>
            </w:r>
          </w:p>
        </w:tc>
      </w:tr>
      <w:tr>
        <w:tc>
          <w:tcPr>
            <w:tcW w:type="dxa" w:w="1080"/>
            <w:vAlign w:val="center"/>
            <w:tcMar>
              <w:top w:w="80" w:type="dxa"/>
              <w:start w:w="90" w:type="dxa"/>
              <w:bottom w:w="80" w:type="dxa"/>
              <w:end w:w="90" w:type="dxa"/>
            </w:tcMar>
          </w:tcPr>
          <w:p>
            <w:pPr>
              <w:spacing w:after="0" w:line="252" w:lineRule="auto"/>
              <w:jc w:val="center"/>
            </w:pPr>
            <w:r/>
            <w:r>
              <w:rPr>
                <w:rFonts w:ascii="Arial" w:hAnsi="Arial"/>
                <w:b w:val="0"/>
                <w:color w:val="222222"/>
                <w:sz w:val="15"/>
              </w:rPr>
              <w:t>PER-003</w:t>
            </w:r>
          </w:p>
        </w:tc>
        <w:tc>
          <w:tcPr>
            <w:tcW w:type="dxa" w:w="6696"/>
            <w:vAlign w:val="center"/>
            <w:tcMar>
              <w:top w:w="80" w:type="dxa"/>
              <w:start w:w="90" w:type="dxa"/>
              <w:bottom w:w="80" w:type="dxa"/>
              <w:end w:w="90" w:type="dxa"/>
            </w:tcMar>
          </w:tcPr>
          <w:p>
            <w:pPr>
              <w:spacing w:after="0" w:line="252" w:lineRule="auto"/>
              <w:jc w:val="left"/>
            </w:pPr>
            <w:r/>
            <w:r>
              <w:rPr>
                <w:rFonts w:ascii="Arial" w:hAnsi="Arial"/>
                <w:b w:val="0"/>
                <w:color w:val="222222"/>
                <w:sz w:val="15"/>
              </w:rPr>
              <w:t>Efficiency-map acceptance shall require electrical power greater than 10 W, mechanical power greater than 3 W, and torque greater than 0.045 N m.</w:t>
            </w:r>
          </w:p>
        </w:tc>
        <w:tc>
          <w:tcPr>
            <w:tcW w:type="dxa" w:w="1080"/>
            <w:vAlign w:val="center"/>
            <w:tcMar>
              <w:top w:w="80" w:type="dxa"/>
              <w:start w:w="90" w:type="dxa"/>
              <w:bottom w:w="80" w:type="dxa"/>
              <w:end w:w="90" w:type="dxa"/>
            </w:tcMar>
          </w:tcPr>
          <w:p>
            <w:pPr>
              <w:spacing w:after="0" w:line="252" w:lineRule="auto"/>
              <w:jc w:val="left"/>
            </w:pPr>
            <w:r/>
            <w:r>
              <w:rPr>
                <w:rFonts w:ascii="Arial" w:hAnsi="Arial"/>
                <w:b w:val="0"/>
                <w:color w:val="222222"/>
                <w:sz w:val="15"/>
              </w:rPr>
              <w:t>I/A</w:t>
            </w:r>
          </w:p>
        </w:tc>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5"/>
              </w:rPr>
              <w:t>Verified</w:t>
            </w:r>
          </w:p>
        </w:tc>
      </w:tr>
      <w:tr>
        <w:tc>
          <w:tcPr>
            <w:tcW w:type="dxa" w:w="1080"/>
            <w:vAlign w:val="center"/>
            <w:tcMar>
              <w:top w:w="80" w:type="dxa"/>
              <w:start w:w="90" w:type="dxa"/>
              <w:bottom w:w="80" w:type="dxa"/>
              <w:end w:w="90" w:type="dxa"/>
            </w:tcMar>
          </w:tcPr>
          <w:p>
            <w:pPr>
              <w:spacing w:after="0" w:line="252" w:lineRule="auto"/>
              <w:jc w:val="center"/>
            </w:pPr>
            <w:r/>
            <w:r>
              <w:rPr>
                <w:rFonts w:ascii="Arial" w:hAnsi="Arial"/>
                <w:b w:val="0"/>
                <w:color w:val="222222"/>
                <w:sz w:val="15"/>
              </w:rPr>
              <w:t>TIM-001</w:t>
            </w:r>
          </w:p>
        </w:tc>
        <w:tc>
          <w:tcPr>
            <w:tcW w:type="dxa" w:w="6696"/>
            <w:vAlign w:val="center"/>
            <w:tcMar>
              <w:top w:w="80" w:type="dxa"/>
              <w:start w:w="90" w:type="dxa"/>
              <w:bottom w:w="80" w:type="dxa"/>
              <w:end w:w="90" w:type="dxa"/>
            </w:tcMar>
          </w:tcPr>
          <w:p>
            <w:pPr>
              <w:spacing w:after="0" w:line="252" w:lineRule="auto"/>
              <w:jc w:val="left"/>
            </w:pPr>
            <w:r/>
            <w:r>
              <w:rPr>
                <w:rFonts w:ascii="Arial" w:hAnsi="Arial"/>
                <w:b w:val="0"/>
                <w:color w:val="222222"/>
                <w:sz w:val="15"/>
              </w:rPr>
              <w:t>Host-target execution shall be paced sufficiently to avoid uncontrolled host run-ahead during real-time tests.</w:t>
            </w:r>
          </w:p>
        </w:tc>
        <w:tc>
          <w:tcPr>
            <w:tcW w:type="dxa" w:w="1080"/>
            <w:vAlign w:val="center"/>
            <w:tcMar>
              <w:top w:w="80" w:type="dxa"/>
              <w:start w:w="90" w:type="dxa"/>
              <w:bottom w:w="80" w:type="dxa"/>
              <w:end w:w="90" w:type="dxa"/>
            </w:tcMar>
          </w:tcPr>
          <w:p>
            <w:pPr>
              <w:spacing w:after="0" w:line="252" w:lineRule="auto"/>
              <w:jc w:val="left"/>
            </w:pPr>
            <w:r/>
            <w:r>
              <w:rPr>
                <w:rFonts w:ascii="Arial" w:hAnsi="Arial"/>
                <w:b w:val="0"/>
                <w:color w:val="222222"/>
                <w:sz w:val="15"/>
              </w:rPr>
              <w:t>D</w:t>
            </w:r>
          </w:p>
        </w:tc>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5"/>
              </w:rPr>
              <w:t>Verified</w:t>
            </w:r>
          </w:p>
        </w:tc>
      </w:tr>
      <w:tr>
        <w:tc>
          <w:tcPr>
            <w:tcW w:type="dxa" w:w="1080"/>
            <w:vAlign w:val="center"/>
            <w:tcMar>
              <w:top w:w="80" w:type="dxa"/>
              <w:start w:w="90" w:type="dxa"/>
              <w:bottom w:w="80" w:type="dxa"/>
              <w:end w:w="90" w:type="dxa"/>
            </w:tcMar>
          </w:tcPr>
          <w:p>
            <w:pPr>
              <w:spacing w:after="0" w:line="252" w:lineRule="auto"/>
              <w:jc w:val="center"/>
            </w:pPr>
            <w:r/>
            <w:r>
              <w:rPr>
                <w:rFonts w:ascii="Arial" w:hAnsi="Arial"/>
                <w:b w:val="0"/>
                <w:color w:val="222222"/>
                <w:sz w:val="15"/>
              </w:rPr>
              <w:t>USA-001</w:t>
            </w:r>
          </w:p>
        </w:tc>
        <w:tc>
          <w:tcPr>
            <w:tcW w:type="dxa" w:w="6696"/>
            <w:vAlign w:val="center"/>
            <w:tcMar>
              <w:top w:w="80" w:type="dxa"/>
              <w:start w:w="90" w:type="dxa"/>
              <w:bottom w:w="80" w:type="dxa"/>
              <w:end w:w="90" w:type="dxa"/>
            </w:tcMar>
          </w:tcPr>
          <w:p>
            <w:pPr>
              <w:spacing w:after="0" w:line="252" w:lineRule="auto"/>
              <w:jc w:val="left"/>
            </w:pPr>
            <w:r/>
            <w:r>
              <w:rPr>
                <w:rFonts w:ascii="Arial" w:hAnsi="Arial"/>
                <w:b w:val="0"/>
                <w:color w:val="222222"/>
                <w:sz w:val="15"/>
              </w:rPr>
              <w:t>Public scripts shall expose configuration parameters and generate labeled plots suitable for engineering review.</w:t>
            </w:r>
          </w:p>
        </w:tc>
        <w:tc>
          <w:tcPr>
            <w:tcW w:type="dxa" w:w="1080"/>
            <w:vAlign w:val="center"/>
            <w:tcMar>
              <w:top w:w="80" w:type="dxa"/>
              <w:start w:w="90" w:type="dxa"/>
              <w:bottom w:w="80" w:type="dxa"/>
              <w:end w:w="90" w:type="dxa"/>
            </w:tcMar>
          </w:tcPr>
          <w:p>
            <w:pPr>
              <w:spacing w:after="0" w:line="252" w:lineRule="auto"/>
              <w:jc w:val="left"/>
            </w:pPr>
            <w:r/>
            <w:r>
              <w:rPr>
                <w:rFonts w:ascii="Arial" w:hAnsi="Arial"/>
                <w:b w:val="0"/>
                <w:color w:val="222222"/>
                <w:sz w:val="15"/>
              </w:rPr>
              <w:t>I</w:t>
            </w:r>
          </w:p>
        </w:tc>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5"/>
              </w:rPr>
              <w:t>Verified</w:t>
            </w:r>
          </w:p>
        </w:tc>
      </w:tr>
      <w:tr>
        <w:tc>
          <w:tcPr>
            <w:tcW w:type="dxa" w:w="1080"/>
            <w:vAlign w:val="center"/>
            <w:tcMar>
              <w:top w:w="80" w:type="dxa"/>
              <w:start w:w="90" w:type="dxa"/>
              <w:bottom w:w="80" w:type="dxa"/>
              <w:end w:w="90" w:type="dxa"/>
            </w:tcMar>
          </w:tcPr>
          <w:p>
            <w:pPr>
              <w:spacing w:after="0" w:line="252" w:lineRule="auto"/>
              <w:jc w:val="center"/>
            </w:pPr>
            <w:r/>
            <w:r>
              <w:rPr>
                <w:rFonts w:ascii="Arial" w:hAnsi="Arial"/>
                <w:b w:val="0"/>
                <w:color w:val="222222"/>
                <w:sz w:val="15"/>
              </w:rPr>
              <w:t>MAI-001</w:t>
            </w:r>
          </w:p>
        </w:tc>
        <w:tc>
          <w:tcPr>
            <w:tcW w:type="dxa" w:w="6696"/>
            <w:vAlign w:val="center"/>
            <w:tcMar>
              <w:top w:w="80" w:type="dxa"/>
              <w:start w:w="90" w:type="dxa"/>
              <w:bottom w:w="80" w:type="dxa"/>
              <w:end w:w="90" w:type="dxa"/>
            </w:tcMar>
          </w:tcPr>
          <w:p>
            <w:pPr>
              <w:spacing w:after="0" w:line="252" w:lineRule="auto"/>
              <w:jc w:val="left"/>
            </w:pPr>
            <w:r/>
            <w:r>
              <w:rPr>
                <w:rFonts w:ascii="Arial" w:hAnsi="Arial"/>
                <w:b w:val="0"/>
                <w:color w:val="222222"/>
                <w:sz w:val="15"/>
              </w:rPr>
              <w:t>The public repository shall separate firmware evidence, host utilities, hardware references, results, media, and documentation.</w:t>
            </w:r>
          </w:p>
        </w:tc>
        <w:tc>
          <w:tcPr>
            <w:tcW w:type="dxa" w:w="1080"/>
            <w:vAlign w:val="center"/>
            <w:tcMar>
              <w:top w:w="80" w:type="dxa"/>
              <w:start w:w="90" w:type="dxa"/>
              <w:bottom w:w="80" w:type="dxa"/>
              <w:end w:w="90" w:type="dxa"/>
            </w:tcMar>
          </w:tcPr>
          <w:p>
            <w:pPr>
              <w:spacing w:after="0" w:line="252" w:lineRule="auto"/>
              <w:jc w:val="left"/>
            </w:pPr>
            <w:r/>
            <w:r>
              <w:rPr>
                <w:rFonts w:ascii="Arial" w:hAnsi="Arial"/>
                <w:b w:val="0"/>
                <w:color w:val="222222"/>
                <w:sz w:val="15"/>
              </w:rPr>
              <w:t>I</w:t>
            </w:r>
          </w:p>
        </w:tc>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5"/>
              </w:rPr>
              <w:t>Verified</w:t>
            </w:r>
          </w:p>
        </w:tc>
      </w:tr>
      <w:tr>
        <w:tc>
          <w:tcPr>
            <w:tcW w:type="dxa" w:w="1080"/>
            <w:vAlign w:val="center"/>
            <w:tcMar>
              <w:top w:w="80" w:type="dxa"/>
              <w:start w:w="90" w:type="dxa"/>
              <w:bottom w:w="80" w:type="dxa"/>
              <w:end w:w="90" w:type="dxa"/>
            </w:tcMar>
          </w:tcPr>
          <w:p>
            <w:pPr>
              <w:spacing w:after="0" w:line="252" w:lineRule="auto"/>
              <w:jc w:val="center"/>
            </w:pPr>
            <w:r/>
            <w:r>
              <w:rPr>
                <w:rFonts w:ascii="Arial" w:hAnsi="Arial"/>
                <w:b w:val="0"/>
                <w:color w:val="222222"/>
                <w:sz w:val="15"/>
              </w:rPr>
              <w:t>TRC-001</w:t>
            </w:r>
          </w:p>
        </w:tc>
        <w:tc>
          <w:tcPr>
            <w:tcW w:type="dxa" w:w="6696"/>
            <w:vAlign w:val="center"/>
            <w:tcMar>
              <w:top w:w="80" w:type="dxa"/>
              <w:start w:w="90" w:type="dxa"/>
              <w:bottom w:w="80" w:type="dxa"/>
              <w:end w:w="90" w:type="dxa"/>
            </w:tcMar>
          </w:tcPr>
          <w:p>
            <w:pPr>
              <w:spacing w:after="0" w:line="252" w:lineRule="auto"/>
              <w:jc w:val="left"/>
            </w:pPr>
            <w:r/>
            <w:r>
              <w:rPr>
                <w:rFonts w:ascii="Arial" w:hAnsi="Arial"/>
                <w:b w:val="0"/>
                <w:color w:val="222222"/>
                <w:sz w:val="15"/>
              </w:rPr>
              <w:t>Every FRD requirement shall have a unique identifier, verification method, status, and evidence reference.</w:t>
            </w:r>
          </w:p>
        </w:tc>
        <w:tc>
          <w:tcPr>
            <w:tcW w:type="dxa" w:w="1080"/>
            <w:vAlign w:val="center"/>
            <w:tcMar>
              <w:top w:w="80" w:type="dxa"/>
              <w:start w:w="90" w:type="dxa"/>
              <w:bottom w:w="80" w:type="dxa"/>
              <w:end w:w="90" w:type="dxa"/>
            </w:tcMar>
          </w:tcPr>
          <w:p>
            <w:pPr>
              <w:spacing w:after="0" w:line="252" w:lineRule="auto"/>
              <w:jc w:val="left"/>
            </w:pPr>
            <w:r/>
            <w:r>
              <w:rPr>
                <w:rFonts w:ascii="Arial" w:hAnsi="Arial"/>
                <w:b w:val="0"/>
                <w:color w:val="222222"/>
                <w:sz w:val="15"/>
              </w:rPr>
              <w:t>I</w:t>
            </w:r>
          </w:p>
        </w:tc>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5"/>
              </w:rPr>
              <w:t>Verified</w:t>
            </w:r>
          </w:p>
        </w:tc>
      </w:tr>
      <w:tr>
        <w:tc>
          <w:tcPr>
            <w:tcW w:type="dxa" w:w="1080"/>
            <w:vAlign w:val="center"/>
            <w:tcMar>
              <w:top w:w="80" w:type="dxa"/>
              <w:start w:w="90" w:type="dxa"/>
              <w:bottom w:w="80" w:type="dxa"/>
              <w:end w:w="90" w:type="dxa"/>
            </w:tcMar>
          </w:tcPr>
          <w:p>
            <w:pPr>
              <w:spacing w:after="0" w:line="252" w:lineRule="auto"/>
              <w:jc w:val="center"/>
            </w:pPr>
            <w:r/>
            <w:r>
              <w:rPr>
                <w:rFonts w:ascii="Arial" w:hAnsi="Arial"/>
                <w:b w:val="0"/>
                <w:color w:val="222222"/>
                <w:sz w:val="15"/>
              </w:rPr>
              <w:t>SEC-001</w:t>
            </w:r>
          </w:p>
        </w:tc>
        <w:tc>
          <w:tcPr>
            <w:tcW w:type="dxa" w:w="6696"/>
            <w:vAlign w:val="center"/>
            <w:tcMar>
              <w:top w:w="80" w:type="dxa"/>
              <w:start w:w="90" w:type="dxa"/>
              <w:bottom w:w="80" w:type="dxa"/>
              <w:end w:w="90" w:type="dxa"/>
            </w:tcMar>
          </w:tcPr>
          <w:p>
            <w:pPr>
              <w:spacing w:after="0" w:line="252" w:lineRule="auto"/>
              <w:jc w:val="left"/>
            </w:pPr>
            <w:r/>
            <w:r>
              <w:rPr>
                <w:rFonts w:ascii="Arial" w:hAnsi="Arial"/>
                <w:b w:val="0"/>
                <w:color w:val="222222"/>
                <w:sz w:val="15"/>
              </w:rPr>
              <w:t>The public release shall contain no credentials, customer data, university-only records, or internal planning notes.</w:t>
            </w:r>
          </w:p>
        </w:tc>
        <w:tc>
          <w:tcPr>
            <w:tcW w:type="dxa" w:w="1080"/>
            <w:vAlign w:val="center"/>
            <w:tcMar>
              <w:top w:w="80" w:type="dxa"/>
              <w:start w:w="90" w:type="dxa"/>
              <w:bottom w:w="80" w:type="dxa"/>
              <w:end w:w="90" w:type="dxa"/>
            </w:tcMar>
          </w:tcPr>
          <w:p>
            <w:pPr>
              <w:spacing w:after="0" w:line="252" w:lineRule="auto"/>
              <w:jc w:val="left"/>
            </w:pPr>
            <w:r/>
            <w:r>
              <w:rPr>
                <w:rFonts w:ascii="Arial" w:hAnsi="Arial"/>
                <w:b w:val="0"/>
                <w:color w:val="222222"/>
                <w:sz w:val="15"/>
              </w:rPr>
              <w:t>I</w:t>
            </w:r>
          </w:p>
        </w:tc>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5"/>
              </w:rPr>
              <w:t>Verified</w:t>
            </w:r>
          </w:p>
        </w:tc>
      </w:tr>
      <w:tr>
        <w:tc>
          <w:tcPr>
            <w:tcW w:type="dxa" w:w="2541"/>
            <w:vAlign w:val="center"/>
          </w:tcPr>
          <w:p>
            <w:r/>
            <w:r>
              <w:rPr>
                <w:b w:val="0"/>
                <w:sz w:val="16"/>
              </w:rPr>
              <w:t>PER-009</w:t>
            </w:r>
          </w:p>
        </w:tc>
        <w:tc>
          <w:tcPr>
            <w:tcW w:type="dxa" w:w="2541"/>
            <w:vAlign w:val="center"/>
          </w:tcPr>
          <w:p>
            <w:r/>
            <w:r>
              <w:rPr>
                <w:b w:val="0"/>
                <w:sz w:val="16"/>
              </w:rPr>
              <w:t>The added ADC pairs shall use PWM-synchronized triggering and explicit end-of-conversion interrupt routing so acquisition remains aligned with target execution.</w:t>
            </w:r>
          </w:p>
        </w:tc>
        <w:tc>
          <w:tcPr>
            <w:tcW w:type="dxa" w:w="2541"/>
            <w:vAlign w:val="center"/>
          </w:tcPr>
          <w:p>
            <w:r/>
            <w:r>
              <w:rPr>
                <w:b w:val="0"/>
                <w:sz w:val="16"/>
              </w:rPr>
              <w:t>I</w:t>
            </w:r>
          </w:p>
        </w:tc>
        <w:tc>
          <w:tcPr>
            <w:tcW w:type="dxa" w:w="2541"/>
            <w:vAlign w:val="center"/>
          </w:tcPr>
          <w:p>
            <w:r/>
            <w:r>
              <w:rPr>
                <w:b w:val="0"/>
                <w:sz w:val="16"/>
              </w:rPr>
              <w:t>Verified</w:t>
            </w:r>
          </w:p>
        </w:tc>
      </w:tr>
    </w:tbl>
    <w:p>
      <w:pPr>
        <w:spacing w:after="0"/>
      </w:pPr>
    </w:p>
    <w:p>
      <w:pPr>
        <w:pStyle w:val="Heading1"/>
      </w:pPr>
      <w:r>
        <w:t>6. Verification Evidence</w:t>
      </w:r>
    </w:p>
    <w:p>
      <w:pPr>
        <w:pStyle w:val="Heading2"/>
      </w:pPr>
      <w:r>
        <w:t>6.1 Electrical and control recovery</w:t>
      </w:r>
    </w:p>
    <w:p>
      <w:r>
        <w:t>The working baseline was established by reconciling the physical bench with the inherited connection documentation. Three-phase order and encoder/QEP assignments were corrected, followed by staged single-machine and dual-machine operation. This evidence supports the interface-mapping and closed-loop-control requirements, but it does not establish production wiring compliance or immunity to incorrect reconnection.</w:t>
      </w:r>
    </w:p>
    <w:p>
      <w:pPr>
        <w:pStyle w:val="Heading2"/>
      </w:pPr>
      <w:r>
        <w:t>6.2 CAN integration evidence</w:t>
      </w:r>
    </w:p>
    <w:p>
      <w:r>
        <w:t>Retained generated-code evidence configures mailbox 0 to receive identifier 0x100 and mailbox 1 to transmit identifier 0x101. The transport packs four 16-bit command values per eight-byte frame. The customer-facing release describes the transport and scaling boundary while while excluding the complete generated-code tree and private target models.</w:t>
      </w:r>
    </w:p>
    <w:p>
      <w:pPr>
        <w:pStyle w:val="Heading2"/>
      </w:pPr>
      <w:r>
        <w:t>6.3 Efficiency-map evidence</w:t>
      </w:r>
    </w:p>
    <w:p>
      <w:pPr>
        <w:keepNext/>
        <w:jc w:val="center"/>
      </w:pPr>
      <w:r>
        <w:drawing>
          <wp:inline xmlns:a="http://schemas.openxmlformats.org/drawingml/2006/main" xmlns:pic="http://schemas.openxmlformats.org/drawingml/2006/picture">
            <wp:extent cx="5715000" cy="4574827"/>
            <wp:docPr id="2" name="Picture 2"/>
            <wp:cNvGraphicFramePr>
              <a:graphicFrameLocks noChangeAspect="1"/>
            </wp:cNvGraphicFramePr>
            <a:graphic>
              <a:graphicData uri="http://schemas.openxmlformats.org/drawingml/2006/picture">
                <pic:pic>
                  <pic:nvPicPr>
                    <pic:cNvPr id="0" name="01_raw_signals.png"/>
                    <pic:cNvPicPr/>
                  </pic:nvPicPr>
                  <pic:blipFill>
                    <a:blip r:embed="rId12"/>
                    <a:stretch>
                      <a:fillRect/>
                    </a:stretch>
                  </pic:blipFill>
                  <pic:spPr>
                    <a:xfrm>
                      <a:off x="0" y="0"/>
                      <a:ext cx="5715000" cy="4574827"/>
                    </a:xfrm>
                    <a:prstGeom prst="rect"/>
                  </pic:spPr>
                </pic:pic>
              </a:graphicData>
            </a:graphic>
          </wp:inline>
        </w:drawing>
      </w:r>
    </w:p>
    <w:p>
      <w:pPr>
        <w:pStyle w:val="Caption"/>
        <w:jc w:val="center"/>
      </w:pPr>
      <w:r>
        <w:t>Figure 2. Raw selected signals before validity screening.</w:t>
      </w:r>
    </w:p>
    <w:p>
      <w:pPr>
        <w:keepNext/>
        <w:jc w:val="center"/>
      </w:pPr>
      <w:r>
        <w:drawing>
          <wp:inline xmlns:a="http://schemas.openxmlformats.org/drawingml/2006/main" xmlns:pic="http://schemas.openxmlformats.org/drawingml/2006/picture">
            <wp:extent cx="5715000" cy="4654534"/>
            <wp:docPr id="3" name="Picture 3"/>
            <wp:cNvGraphicFramePr>
              <a:graphicFrameLocks noChangeAspect="1"/>
            </wp:cNvGraphicFramePr>
            <a:graphic>
              <a:graphicData uri="http://schemas.openxmlformats.org/drawingml/2006/picture">
                <pic:pic>
                  <pic:nvPicPr>
                    <pic:cNvPr id="0" name="03_filter_masks.png"/>
                    <pic:cNvPicPr/>
                  </pic:nvPicPr>
                  <pic:blipFill>
                    <a:blip r:embed="rId13"/>
                    <a:stretch>
                      <a:fillRect/>
                    </a:stretch>
                  </pic:blipFill>
                  <pic:spPr>
                    <a:xfrm>
                      <a:off x="0" y="0"/>
                      <a:ext cx="5715000" cy="4654534"/>
                    </a:xfrm>
                    <a:prstGeom prst="rect"/>
                  </pic:spPr>
                </pic:pic>
              </a:graphicData>
            </a:graphic>
          </wp:inline>
        </w:drawing>
      </w:r>
    </w:p>
    <w:p>
      <w:pPr>
        <w:pStyle w:val="Caption"/>
        <w:jc w:val="center"/>
      </w:pPr>
      <w:r>
        <w:t>Figure 3. Screening masks used to separate valid operating points.</w:t>
      </w:r>
    </w:p>
    <w:p>
      <w:pPr>
        <w:keepNext/>
        <w:jc w:val="center"/>
      </w:pPr>
      <w:r>
        <w:drawing>
          <wp:inline xmlns:a="http://schemas.openxmlformats.org/drawingml/2006/main" xmlns:pic="http://schemas.openxmlformats.org/drawingml/2006/picture">
            <wp:extent cx="5715000" cy="4445000"/>
            <wp:docPr id="4" name="Picture 4"/>
            <wp:cNvGraphicFramePr>
              <a:graphicFrameLocks noChangeAspect="1"/>
            </wp:cNvGraphicFramePr>
            <a:graphic>
              <a:graphicData uri="http://schemas.openxmlformats.org/drawingml/2006/picture">
                <pic:pic>
                  <pic:nvPicPr>
                    <pic:cNvPr id="0" name="05_measured_efficiency_map.png"/>
                    <pic:cNvPicPr/>
                  </pic:nvPicPr>
                  <pic:blipFill>
                    <a:blip r:embed="rId14"/>
                    <a:stretch>
                      <a:fillRect/>
                    </a:stretch>
                  </pic:blipFill>
                  <pic:spPr>
                    <a:xfrm>
                      <a:off x="0" y="0"/>
                      <a:ext cx="5715000" cy="4445000"/>
                    </a:xfrm>
                    <a:prstGeom prst="rect"/>
                  </pic:spPr>
                </pic:pic>
              </a:graphicData>
            </a:graphic>
          </wp:inline>
        </w:drawing>
      </w:r>
    </w:p>
    <w:p>
      <w:pPr>
        <w:pStyle w:val="Caption"/>
        <w:jc w:val="center"/>
      </w:pPr>
      <w:r>
        <w:t>Figure 4. Measured-bin efficiency map; measured evidence is kept separate from interpolation.</w:t>
      </w:r>
    </w:p>
    <w:p>
      <w:pPr>
        <w:keepNext/>
        <w:jc w:val="center"/>
      </w:pPr>
      <w:r>
        <w:drawing>
          <wp:inline xmlns:a="http://schemas.openxmlformats.org/drawingml/2006/main" xmlns:pic="http://schemas.openxmlformats.org/drawingml/2006/picture">
            <wp:extent cx="5715000" cy="4493541"/>
            <wp:docPr id="5" name="Picture 5"/>
            <wp:cNvGraphicFramePr>
              <a:graphicFrameLocks noChangeAspect="1"/>
            </wp:cNvGraphicFramePr>
            <a:graphic>
              <a:graphicData uri="http://schemas.openxmlformats.org/drawingml/2006/picture">
                <pic:pic>
                  <pic:nvPicPr>
                    <pic:cNvPr id="0" name="06_sample_count_map.png"/>
                    <pic:cNvPicPr/>
                  </pic:nvPicPr>
                  <pic:blipFill>
                    <a:blip r:embed="rId15"/>
                    <a:stretch>
                      <a:fillRect/>
                    </a:stretch>
                  </pic:blipFill>
                  <pic:spPr>
                    <a:xfrm>
                      <a:off x="0" y="0"/>
                      <a:ext cx="5715000" cy="4493541"/>
                    </a:xfrm>
                    <a:prstGeom prst="rect"/>
                  </pic:spPr>
                </pic:pic>
              </a:graphicData>
            </a:graphic>
          </wp:inline>
        </w:drawing>
      </w:r>
    </w:p>
    <w:p>
      <w:pPr>
        <w:pStyle w:val="Caption"/>
        <w:jc w:val="center"/>
      </w:pPr>
      <w:r>
        <w:t>Figure 5. Sample count per operating bin for evidence density review.</w:t>
      </w:r>
    </w:p>
    <w:p>
      <w:pPr>
        <w:keepNext/>
        <w:jc w:val="center"/>
      </w:pPr>
      <w:r>
        <w:drawing>
          <wp:inline xmlns:a="http://schemas.openxmlformats.org/drawingml/2006/main" xmlns:pic="http://schemas.openxmlformats.org/drawingml/2006/picture">
            <wp:extent cx="5715000" cy="4445000"/>
            <wp:docPr id="6" name="Picture 6"/>
            <wp:cNvGraphicFramePr>
              <a:graphicFrameLocks noChangeAspect="1"/>
            </wp:cNvGraphicFramePr>
            <a:graphic>
              <a:graphicData uri="http://schemas.openxmlformats.org/drawingml/2006/picture">
                <pic:pic>
                  <pic:nvPicPr>
                    <pic:cNvPr id="0" name="07_interpolated_efficiency_map.png"/>
                    <pic:cNvPicPr/>
                  </pic:nvPicPr>
                  <pic:blipFill>
                    <a:blip r:embed="rId16"/>
                    <a:stretch>
                      <a:fillRect/>
                    </a:stretch>
                  </pic:blipFill>
                  <pic:spPr>
                    <a:xfrm>
                      <a:off x="0" y="0"/>
                      <a:ext cx="5715000" cy="4445000"/>
                    </a:xfrm>
                    <a:prstGeom prst="rect"/>
                  </pic:spPr>
                </pic:pic>
              </a:graphicData>
            </a:graphic>
          </wp:inline>
        </w:drawing>
      </w:r>
    </w:p>
    <w:p>
      <w:pPr>
        <w:pStyle w:val="Caption"/>
        <w:jc w:val="center"/>
      </w:pPr>
      <w:r>
        <w:t>Figure 6. Interpolated efficiency surface for visualization only.</w:t>
      </w:r>
    </w:p>
    <w:p>
      <w:pPr>
        <w:pStyle w:val="Heading1"/>
      </w:pPr>
      <w:r>
        <w:t>7. Requirements Verification Matrix</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541"/>
        <w:gridCol w:w="2541"/>
        <w:gridCol w:w="2541"/>
        <w:gridCol w:w="2541"/>
      </w:tblGrid>
      <w:tr>
        <w:trPr>
          <w:tblHeader w:val="true"/>
        </w:trPr>
        <w:tc>
          <w:tcPr>
            <w:tcW w:type="dxa" w:w="129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4"/>
              </w:rPr>
              <w:t>Requirement</w:t>
            </w:r>
          </w:p>
        </w:tc>
        <w:tc>
          <w:tcPr>
            <w:tcW w:type="dxa" w:w="1152"/>
            <w:vAlign w:val="center"/>
            <w:tcMar>
              <w:top w:w="80" w:type="dxa"/>
              <w:start w:w="90" w:type="dxa"/>
              <w:bottom w:w="80" w:type="dxa"/>
              <w:end w:w="90" w:type="dxa"/>
            </w:tcMar>
            <w:shd w:fill="CC0000"/>
          </w:tcPr>
          <w:p>
            <w:pPr>
              <w:spacing w:after="0" w:line="252" w:lineRule="auto"/>
              <w:jc w:val="center"/>
            </w:pPr>
            <w:r/>
            <w:r>
              <w:rPr>
                <w:rFonts w:ascii="Arial" w:hAnsi="Arial"/>
                <w:b/>
                <w:color w:val="FFFFFF"/>
                <w:sz w:val="14"/>
              </w:rPr>
              <w:t>Method</w:t>
            </w:r>
          </w:p>
        </w:tc>
        <w:tc>
          <w:tcPr>
            <w:tcW w:type="dxa" w:w="144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4"/>
              </w:rPr>
              <w:t>Result</w:t>
            </w:r>
          </w:p>
        </w:tc>
        <w:tc>
          <w:tcPr>
            <w:tcW w:type="dxa" w:w="6048"/>
            <w:vAlign w:val="center"/>
            <w:tcMar>
              <w:top w:w="80" w:type="dxa"/>
              <w:start w:w="90" w:type="dxa"/>
              <w:bottom w:w="80" w:type="dxa"/>
              <w:end w:w="90" w:type="dxa"/>
            </w:tcMar>
            <w:shd w:fill="CC0000"/>
          </w:tcPr>
          <w:p>
            <w:pPr>
              <w:spacing w:after="0" w:line="252" w:lineRule="auto"/>
              <w:jc w:val="center"/>
            </w:pPr>
            <w:r/>
            <w:r>
              <w:rPr>
                <w:rFonts w:ascii="Arial" w:hAnsi="Arial"/>
                <w:b/>
                <w:color w:val="FFFFFF"/>
                <w:sz w:val="14"/>
              </w:rPr>
              <w:t>Objective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SYS-001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D/T</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Operational dual-motor bench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SYS-002</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I/T</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Corrected phase and QEP assignments.</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CTL-001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Target FOC/PWM/ADC/QEP architecture.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CTL-002</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T</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Successful speed-command tests and efficiency-map runs.</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CTL-003</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T</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Fixed-dwell and drive-cycle load profiles.</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CTL-004</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Retained host/target model behavior and command routing.</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COM-001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Generated target code mailbox configuration.</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COM-002</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Generated target code mailbox configuration.</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COM-003</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Byte pack/unpack and host command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COM-004</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Interface summary and FRD architecture.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DAQ-001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Interpolation and crop logic in processing source.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DAQ-002</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Validity masks and filtering plots.</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DAQ-003</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A</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Sample-count map.</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CHR-001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Processing edges and published figures.</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CHR-002</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Processing script and report method.</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CHR-003</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Processing script and report method.</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CHR-004</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Separate measured and interpolated maps.</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DRV-001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Public drive-cycle setup script.</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SAF-001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NOTICE and report limitations.</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REL-001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Final package inspection.</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PER-001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Repository or processing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PER-002</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Repository or processing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PER-003</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Repository or processing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TIM-001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D</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Repository or processing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USA-001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Repository or processing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MAI-001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Repository or processing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TRC-001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Repository or processing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SEC-001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Repository or processing evidence.</w:t>
            </w:r>
          </w:p>
        </w:tc>
      </w:tr>
      <w:tr>
        <w:tc>
          <w:tcPr>
            <w:tcW w:type="dxa" w:w="2541"/>
            <w:vAlign w:val="center"/>
          </w:tcPr>
          <w:p>
            <w:r/>
            <w:r>
              <w:rPr>
                <w:b w:val="0"/>
                <w:sz w:val="16"/>
              </w:rPr>
              <w:t>SYS-021</w:t>
            </w:r>
          </w:p>
        </w:tc>
        <w:tc>
          <w:tcPr>
            <w:tcW w:type="dxa" w:w="2541"/>
            <w:vAlign w:val="center"/>
          </w:tcPr>
          <w:p>
            <w:r/>
            <w:r>
              <w:rPr>
                <w:b w:val="0"/>
                <w:sz w:val="16"/>
              </w:rPr>
              <w:t>I/T</w:t>
            </w:r>
          </w:p>
        </w:tc>
        <w:tc>
          <w:tcPr>
            <w:tcW w:type="dxa" w:w="2541"/>
            <w:vAlign w:val="center"/>
          </w:tcPr>
          <w:p>
            <w:r/>
            <w:r>
              <w:rPr>
                <w:b w:val="0"/>
                <w:sz w:val="16"/>
              </w:rPr>
              <w:t>Verified</w:t>
            </w:r>
          </w:p>
        </w:tc>
        <w:tc>
          <w:tcPr>
            <w:tcW w:type="dxa" w:w="2541"/>
            <w:vAlign w:val="center"/>
          </w:tcPr>
          <w:p>
            <w:r/>
            <w:r>
              <w:rPr>
                <w:b w:val="0"/>
                <w:sz w:val="16"/>
              </w:rPr>
              <w:t>Custom source configures SOC12/13 for ADCINA2/B2 with ADCINT5 and SOC14/15 for ADCINA1/B1 with ADCINT9.</w:t>
            </w:r>
          </w:p>
        </w:tc>
      </w:tr>
      <w:tr>
        <w:tc>
          <w:tcPr>
            <w:tcW w:type="dxa" w:w="2541"/>
            <w:vAlign w:val="center"/>
          </w:tcPr>
          <w:p>
            <w:r/>
            <w:r>
              <w:rPr>
                <w:b w:val="0"/>
                <w:sz w:val="16"/>
              </w:rPr>
              <w:t>PER-009</w:t>
            </w:r>
          </w:p>
        </w:tc>
        <w:tc>
          <w:tcPr>
            <w:tcW w:type="dxa" w:w="2541"/>
            <w:vAlign w:val="center"/>
          </w:tcPr>
          <w:p>
            <w:r/>
            <w:r>
              <w:rPr>
                <w:b w:val="0"/>
                <w:sz w:val="16"/>
              </w:rPr>
              <w:t>I</w:t>
            </w:r>
          </w:p>
        </w:tc>
        <w:tc>
          <w:tcPr>
            <w:tcW w:type="dxa" w:w="2541"/>
            <w:vAlign w:val="center"/>
          </w:tcPr>
          <w:p>
            <w:r/>
            <w:r>
              <w:rPr>
                <w:b w:val="0"/>
                <w:sz w:val="16"/>
              </w:rPr>
              <w:t>Verified</w:t>
            </w:r>
          </w:p>
        </w:tc>
        <w:tc>
          <w:tcPr>
            <w:tcW w:type="dxa" w:w="2541"/>
            <w:vAlign w:val="center"/>
          </w:tcPr>
          <w:p>
            <w:r/>
            <w:r>
              <w:rPr>
                <w:b w:val="0"/>
                <w:sz w:val="16"/>
              </w:rPr>
              <w:t>Both added pairs use ePWM1 trigger selection, simultaneous sampling, and a seven-clock acquisition window.</w:t>
            </w:r>
          </w:p>
        </w:tc>
      </w:tr>
    </w:tbl>
    <w:p>
      <w:pPr>
        <w:spacing w:after="0"/>
      </w:pPr>
    </w:p>
    <w:p>
      <w:pPr>
        <w:pStyle w:val="Heading1"/>
      </w:pPr>
      <w:r>
        <w:t>8. Validation Against Intended Use</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389"/>
        <w:gridCol w:w="3389"/>
        <w:gridCol w:w="3389"/>
      </w:tblGrid>
      <w:tr>
        <w:trPr>
          <w:tblHeader w:val="true"/>
        </w:trPr>
        <w:tc>
          <w:tcPr>
            <w:tcW w:type="dxa" w:w="2232"/>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Intended use</w:t>
            </w:r>
          </w:p>
        </w:tc>
        <w:tc>
          <w:tcPr>
            <w:tcW w:type="dxa" w:w="612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Validation statement</w:t>
            </w:r>
          </w:p>
        </w:tc>
        <w:tc>
          <w:tcPr>
            <w:tcW w:type="dxa" w:w="144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Result</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5"/>
              </w:rPr>
              <w:t>Embedded motor-control bring-up</w:t>
            </w:r>
          </w:p>
        </w:tc>
        <w:tc>
          <w:tcPr>
            <w:tcW w:type="dxa" w:w="6120"/>
            <w:vAlign w:val="center"/>
            <w:tcMar>
              <w:top w:w="80" w:type="dxa"/>
              <w:start w:w="90" w:type="dxa"/>
              <w:bottom w:w="80" w:type="dxa"/>
              <w:end w:w="90" w:type="dxa"/>
            </w:tcMar>
          </w:tcPr>
          <w:p>
            <w:pPr>
              <w:spacing w:after="0" w:line="252" w:lineRule="auto"/>
              <w:jc w:val="left"/>
            </w:pPr>
            <w:r/>
            <w:r>
              <w:rPr>
                <w:rFonts w:ascii="Arial" w:hAnsi="Arial"/>
                <w:b w:val="0"/>
                <w:color w:val="222222"/>
                <w:sz w:val="15"/>
              </w:rPr>
              <w:t>The platform demonstrates correction of physical interfaces and restoration of dual-machine operation.</w:t>
            </w:r>
          </w:p>
        </w:tc>
        <w:tc>
          <w:tcPr>
            <w:tcW w:type="dxa" w:w="1440"/>
            <w:vAlign w:val="center"/>
            <w:tcMar>
              <w:top w:w="80" w:type="dxa"/>
              <w:start w:w="90" w:type="dxa"/>
              <w:bottom w:w="80" w:type="dxa"/>
              <w:end w:w="90" w:type="dxa"/>
            </w:tcMar>
          </w:tcPr>
          <w:p>
            <w:pPr>
              <w:spacing w:after="0" w:line="252" w:lineRule="auto"/>
              <w:jc w:val="center"/>
            </w:pPr>
            <w:r/>
            <w:r>
              <w:rPr>
                <w:rFonts w:ascii="Arial" w:hAnsi="Arial"/>
                <w:b w:val="0"/>
                <w:color w:val="222222"/>
                <w:sz w:val="15"/>
              </w:rPr>
              <w:t>Demonstrated</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5"/>
              </w:rPr>
              <w:t>Real-time host integration</w:t>
            </w:r>
          </w:p>
        </w:tc>
        <w:tc>
          <w:tcPr>
            <w:tcW w:type="dxa" w:w="6120"/>
            <w:vAlign w:val="center"/>
            <w:tcMar>
              <w:top w:w="80" w:type="dxa"/>
              <w:start w:w="90" w:type="dxa"/>
              <w:bottom w:w="80" w:type="dxa"/>
              <w:end w:w="90" w:type="dxa"/>
            </w:tcMar>
          </w:tcPr>
          <w:p>
            <w:pPr>
              <w:spacing w:after="0" w:line="252" w:lineRule="auto"/>
              <w:jc w:val="left"/>
            </w:pPr>
            <w:r/>
            <w:r>
              <w:rPr>
                <w:rFonts w:ascii="Arial" w:hAnsi="Arial"/>
                <w:b w:val="0"/>
                <w:color w:val="222222"/>
                <w:sz w:val="15"/>
              </w:rPr>
              <w:t>The platform demonstrates command/response transport between a real-time host and C2000 target over CAN.</w:t>
            </w:r>
          </w:p>
        </w:tc>
        <w:tc>
          <w:tcPr>
            <w:tcW w:type="dxa" w:w="1440"/>
            <w:vAlign w:val="center"/>
            <w:tcMar>
              <w:top w:w="80" w:type="dxa"/>
              <w:start w:w="90" w:type="dxa"/>
              <w:bottom w:w="80" w:type="dxa"/>
              <w:end w:w="90" w:type="dxa"/>
            </w:tcMar>
          </w:tcPr>
          <w:p>
            <w:pPr>
              <w:spacing w:after="0" w:line="252" w:lineRule="auto"/>
              <w:jc w:val="center"/>
            </w:pPr>
            <w:r/>
            <w:r>
              <w:rPr>
                <w:rFonts w:ascii="Arial" w:hAnsi="Arial"/>
                <w:b w:val="0"/>
                <w:color w:val="222222"/>
                <w:sz w:val="15"/>
              </w:rPr>
              <w:t>Demonstrated</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5"/>
              </w:rPr>
              <w:t>Dynamometer characterization</w:t>
            </w:r>
          </w:p>
        </w:tc>
        <w:tc>
          <w:tcPr>
            <w:tcW w:type="dxa" w:w="6120"/>
            <w:vAlign w:val="center"/>
            <w:tcMar>
              <w:top w:w="80" w:type="dxa"/>
              <w:start w:w="90" w:type="dxa"/>
              <w:bottom w:w="80" w:type="dxa"/>
              <w:end w:w="90" w:type="dxa"/>
            </w:tcMar>
          </w:tcPr>
          <w:p>
            <w:pPr>
              <w:spacing w:after="0" w:line="252" w:lineRule="auto"/>
              <w:jc w:val="left"/>
            </w:pPr>
            <w:r/>
            <w:r>
              <w:rPr>
                <w:rFonts w:ascii="Arial" w:hAnsi="Arial"/>
                <w:b w:val="0"/>
                <w:color w:val="222222"/>
                <w:sz w:val="15"/>
              </w:rPr>
              <w:t>The platform demonstrates repeatable command generation, data screening, measured-bin mapping, and evidence-density review.</w:t>
            </w:r>
          </w:p>
        </w:tc>
        <w:tc>
          <w:tcPr>
            <w:tcW w:type="dxa" w:w="1440"/>
            <w:vAlign w:val="center"/>
            <w:tcMar>
              <w:top w:w="80" w:type="dxa"/>
              <w:start w:w="90" w:type="dxa"/>
              <w:bottom w:w="80" w:type="dxa"/>
              <w:end w:w="90" w:type="dxa"/>
            </w:tcMar>
          </w:tcPr>
          <w:p>
            <w:pPr>
              <w:spacing w:after="0" w:line="252" w:lineRule="auto"/>
              <w:jc w:val="center"/>
            </w:pPr>
            <w:r/>
            <w:r>
              <w:rPr>
                <w:rFonts w:ascii="Arial" w:hAnsi="Arial"/>
                <w:b w:val="0"/>
                <w:color w:val="222222"/>
                <w:sz w:val="15"/>
              </w:rPr>
              <w:t>Demonstrated</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5"/>
              </w:rPr>
              <w:t>Production motor-drive qualification</w:t>
            </w:r>
          </w:p>
        </w:tc>
        <w:tc>
          <w:tcPr>
            <w:tcW w:type="dxa" w:w="6120"/>
            <w:vAlign w:val="center"/>
            <w:tcMar>
              <w:top w:w="80" w:type="dxa"/>
              <w:start w:w="90" w:type="dxa"/>
              <w:bottom w:w="80" w:type="dxa"/>
              <w:end w:w="90" w:type="dxa"/>
            </w:tcMar>
          </w:tcPr>
          <w:p>
            <w:pPr>
              <w:spacing w:after="0" w:line="252" w:lineRule="auto"/>
              <w:jc w:val="left"/>
            </w:pPr>
            <w:r/>
            <w:r>
              <w:rPr>
                <w:rFonts w:ascii="Arial" w:hAnsi="Arial"/>
                <w:b w:val="0"/>
                <w:color w:val="222222"/>
                <w:sz w:val="15"/>
              </w:rPr>
              <w:t>The public evidence does not include EMC, environmental, functional-safety, endurance, or production acceptance testing.</w:t>
            </w:r>
          </w:p>
        </w:tc>
        <w:tc>
          <w:tcPr>
            <w:tcW w:type="dxa" w:w="1440"/>
            <w:vAlign w:val="center"/>
            <w:tcMar>
              <w:top w:w="80" w:type="dxa"/>
              <w:start w:w="90" w:type="dxa"/>
              <w:bottom w:w="80" w:type="dxa"/>
              <w:end w:w="90" w:type="dxa"/>
            </w:tcMar>
          </w:tcPr>
          <w:p>
            <w:pPr>
              <w:spacing w:after="0" w:line="252" w:lineRule="auto"/>
              <w:jc w:val="center"/>
            </w:pPr>
            <w:r/>
            <w:r>
              <w:rPr>
                <w:rFonts w:ascii="Arial" w:hAnsi="Arial"/>
                <w:b w:val="0"/>
                <w:color w:val="222222"/>
                <w:sz w:val="15"/>
              </w:rPr>
              <w:t>Not claimed</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5"/>
              </w:rPr>
              <w:t>Calibrated metrology system</w:t>
            </w:r>
          </w:p>
        </w:tc>
        <w:tc>
          <w:tcPr>
            <w:tcW w:type="dxa" w:w="6120"/>
            <w:vAlign w:val="center"/>
            <w:tcMar>
              <w:top w:w="80" w:type="dxa"/>
              <w:start w:w="90" w:type="dxa"/>
              <w:bottom w:w="80" w:type="dxa"/>
              <w:end w:w="90" w:type="dxa"/>
            </w:tcMar>
          </w:tcPr>
          <w:p>
            <w:pPr>
              <w:spacing w:after="0" w:line="252" w:lineRule="auto"/>
              <w:jc w:val="left"/>
            </w:pPr>
            <w:r/>
            <w:r>
              <w:rPr>
                <w:rFonts w:ascii="Arial" w:hAnsi="Arial"/>
                <w:b w:val="0"/>
                <w:color w:val="222222"/>
                <w:sz w:val="15"/>
              </w:rPr>
              <w:t>The release does not provide a complete uncertainty budget or traceable calibration chain.</w:t>
            </w:r>
          </w:p>
        </w:tc>
        <w:tc>
          <w:tcPr>
            <w:tcW w:type="dxa" w:w="1440"/>
            <w:vAlign w:val="center"/>
            <w:tcMar>
              <w:top w:w="80" w:type="dxa"/>
              <w:start w:w="90" w:type="dxa"/>
              <w:bottom w:w="80" w:type="dxa"/>
              <w:end w:w="90" w:type="dxa"/>
            </w:tcMar>
          </w:tcPr>
          <w:p>
            <w:pPr>
              <w:spacing w:after="0" w:line="252" w:lineRule="auto"/>
              <w:jc w:val="center"/>
            </w:pPr>
            <w:r/>
            <w:r>
              <w:rPr>
                <w:rFonts w:ascii="Arial" w:hAnsi="Arial"/>
                <w:b w:val="0"/>
                <w:color w:val="222222"/>
                <w:sz w:val="15"/>
              </w:rPr>
              <w:t>Not claimed</w:t>
            </w:r>
          </w:p>
        </w:tc>
      </w:tr>
    </w:tbl>
    <w:p>
      <w:pPr>
        <w:spacing w:after="0"/>
      </w:pPr>
    </w:p>
    <w:p>
      <w:pPr>
        <w:pStyle w:val="Heading1"/>
      </w:pPr>
      <w:r>
        <w:t>9. Limitations, Risks, and Open Items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5083"/>
        <w:gridCol w:w="5083"/>
      </w:tblGrid>
      <w:tr>
        <w:trPr>
          <w:tblHeader w:val="true"/>
        </w:trPr>
        <w:tc>
          <w:tcPr>
            <w:tcW w:type="dxa" w:w="201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Item</w:t>
            </w:r>
          </w:p>
        </w:tc>
        <w:tc>
          <w:tcPr>
            <w:tcW w:type="dxa" w:w="756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Controlled statement</w:t>
            </w:r>
          </w:p>
        </w:tc>
      </w:tr>
      <w:tr>
        <w:tc>
          <w:tcPr>
            <w:tcW w:type="dxa" w:w="2016"/>
            <w:vAlign w:val="center"/>
            <w:tcMar>
              <w:top w:w="80" w:type="dxa"/>
              <w:start w:w="90" w:type="dxa"/>
              <w:bottom w:w="80" w:type="dxa"/>
              <w:end w:w="90" w:type="dxa"/>
            </w:tcMar>
          </w:tcPr>
          <w:p>
            <w:pPr>
              <w:spacing w:after="0" w:line="252" w:lineRule="auto"/>
              <w:jc w:val="center"/>
            </w:pPr>
            <w:r/>
            <w:r>
              <w:rPr>
                <w:rFonts w:ascii="Arial" w:hAnsi="Arial"/>
                <w:b w:val="0"/>
                <w:color w:val="222222"/>
                <w:sz w:val="16"/>
              </w:rPr>
              <w:t>Safety</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6"/>
              </w:rPr>
              <w:t>No independent safety controller, certified stop chain, or functional-safety assessment is claimed in this release.</w:t>
            </w:r>
          </w:p>
        </w:tc>
      </w:tr>
      <w:tr>
        <w:tc>
          <w:tcPr>
            <w:tcW w:type="dxa" w:w="2016"/>
            <w:vAlign w:val="center"/>
            <w:tcMar>
              <w:top w:w="80" w:type="dxa"/>
              <w:start w:w="90" w:type="dxa"/>
              <w:bottom w:w="80" w:type="dxa"/>
              <w:end w:w="90" w:type="dxa"/>
            </w:tcMar>
          </w:tcPr>
          <w:p>
            <w:pPr>
              <w:spacing w:after="0" w:line="252" w:lineRule="auto"/>
              <w:jc w:val="center"/>
            </w:pPr>
            <w:r/>
            <w:r>
              <w:rPr>
                <w:rFonts w:ascii="Arial" w:hAnsi="Arial"/>
                <w:b w:val="0"/>
                <w:color w:val="222222"/>
                <w:sz w:val="16"/>
              </w:rPr>
              <w:t>Measurement uncertainty</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6"/>
              </w:rPr>
              <w:t>Efficiency results are engineering characterization outputs; a full sensor, torque, timing, and interpolation uncertainty budget is not included.</w:t>
            </w:r>
          </w:p>
        </w:tc>
      </w:tr>
      <w:tr>
        <w:tc>
          <w:tcPr>
            <w:tcW w:type="dxa" w:w="2016"/>
            <w:vAlign w:val="center"/>
            <w:tcMar>
              <w:top w:w="80" w:type="dxa"/>
              <w:start w:w="90" w:type="dxa"/>
              <w:bottom w:w="80" w:type="dxa"/>
              <w:end w:w="90" w:type="dxa"/>
            </w:tcMar>
          </w:tcPr>
          <w:p>
            <w:pPr>
              <w:spacing w:after="0" w:line="252" w:lineRule="auto"/>
              <w:jc w:val="center"/>
            </w:pPr>
            <w:r/>
            <w:r>
              <w:rPr>
                <w:rFonts w:ascii="Arial" w:hAnsi="Arial"/>
                <w:b w:val="0"/>
                <w:color w:val="222222"/>
                <w:sz w:val="16"/>
              </w:rPr>
              <w:t>CAN robustness</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6"/>
              </w:rPr>
              <w:t>The public evidence establishes frame transport, not exhaustive bus-load, fault-injection, timeout, or recovery qualification.</w:t>
            </w:r>
          </w:p>
        </w:tc>
      </w:tr>
      <w:tr>
        <w:tc>
          <w:tcPr>
            <w:tcW w:type="dxa" w:w="2016"/>
            <w:vAlign w:val="center"/>
            <w:tcMar>
              <w:top w:w="80" w:type="dxa"/>
              <w:start w:w="90" w:type="dxa"/>
              <w:bottom w:w="80" w:type="dxa"/>
              <w:end w:w="90" w:type="dxa"/>
            </w:tcMar>
          </w:tcPr>
          <w:p>
            <w:pPr>
              <w:spacing w:after="0" w:line="252" w:lineRule="auto"/>
              <w:jc w:val="center"/>
            </w:pPr>
            <w:r/>
            <w:r>
              <w:rPr>
                <w:rFonts w:ascii="Arial" w:hAnsi="Arial"/>
                <w:b w:val="0"/>
                <w:color w:val="222222"/>
                <w:sz w:val="16"/>
              </w:rPr>
              <w:t>Operating envelope</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6"/>
              </w:rPr>
              <w:t>The analysis grid extends to 4000 rpm and 0.25 N m; this is not a universal continuous-duty rating for every hardware configuration.</w:t>
            </w:r>
          </w:p>
        </w:tc>
      </w:tr>
      <w:tr>
        <w:tc>
          <w:tcPr>
            <w:tcW w:type="dxa" w:w="2016"/>
            <w:vAlign w:val="center"/>
            <w:tcMar>
              <w:top w:w="80" w:type="dxa"/>
              <w:start w:w="90" w:type="dxa"/>
              <w:bottom w:w="80" w:type="dxa"/>
              <w:end w:w="90" w:type="dxa"/>
            </w:tcMar>
          </w:tcPr>
          <w:p>
            <w:pPr>
              <w:spacing w:after="0" w:line="252" w:lineRule="auto"/>
              <w:jc w:val="center"/>
            </w:pPr>
            <w:r/>
            <w:r>
              <w:rPr>
                <w:rFonts w:ascii="Arial" w:hAnsi="Arial"/>
                <w:b w:val="0"/>
                <w:color w:val="222222"/>
                <w:sz w:val="16"/>
              </w:rPr>
              <w:t>Drive cycle</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6"/>
              </w:rPr>
              <w:t>The compressed FTP-style profile is a bench demonstration and is not a regulatory vehicle-emissions test.</w:t>
            </w:r>
          </w:p>
        </w:tc>
      </w:tr>
      <w:tr>
        <w:tc>
          <w:tcPr>
            <w:tcW w:type="dxa" w:w="2016"/>
            <w:vAlign w:val="center"/>
            <w:tcMar>
              <w:top w:w="80" w:type="dxa"/>
              <w:start w:w="90" w:type="dxa"/>
              <w:bottom w:w="80" w:type="dxa"/>
              <w:end w:w="90" w:type="dxa"/>
            </w:tcMar>
          </w:tcPr>
          <w:p>
            <w:pPr>
              <w:spacing w:after="0" w:line="252" w:lineRule="auto"/>
              <w:jc w:val="center"/>
            </w:pPr>
            <w:r/>
            <w:r>
              <w:rPr>
                <w:rFonts w:ascii="Arial" w:hAnsi="Arial"/>
                <w:b w:val="0"/>
                <w:color w:val="222222"/>
                <w:sz w:val="16"/>
              </w:rPr>
              <w:t>Third-party documentation</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6"/>
              </w:rPr>
              <w:t>Vendor schematics are references and do not grant manufacturing or redistribution rights beyond their original terms.</w:t>
            </w:r>
          </w:p>
        </w:tc>
      </w:tr>
    </w:tbl>
    <w:p>
      <w:pPr>
        <w:spacing w:after="0"/>
      </w:pPr>
    </w:p>
    <w:p>
      <w:pPr>
        <w:pStyle w:val="Heading1"/>
      </w:pPr>
      <w:r>
        <w:t>10. Public/Private Release Boundary</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5083"/>
        <w:gridCol w:w="5083"/>
      </w:tblGrid>
      <w:tr>
        <w:trPr>
          <w:tblHeader w:val="true"/>
        </w:trPr>
        <w:tc>
          <w:tcPr>
            <w:tcW w:type="dxa" w:w="468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Public evidence</w:t>
            </w:r>
          </w:p>
        </w:tc>
        <w:tc>
          <w:tcPr>
            <w:tcW w:type="dxa" w:w="489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Controlled or excluded</w:t>
            </w:r>
          </w:p>
        </w:tc>
      </w:tr>
      <w:tr>
        <w:tc>
          <w:tcPr>
            <w:tcW w:type="dxa" w:w="4680"/>
            <w:vAlign w:val="center"/>
            <w:tcMar>
              <w:top w:w="80" w:type="dxa"/>
              <w:start w:w="90" w:type="dxa"/>
              <w:bottom w:w="80" w:type="dxa"/>
              <w:end w:w="90" w:type="dxa"/>
            </w:tcMar>
          </w:tcPr>
          <w:p>
            <w:pPr>
              <w:spacing w:after="0" w:line="252" w:lineRule="auto"/>
              <w:jc w:val="center"/>
            </w:pPr>
            <w:r/>
            <w:r>
              <w:rPr>
                <w:rFonts w:ascii="Arial" w:hAnsi="Arial"/>
                <w:b w:val="0"/>
                <w:color w:val="222222"/>
                <w:sz w:val="16"/>
              </w:rPr>
              <w:t>Architecture and requirement descriptions</w:t>
            </w:r>
          </w:p>
        </w:tc>
        <w:tc>
          <w:tcPr>
            <w:tcW w:type="dxa" w:w="4896"/>
            <w:vAlign w:val="center"/>
            <w:tcMar>
              <w:top w:w="80" w:type="dxa"/>
              <w:start w:w="90" w:type="dxa"/>
              <w:bottom w:w="80" w:type="dxa"/>
              <w:end w:w="90" w:type="dxa"/>
            </w:tcMar>
          </w:tcPr>
          <w:p>
            <w:pPr>
              <w:spacing w:after="0" w:line="252" w:lineRule="auto"/>
              <w:jc w:val="center"/>
            </w:pPr>
            <w:r/>
            <w:r>
              <w:rPr>
                <w:rFonts w:ascii="Arial" w:hAnsi="Arial"/>
                <w:b w:val="0"/>
                <w:color w:val="222222"/>
                <w:sz w:val="16"/>
              </w:rPr>
              <w:t>Complete target and host models</w:t>
            </w:r>
          </w:p>
        </w:tc>
      </w:tr>
      <w:tr>
        <w:tc>
          <w:tcPr>
            <w:tcW w:type="dxa" w:w="4680"/>
            <w:vAlign w:val="center"/>
            <w:tcMar>
              <w:top w:w="80" w:type="dxa"/>
              <w:start w:w="90" w:type="dxa"/>
              <w:bottom w:w="80" w:type="dxa"/>
              <w:end w:w="90" w:type="dxa"/>
            </w:tcMar>
          </w:tcPr>
          <w:p>
            <w:pPr>
              <w:spacing w:after="0" w:line="252" w:lineRule="auto"/>
              <w:jc w:val="center"/>
            </w:pPr>
            <w:r/>
            <w:r>
              <w:rPr>
                <w:rFonts w:ascii="Arial" w:hAnsi="Arial"/>
                <w:b w:val="0"/>
                <w:color w:val="222222"/>
                <w:sz w:val="16"/>
              </w:rPr>
              <w:t>Selected MATLAB setup/processing utilities</w:t>
            </w:r>
          </w:p>
        </w:tc>
        <w:tc>
          <w:tcPr>
            <w:tcW w:type="dxa" w:w="4896"/>
            <w:vAlign w:val="center"/>
            <w:tcMar>
              <w:top w:w="80" w:type="dxa"/>
              <w:start w:w="90" w:type="dxa"/>
              <w:bottom w:w="80" w:type="dxa"/>
              <w:end w:w="90" w:type="dxa"/>
            </w:tcMar>
          </w:tcPr>
          <w:p>
            <w:pPr>
              <w:spacing w:after="0" w:line="252" w:lineRule="auto"/>
              <w:jc w:val="center"/>
            </w:pPr>
            <w:r/>
            <w:r>
              <w:rPr>
                <w:rFonts w:ascii="Arial" w:hAnsi="Arial"/>
                <w:b w:val="0"/>
                <w:color w:val="222222"/>
                <w:sz w:val="16"/>
              </w:rPr>
              <w:t>Generated C/C++ trees and binaries</w:t>
            </w:r>
          </w:p>
        </w:tc>
      </w:tr>
      <w:tr>
        <w:tc>
          <w:tcPr>
            <w:tcW w:type="dxa" w:w="4680"/>
            <w:vAlign w:val="center"/>
            <w:tcMar>
              <w:top w:w="80" w:type="dxa"/>
              <w:start w:w="90" w:type="dxa"/>
              <w:bottom w:w="80" w:type="dxa"/>
              <w:end w:w="90" w:type="dxa"/>
            </w:tcMar>
          </w:tcPr>
          <w:p>
            <w:pPr>
              <w:spacing w:after="0" w:line="252" w:lineRule="auto"/>
              <w:jc w:val="center"/>
            </w:pPr>
            <w:r/>
            <w:r>
              <w:rPr>
                <w:rFonts w:ascii="Arial" w:hAnsi="Arial"/>
                <w:b w:val="0"/>
                <w:color w:val="222222"/>
                <w:sz w:val="16"/>
              </w:rPr>
              <w:t>Sanitized result plots</w:t>
            </w:r>
          </w:p>
        </w:tc>
        <w:tc>
          <w:tcPr>
            <w:tcW w:type="dxa" w:w="4896"/>
            <w:vAlign w:val="center"/>
            <w:tcMar>
              <w:top w:w="80" w:type="dxa"/>
              <w:start w:w="90" w:type="dxa"/>
              <w:bottom w:w="80" w:type="dxa"/>
              <w:end w:w="90" w:type="dxa"/>
            </w:tcMar>
          </w:tcPr>
          <w:p>
            <w:pPr>
              <w:spacing w:after="0" w:line="252" w:lineRule="auto"/>
              <w:jc w:val="center"/>
            </w:pPr>
            <w:r/>
            <w:r>
              <w:rPr>
                <w:rFonts w:ascii="Arial" w:hAnsi="Arial"/>
                <w:b w:val="0"/>
                <w:color w:val="222222"/>
                <w:sz w:val="16"/>
              </w:rPr>
              <w:t>Raw unpublished datasets and tuning history</w:t>
            </w:r>
          </w:p>
        </w:tc>
      </w:tr>
      <w:tr>
        <w:tc>
          <w:tcPr>
            <w:tcW w:type="dxa" w:w="4680"/>
            <w:vAlign w:val="center"/>
            <w:tcMar>
              <w:top w:w="80" w:type="dxa"/>
              <w:start w:w="90" w:type="dxa"/>
              <w:bottom w:w="80" w:type="dxa"/>
              <w:end w:w="90" w:type="dxa"/>
            </w:tcMar>
          </w:tcPr>
          <w:p>
            <w:pPr>
              <w:spacing w:after="0" w:line="252" w:lineRule="auto"/>
              <w:jc w:val="center"/>
            </w:pPr>
            <w:r/>
            <w:r>
              <w:rPr>
                <w:rFonts w:ascii="Arial" w:hAnsi="Arial"/>
                <w:b w:val="0"/>
                <w:color w:val="222222"/>
                <w:sz w:val="16"/>
              </w:rPr>
              <w:t>Vendor schematic PDFs and interface notes</w:t>
            </w:r>
          </w:p>
        </w:tc>
        <w:tc>
          <w:tcPr>
            <w:tcW w:type="dxa" w:w="4896"/>
            <w:vAlign w:val="center"/>
            <w:tcMar>
              <w:top w:w="80" w:type="dxa"/>
              <w:start w:w="90" w:type="dxa"/>
              <w:bottom w:w="80" w:type="dxa"/>
              <w:end w:w="90" w:type="dxa"/>
            </w:tcMar>
          </w:tcPr>
          <w:p>
            <w:pPr>
              <w:spacing w:after="0" w:line="252" w:lineRule="auto"/>
              <w:jc w:val="center"/>
            </w:pPr>
            <w:r/>
            <w:r>
              <w:rPr>
                <w:rFonts w:ascii="Arial" w:hAnsi="Arial"/>
                <w:b w:val="0"/>
                <w:color w:val="222222"/>
                <w:sz w:val="16"/>
              </w:rPr>
              <w:t>Editable vendor CAD, Gerbers, pick-and-place, fabrication packages</w:t>
            </w:r>
          </w:p>
        </w:tc>
      </w:tr>
      <w:tr>
        <w:tc>
          <w:tcPr>
            <w:tcW w:type="dxa" w:w="4680"/>
            <w:vAlign w:val="center"/>
            <w:tcMar>
              <w:top w:w="80" w:type="dxa"/>
              <w:start w:w="90" w:type="dxa"/>
              <w:bottom w:w="80" w:type="dxa"/>
              <w:end w:w="90" w:type="dxa"/>
            </w:tcMar>
          </w:tcPr>
          <w:p>
            <w:pPr>
              <w:spacing w:after="0" w:line="252" w:lineRule="auto"/>
              <w:jc w:val="center"/>
            </w:pPr>
            <w:r/>
            <w:r>
              <w:rPr>
                <w:rFonts w:ascii="Arial" w:hAnsi="Arial"/>
                <w:b w:val="0"/>
                <w:color w:val="222222"/>
                <w:sz w:val="16"/>
              </w:rPr>
              <w:t>Public BOM and repository map</w:t>
            </w:r>
          </w:p>
        </w:tc>
        <w:tc>
          <w:tcPr>
            <w:tcW w:type="dxa" w:w="4896"/>
            <w:vAlign w:val="center"/>
            <w:tcMar>
              <w:top w:w="80" w:type="dxa"/>
              <w:start w:w="90" w:type="dxa"/>
              <w:bottom w:w="80" w:type="dxa"/>
              <w:end w:w="90" w:type="dxa"/>
            </w:tcMar>
          </w:tcPr>
          <w:p>
            <w:pPr>
              <w:spacing w:after="0" w:line="252" w:lineRule="auto"/>
              <w:jc w:val="center"/>
            </w:pPr>
            <w:r/>
            <w:r>
              <w:rPr>
                <w:rFonts w:ascii="Arial" w:hAnsi="Arial"/>
                <w:b w:val="0"/>
                <w:color w:val="222222"/>
                <w:sz w:val="16"/>
              </w:rPr>
              <w:t>Internal minutes, university paths, sponsor records, and design history</w:t>
            </w:r>
          </w:p>
        </w:tc>
      </w:tr>
      <w:tr>
        <w:tc>
          <w:tcPr>
            <w:tcW w:type="dxa" w:w="5083"/>
            <w:vAlign w:val="center"/>
          </w:tcPr>
          <w:p>
            <w:r/>
            <w:r>
              <w:rPr>
                <w:b w:val="0"/>
                <w:sz w:val="16"/>
              </w:rPr>
              <w:t>Custom F28069M ADC configuration source</w:t>
            </w:r>
          </w:p>
        </w:tc>
        <w:tc>
          <w:tcPr>
            <w:tcW w:type="dxa" w:w="5083"/>
            <w:vAlign w:val="center"/>
          </w:tcPr>
          <w:p>
            <w:r/>
            <w:r>
              <w:rPr>
                <w:b w:val="0"/>
                <w:sz w:val="16"/>
              </w:rPr>
              <w:t>TI device-support source and generated ADC build output</w:t>
            </w:r>
          </w:p>
        </w:tc>
      </w:tr>
    </w:tbl>
    <w:p>
      <w:pPr>
        <w:spacing w:after="0"/>
      </w:pPr>
    </w:p>
    <w:p>
      <w:pPr>
        <w:pStyle w:val="Heading1"/>
      </w:pPr>
      <w:r>
        <w:t>11. References and Document Control</w:t>
      </w:r>
    </w:p>
    <w:p>
      <w:pPr>
        <w:pStyle w:val="ListBullet"/>
        <w:ind w:left="360" w:hanging="216"/>
      </w:pPr>
      <w:r>
        <w:t>ISO/IEC/IEEE 29148:2018, Systems and software engineering - Life cycle processes - Requirements engineering (confirmed current by ISO in 2024).</w:t>
      </w:r>
    </w:p>
    <w:p>
      <w:pPr>
        <w:pStyle w:val="ListBullet"/>
        <w:ind w:left="360" w:hanging="216"/>
      </w:pPr>
      <w:r>
        <w:t>NASA Systems Engineering Handbook, Appendix C (good requirement guidance), Appendix D (requirements verification matrix), and Appendix E (validation matrix).</w:t>
      </w:r>
    </w:p>
    <w:p>
      <w:pPr>
        <w:pStyle w:val="ListBullet"/>
        <w:ind w:left="360" w:hanging="216"/>
      </w:pPr>
      <w:r>
        <w:t>Texas Instruments, LAUNCHXL-F28069M overview and TMS320F2806x real-time microcontroller documentation.</w:t>
      </w:r>
    </w:p>
    <w:p>
      <w:pPr>
        <w:pStyle w:val="ListBullet"/>
        <w:ind w:left="360" w:hanging="216"/>
      </w:pPr>
      <w:r>
        <w:t>Public repository evidence retained with this release.</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541"/>
        <w:gridCol w:w="2541"/>
        <w:gridCol w:w="2541"/>
        <w:gridCol w:w="2541"/>
      </w:tblGrid>
      <w:tr>
        <w:trPr>
          <w:tblHeader w:val="true"/>
        </w:trPr>
        <w:tc>
          <w:tcPr>
            <w:tcW w:type="dxa" w:w="792"/>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Rev</w:t>
            </w:r>
          </w:p>
        </w:tc>
        <w:tc>
          <w:tcPr>
            <w:tcW w:type="dxa" w:w="144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Date</w:t>
            </w:r>
          </w:p>
        </w:tc>
        <w:tc>
          <w:tcPr>
            <w:tcW w:type="dxa" w:w="93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Author</w:t>
            </w:r>
          </w:p>
        </w:tc>
        <w:tc>
          <w:tcPr>
            <w:tcW w:type="dxa" w:w="6768"/>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Description</w:t>
            </w:r>
          </w:p>
        </w:tc>
      </w:tr>
      <w:tr>
        <w:tc>
          <w:tcPr>
            <w:tcW w:type="dxa" w:w="2541"/>
          </w:tcPr>
          <w:p>
            <w:r>
              <w:rPr>
                <w:sz w:val="15"/>
              </w:rPr>
              <w:t>1.4</w:t>
            </w:r>
          </w:p>
        </w:tc>
        <w:tc>
          <w:tcPr>
            <w:tcW w:type="dxa" w:w="2541"/>
          </w:tcPr>
          <w:p>
            <w:r>
              <w:rPr>
                <w:sz w:val="15"/>
              </w:rPr>
              <w:t>2026-08-04</w:t>
            </w:r>
          </w:p>
        </w:tc>
        <w:tc>
          <w:tcPr>
            <w:tcW w:type="dxa" w:w="2541"/>
          </w:tcPr>
          <w:p>
            <w:r>
              <w:rPr>
                <w:sz w:val="15"/>
              </w:rPr>
              <w:t>HES</w:t>
            </w:r>
          </w:p>
        </w:tc>
        <w:tc>
          <w:tcPr>
            <w:tcW w:type="dxa" w:w="2541"/>
          </w:tcPr>
          <w:p>
            <w:r>
              <w:rPr>
                <w:sz w:val="15"/>
              </w:rPr>
              <w:t>Final public release: added custom F28069M ADC SOC/interrupt configuration, actual editable Simulink models, and organized embedded/host source boundaries.</w:t>
            </w:r>
          </w:p>
        </w:tc>
      </w:tr>
    </w:tbl>
    <w:p>
      <w:pPr>
        <w:spacing w:after="0"/>
      </w:pPr>
    </w:p>
    <w:p>
      <w:r>
        <w:br w:type="page"/>
      </w:r>
    </w:p>
    <w:p>
      <w:pPr>
        <w:pStyle w:val="Heading1"/>
      </w:pPr>
      <w:r>
        <w:t>Appendix A - Board Interface Figure</w:t>
      </w:r>
    </w:p>
    <w:p>
      <w:r>
        <w:t>The following retained board-interface figure documents the BoosterPack-to-LaunchPad signal boundary used during electrical-interface review. It is included as supporting public evidence and does not replace the current vendor schematic or board-revision documentation.</w:t>
      </w:r>
    </w:p>
    <w:p>
      <w:pPr>
        <w:jc w:val="center"/>
      </w:pPr>
      <w:r>
        <w:drawing>
          <wp:inline xmlns:a="http://schemas.openxmlformats.org/drawingml/2006/main" xmlns:pic="http://schemas.openxmlformats.org/drawingml/2006/picture">
            <wp:extent cx="5852160" cy="2353055"/>
            <wp:docPr id="7" name="Picture 7"/>
            <wp:cNvGraphicFramePr>
              <a:graphicFrameLocks noChangeAspect="1"/>
            </wp:cNvGraphicFramePr>
            <a:graphic>
              <a:graphicData uri="http://schemas.openxmlformats.org/drawingml/2006/picture">
                <pic:pic>
                  <pic:nvPicPr>
                    <pic:cNvPr id="0" name="boosterpack_to_launchpad_board_interface.png"/>
                    <pic:cNvPicPr/>
                  </pic:nvPicPr>
                  <pic:blipFill>
                    <a:blip r:embed="rId17"/>
                    <a:stretch>
                      <a:fillRect/>
                    </a:stretch>
                  </pic:blipFill>
                  <pic:spPr>
                    <a:xfrm>
                      <a:off x="0" y="0"/>
                      <a:ext cx="5852160" cy="2353055"/>
                    </a:xfrm>
                    <a:prstGeom prst="rect"/>
                  </pic:spPr>
                </pic:pic>
              </a:graphicData>
            </a:graphic>
          </wp:inline>
        </w:drawing>
      </w:r>
    </w:p>
    <w:p>
      <w:pPr>
        <w:jc w:val="center"/>
      </w:pPr>
      <w:r>
        <w:rPr>
          <w:i/>
          <w:sz w:val="18"/>
        </w:rPr>
        <w:t>Figure A-1. BoosterPack-to-LaunchPad interface showing voltage-sense, current-sense, fault, SPI, power-good, shutdown, and control signal routing.</w:t>
      </w:r>
    </w:p>
    <w:p>
      <w:r>
        <w:t>Use limitation: verify connector numbering, signal polarity, and board revision against current Texas Instruments documentation before energizing the platform.</w:t>
      </w:r>
    </w:p>
    <w:p>
      <w:r>
        <w:br w:type="page"/>
      </w:r>
    </w:p>
    <w:p>
      <w:pPr>
        <w:pStyle w:val="Heading1"/>
      </w:pPr>
      <w:r>
        <w:t>Appendix B - Custom F28069M ADC Peripheral Integration</w:t>
      </w:r>
    </w:p>
    <w:p>
      <w:r>
        <w:t>The public source release includes project-specific low-level ADC configuration in addition to the editable Simulink models. The retained file, F28069M_ADC_Custom_Config.c, directly configures F28069M ADC registers and is intentionally distinguished from MathWorks-generated MW_c28xx_adc.c output.</w:t>
      </w:r>
    </w:p>
    <w:p>
      <w:pPr>
        <w:pStyle w:val="Heading2"/>
      </w:pPr>
      <w:r>
        <w:t>B.1 Functional purpose</w:t>
      </w:r>
    </w:p>
    <w:p>
      <w:r>
        <w:t>The custom source extends the target acquisition path with two additional simultaneous analog-input pairs synchronized to ePWM1. This enables the embedded controller to acquire additional instrumentation channels without moving sample timing into the non-real-time host.</w:t>
      </w:r>
    </w:p>
    <w:tbl>
      <w:tblPr>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CC0000"/>
          </w:tcPr>
          <w:p>
            <w:r>
              <w:rPr>
                <w:b/>
                <w:color w:val="FFFFFF"/>
                <w:sz w:val="17"/>
              </w:rPr>
            </w:r>
            <w:r>
              <w:rPr>
                <w:b/>
                <w:color w:val="FFFFFF"/>
                <w:sz w:val="17"/>
              </w:rPr>
              <w:t>SOC pair</w:t>
            </w:r>
          </w:p>
        </w:tc>
        <w:tc>
          <w:tcPr>
            <w:tcW w:type="dxa" w:w="2033"/>
            <w:vAlign w:val="center"/>
            <w:shd w:fill="CC0000"/>
          </w:tcPr>
          <w:p>
            <w:r>
              <w:rPr>
                <w:b/>
                <w:color w:val="FFFFFF"/>
                <w:sz w:val="17"/>
              </w:rPr>
            </w:r>
            <w:r>
              <w:rPr>
                <w:b/>
                <w:color w:val="FFFFFF"/>
                <w:sz w:val="17"/>
              </w:rPr>
              <w:t>Inputs</w:t>
            </w:r>
          </w:p>
        </w:tc>
        <w:tc>
          <w:tcPr>
            <w:tcW w:type="dxa" w:w="2033"/>
            <w:vAlign w:val="center"/>
            <w:shd w:fill="CC0000"/>
          </w:tcPr>
          <w:p>
            <w:r>
              <w:rPr>
                <w:b/>
                <w:color w:val="FFFFFF"/>
                <w:sz w:val="17"/>
              </w:rPr>
            </w:r>
            <w:r>
              <w:rPr>
                <w:b/>
                <w:color w:val="FFFFFF"/>
                <w:sz w:val="17"/>
              </w:rPr>
              <w:t>Trigger</w:t>
            </w:r>
          </w:p>
        </w:tc>
        <w:tc>
          <w:tcPr>
            <w:tcW w:type="dxa" w:w="2033"/>
            <w:vAlign w:val="center"/>
            <w:shd w:fill="CC0000"/>
          </w:tcPr>
          <w:p>
            <w:r>
              <w:rPr>
                <w:b/>
                <w:color w:val="FFFFFF"/>
                <w:sz w:val="17"/>
              </w:rPr>
            </w:r>
            <w:r>
              <w:rPr>
                <w:b/>
                <w:color w:val="FFFFFF"/>
                <w:sz w:val="17"/>
              </w:rPr>
              <w:t>Completion</w:t>
            </w:r>
          </w:p>
        </w:tc>
        <w:tc>
          <w:tcPr>
            <w:tcW w:type="dxa" w:w="2033"/>
            <w:vAlign w:val="center"/>
            <w:shd w:fill="CC0000"/>
          </w:tcPr>
          <w:p>
            <w:r>
              <w:rPr>
                <w:b/>
                <w:color w:val="FFFFFF"/>
                <w:sz w:val="17"/>
              </w:rPr>
            </w:r>
            <w:r>
              <w:rPr>
                <w:b/>
                <w:color w:val="FFFFFF"/>
                <w:sz w:val="17"/>
              </w:rPr>
              <w:t>Role</w:t>
            </w:r>
          </w:p>
        </w:tc>
      </w:tr>
      <w:tr>
        <w:tc>
          <w:tcPr>
            <w:tcW w:type="dxa" w:w="2033"/>
            <w:vAlign w:val="center"/>
          </w:tcPr>
          <w:p>
            <w:r/>
            <w:r>
              <w:rPr>
                <w:b w:val="0"/>
                <w:sz w:val="15"/>
              </w:rPr>
              <w:t>SOC0/SOC1</w:t>
            </w:r>
          </w:p>
        </w:tc>
        <w:tc>
          <w:tcPr>
            <w:tcW w:type="dxa" w:w="2033"/>
            <w:vAlign w:val="center"/>
          </w:tcPr>
          <w:p>
            <w:r/>
            <w:r>
              <w:rPr>
                <w:b w:val="0"/>
                <w:sz w:val="15"/>
              </w:rPr>
              <w:t>ADCINA0 / ADCINB0</w:t>
            </w:r>
          </w:p>
        </w:tc>
        <w:tc>
          <w:tcPr>
            <w:tcW w:type="dxa" w:w="2033"/>
            <w:vAlign w:val="center"/>
          </w:tcPr>
          <w:p>
            <w:r/>
            <w:r>
              <w:rPr>
                <w:b w:val="0"/>
                <w:sz w:val="15"/>
              </w:rPr>
              <w:t>ePWM1</w:t>
            </w:r>
          </w:p>
        </w:tc>
        <w:tc>
          <w:tcPr>
            <w:tcW w:type="dxa" w:w="2033"/>
            <w:vAlign w:val="center"/>
          </w:tcPr>
          <w:p>
            <w:r/>
            <w:r>
              <w:rPr>
                <w:b w:val="0"/>
                <w:sz w:val="15"/>
              </w:rPr>
              <w:t>EOC1 -&gt; ADCINT1</w:t>
            </w:r>
          </w:p>
        </w:tc>
        <w:tc>
          <w:tcPr>
            <w:tcW w:type="dxa" w:w="2033"/>
            <w:vAlign w:val="center"/>
          </w:tcPr>
          <w:p>
            <w:r/>
            <w:r>
              <w:rPr>
                <w:b w:val="0"/>
                <w:sz w:val="15"/>
              </w:rPr>
              <w:t>Baseline synchronized pair</w:t>
            </w:r>
          </w:p>
        </w:tc>
      </w:tr>
      <w:tr>
        <w:tc>
          <w:tcPr>
            <w:tcW w:type="dxa" w:w="2033"/>
            <w:vAlign w:val="center"/>
          </w:tcPr>
          <w:p>
            <w:r/>
            <w:r>
              <w:rPr>
                <w:b w:val="0"/>
                <w:sz w:val="15"/>
              </w:rPr>
              <w:t>SOC2/SOC3</w:t>
            </w:r>
          </w:p>
        </w:tc>
        <w:tc>
          <w:tcPr>
            <w:tcW w:type="dxa" w:w="2033"/>
            <w:vAlign w:val="center"/>
          </w:tcPr>
          <w:p>
            <w:r/>
            <w:r>
              <w:rPr>
                <w:b w:val="0"/>
                <w:sz w:val="15"/>
              </w:rPr>
              <w:t>ADCINA3 / ADCINB3</w:t>
            </w:r>
          </w:p>
        </w:tc>
        <w:tc>
          <w:tcPr>
            <w:tcW w:type="dxa" w:w="2033"/>
            <w:vAlign w:val="center"/>
          </w:tcPr>
          <w:p>
            <w:r/>
            <w:r>
              <w:rPr>
                <w:b w:val="0"/>
                <w:sz w:val="15"/>
              </w:rPr>
              <w:t>ePWM4</w:t>
            </w:r>
          </w:p>
        </w:tc>
        <w:tc>
          <w:tcPr>
            <w:tcW w:type="dxa" w:w="2033"/>
            <w:vAlign w:val="center"/>
          </w:tcPr>
          <w:p>
            <w:r/>
            <w:r>
              <w:rPr>
                <w:b w:val="0"/>
                <w:sz w:val="15"/>
              </w:rPr>
              <w:t>EOC3 -&gt; ADCINT2</w:t>
            </w:r>
          </w:p>
        </w:tc>
        <w:tc>
          <w:tcPr>
            <w:tcW w:type="dxa" w:w="2033"/>
            <w:vAlign w:val="center"/>
          </w:tcPr>
          <w:p>
            <w:r/>
            <w:r>
              <w:rPr>
                <w:b w:val="0"/>
                <w:sz w:val="15"/>
              </w:rPr>
              <w:t>Baseline synchronized pair</w:t>
            </w:r>
          </w:p>
        </w:tc>
      </w:tr>
      <w:tr>
        <w:tc>
          <w:tcPr>
            <w:tcW w:type="dxa" w:w="2033"/>
            <w:vAlign w:val="center"/>
          </w:tcPr>
          <w:p>
            <w:r/>
            <w:r>
              <w:rPr>
                <w:b w:val="0"/>
                <w:sz w:val="15"/>
              </w:rPr>
              <w:t>SOC4/SOC5</w:t>
            </w:r>
          </w:p>
        </w:tc>
        <w:tc>
          <w:tcPr>
            <w:tcW w:type="dxa" w:w="2033"/>
            <w:vAlign w:val="center"/>
          </w:tcPr>
          <w:p>
            <w:r/>
            <w:r>
              <w:rPr>
                <w:b w:val="0"/>
                <w:sz w:val="15"/>
              </w:rPr>
              <w:t>ADCINA0 / ADCINB0</w:t>
            </w:r>
          </w:p>
        </w:tc>
        <w:tc>
          <w:tcPr>
            <w:tcW w:type="dxa" w:w="2033"/>
            <w:vAlign w:val="center"/>
          </w:tcPr>
          <w:p>
            <w:r/>
            <w:r>
              <w:rPr>
                <w:b w:val="0"/>
                <w:sz w:val="15"/>
              </w:rPr>
              <w:t>Software</w:t>
            </w:r>
          </w:p>
        </w:tc>
        <w:tc>
          <w:tcPr>
            <w:tcW w:type="dxa" w:w="2033"/>
            <w:vAlign w:val="center"/>
          </w:tcPr>
          <w:p>
            <w:r/>
            <w:r>
              <w:rPr>
                <w:b w:val="0"/>
                <w:sz w:val="15"/>
              </w:rPr>
              <w:t>Polled / model-controlled</w:t>
            </w:r>
          </w:p>
        </w:tc>
        <w:tc>
          <w:tcPr>
            <w:tcW w:type="dxa" w:w="2033"/>
            <w:vAlign w:val="center"/>
          </w:tcPr>
          <w:p>
            <w:r/>
            <w:r>
              <w:rPr>
                <w:b w:val="0"/>
                <w:sz w:val="15"/>
              </w:rPr>
              <w:t>Software-triggered pair</w:t>
            </w:r>
          </w:p>
        </w:tc>
      </w:tr>
      <w:tr>
        <w:tc>
          <w:tcPr>
            <w:tcW w:type="dxa" w:w="2033"/>
            <w:vAlign w:val="center"/>
          </w:tcPr>
          <w:p>
            <w:r/>
            <w:r>
              <w:rPr>
                <w:b w:val="0"/>
                <w:sz w:val="15"/>
              </w:rPr>
              <w:t>SOC6/SOC7</w:t>
            </w:r>
          </w:p>
        </w:tc>
        <w:tc>
          <w:tcPr>
            <w:tcW w:type="dxa" w:w="2033"/>
            <w:vAlign w:val="center"/>
          </w:tcPr>
          <w:p>
            <w:r/>
            <w:r>
              <w:rPr>
                <w:b w:val="0"/>
                <w:sz w:val="15"/>
              </w:rPr>
              <w:t>ADCINA3 / ADCINB3</w:t>
            </w:r>
          </w:p>
        </w:tc>
        <w:tc>
          <w:tcPr>
            <w:tcW w:type="dxa" w:w="2033"/>
            <w:vAlign w:val="center"/>
          </w:tcPr>
          <w:p>
            <w:r/>
            <w:r>
              <w:rPr>
                <w:b w:val="0"/>
                <w:sz w:val="15"/>
              </w:rPr>
              <w:t>Software</w:t>
            </w:r>
          </w:p>
        </w:tc>
        <w:tc>
          <w:tcPr>
            <w:tcW w:type="dxa" w:w="2033"/>
            <w:vAlign w:val="center"/>
          </w:tcPr>
          <w:p>
            <w:r/>
            <w:r>
              <w:rPr>
                <w:b w:val="0"/>
                <w:sz w:val="15"/>
              </w:rPr>
              <w:t>Polled / model-controlled</w:t>
            </w:r>
          </w:p>
        </w:tc>
        <w:tc>
          <w:tcPr>
            <w:tcW w:type="dxa" w:w="2033"/>
            <w:vAlign w:val="center"/>
          </w:tcPr>
          <w:p>
            <w:r/>
            <w:r>
              <w:rPr>
                <w:b w:val="0"/>
                <w:sz w:val="15"/>
              </w:rPr>
              <w:t>Software-triggered pair</w:t>
            </w:r>
          </w:p>
        </w:tc>
      </w:tr>
      <w:tr>
        <w:tc>
          <w:tcPr>
            <w:tcW w:type="dxa" w:w="2033"/>
            <w:vAlign w:val="center"/>
          </w:tcPr>
          <w:p>
            <w:r/>
            <w:r>
              <w:rPr>
                <w:b w:val="0"/>
                <w:sz w:val="15"/>
              </w:rPr>
              <w:t>SOC12/SOC13</w:t>
            </w:r>
          </w:p>
        </w:tc>
        <w:tc>
          <w:tcPr>
            <w:tcW w:type="dxa" w:w="2033"/>
            <w:vAlign w:val="center"/>
          </w:tcPr>
          <w:p>
            <w:r/>
            <w:r>
              <w:rPr>
                <w:b w:val="0"/>
                <w:sz w:val="15"/>
              </w:rPr>
              <w:t>ADCINA2 / ADCINB2</w:t>
            </w:r>
          </w:p>
        </w:tc>
        <w:tc>
          <w:tcPr>
            <w:tcW w:type="dxa" w:w="2033"/>
            <w:vAlign w:val="center"/>
          </w:tcPr>
          <w:p>
            <w:r/>
            <w:r>
              <w:rPr>
                <w:b w:val="0"/>
                <w:sz w:val="15"/>
              </w:rPr>
              <w:t>ePWM1</w:t>
            </w:r>
          </w:p>
        </w:tc>
        <w:tc>
          <w:tcPr>
            <w:tcW w:type="dxa" w:w="2033"/>
            <w:vAlign w:val="center"/>
          </w:tcPr>
          <w:p>
            <w:r/>
            <w:r>
              <w:rPr>
                <w:b w:val="0"/>
                <w:sz w:val="15"/>
              </w:rPr>
              <w:t>EOC13 -&gt; ADCINT5</w:t>
            </w:r>
          </w:p>
        </w:tc>
        <w:tc>
          <w:tcPr>
            <w:tcW w:type="dxa" w:w="2033"/>
            <w:vAlign w:val="center"/>
          </w:tcPr>
          <w:p>
            <w:r/>
            <w:r>
              <w:rPr>
                <w:b w:val="0"/>
                <w:sz w:val="15"/>
              </w:rPr>
              <w:t>Added instrumentation pair</w:t>
            </w:r>
          </w:p>
        </w:tc>
      </w:tr>
      <w:tr>
        <w:tc>
          <w:tcPr>
            <w:tcW w:type="dxa" w:w="2033"/>
            <w:vAlign w:val="center"/>
          </w:tcPr>
          <w:p>
            <w:r/>
            <w:r>
              <w:rPr>
                <w:b w:val="0"/>
                <w:sz w:val="15"/>
              </w:rPr>
              <w:t>SOC14/SOC15</w:t>
            </w:r>
          </w:p>
        </w:tc>
        <w:tc>
          <w:tcPr>
            <w:tcW w:type="dxa" w:w="2033"/>
            <w:vAlign w:val="center"/>
          </w:tcPr>
          <w:p>
            <w:r/>
            <w:r>
              <w:rPr>
                <w:b w:val="0"/>
                <w:sz w:val="15"/>
              </w:rPr>
              <w:t>ADCINA1 / ADCINB1</w:t>
            </w:r>
          </w:p>
        </w:tc>
        <w:tc>
          <w:tcPr>
            <w:tcW w:type="dxa" w:w="2033"/>
            <w:vAlign w:val="center"/>
          </w:tcPr>
          <w:p>
            <w:r/>
            <w:r>
              <w:rPr>
                <w:b w:val="0"/>
                <w:sz w:val="15"/>
              </w:rPr>
              <w:t>ePWM1</w:t>
            </w:r>
          </w:p>
        </w:tc>
        <w:tc>
          <w:tcPr>
            <w:tcW w:type="dxa" w:w="2033"/>
            <w:vAlign w:val="center"/>
          </w:tcPr>
          <w:p>
            <w:r/>
            <w:r>
              <w:rPr>
                <w:b w:val="0"/>
                <w:sz w:val="15"/>
              </w:rPr>
              <w:t>EOC15 -&gt; ADCINT9</w:t>
            </w:r>
          </w:p>
        </w:tc>
        <w:tc>
          <w:tcPr>
            <w:tcW w:type="dxa" w:w="2033"/>
            <w:vAlign w:val="center"/>
          </w:tcPr>
          <w:p>
            <w:r/>
            <w:r>
              <w:rPr>
                <w:b w:val="0"/>
                <w:sz w:val="15"/>
              </w:rPr>
              <w:t>Added instrumentation pair</w:t>
            </w:r>
          </w:p>
        </w:tc>
      </w:tr>
    </w:tbl>
    <w:p>
      <w:pPr>
        <w:pStyle w:val="Heading2"/>
      </w:pPr>
      <w:r>
        <w:t>B.2 Implementation details</w:t>
      </w:r>
    </w:p>
    <w:p>
      <w:pPr>
        <w:pStyle w:val="ListBullet"/>
      </w:pPr>
      <w:r>
        <w:t>SOC12/SOC13 select ADCINA2 and ADCINB2 in simultaneous-sampling mode, use ePWM1 as the trigger, and route EOC13 to ADCINT5.</w:t>
      </w:r>
    </w:p>
    <w:p>
      <w:pPr>
        <w:pStyle w:val="ListBullet"/>
      </w:pPr>
      <w:r>
        <w:t>SOC14/SOC15 select ADCINA1 and ADCINB1 in simultaneous-sampling mode, use ePWM1 as the trigger, and route EOC15 to ADCINT9.</w:t>
      </w:r>
    </w:p>
    <w:p>
      <w:pPr>
        <w:pStyle w:val="ListBullet"/>
      </w:pPr>
      <w:r>
        <w:t>The acquisition window is configured as ACQPS = 6, corresponding to seven ADC clock cycles.</w:t>
      </w:r>
    </w:p>
    <w:p>
      <w:pPr>
        <w:pStyle w:val="ListBullet"/>
      </w:pPr>
      <w:r>
        <w:t>Late interrupt pulse positioning is enabled so the ADC result latch is updated before the interrupt is asserted.</w:t>
      </w:r>
    </w:p>
    <w:p>
      <w:pPr>
        <w:pStyle w:val="ListBullet"/>
      </w:pPr>
      <w:r>
        <w:t>The file retains baseline PWM-triggered and software-triggered ADC pair configuration used by the dual-motor target.</w:t>
      </w:r>
    </w:p>
    <w:p>
      <w:pPr>
        <w:pStyle w:val="Heading2"/>
      </w:pPr>
      <w:r>
        <w:t>B.3 Verification and ownership boundary</w:t>
      </w:r>
    </w:p>
    <w:p>
      <w:r>
        <w:t>Verification is by source inspection and target integration test. The public repository includes the project-specific configuration file and editable target model, but excludes TI device-support implementation, generated code, object files, and binaries. This demonstrates custom peripheral integration without claiming authorship of vendor libraries or generated support code.</w:t>
      </w:r>
    </w:p>
    <w:sectPr w:rsidR="00FC693F" w:rsidRPr="0006063C" w:rsidSect="00034616">
      <w:headerReference w:type="default" r:id="rId9"/>
      <w:footerReference w:type="default" r:id="rId10"/>
      <w:headerReference w:type="first" r:id="rId18"/>
      <w:headerReference w:type="even" r:id="rId19"/>
      <w:footerReference w:type="first" r:id="rId20"/>
      <w:footerReference w:type="even" r:id="rId21"/>
      <w:pgSz w:w="12240" w:h="15840"/>
      <w:pgMar w:top="936" w:right="1037" w:bottom="893"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Herder Elektronische Systemen  |  Public technical release  |  5 August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Herder Elektronische Systemen  |  Public technical release  |  5 August 2026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0" w:space="3" w:color="CC0000"/>
      </w:pBdr>
    </w:pPr>
    <w:r/>
    <w:r>
      <w:rPr>
        <w:rFonts w:ascii="Arial" w:hAnsi="Arial"/>
        <w:color w:val="666666"/>
        <w:sz w:val="15"/>
      </w:rPr>
      <w:t>Functional Requirements &amp; Validation Report  |  v1.5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0" w:color="FFFFFF"/>
        <w:start w:val="single" w:sz="0" w:color="FFFFFF"/>
        <w:bottom w:val="single" w:sz="0" w:color="FFFFFF"/>
        <w:end w:val="single" w:sz="0" w:color="FFFFFF"/>
        <w:insideH w:val="single" w:sz="0" w:color="FFFFFF"/>
        <w:insideV w:val="single" w:sz="0" w:color="FFFFFF"/>
      </w:tblBorders>
    </w:tblPr>
    <w:tblGrid>
      <w:gridCol w:w="6336"/>
      <w:gridCol w:w="4464"/>
    </w:tblGrid>
    <w:tr>
      <w:tc>
        <w:tcPr>
          <w:tcW w:type="dxa" w:w="5400"/>
          <w:tcMar>
            <w:top w:w="0" w:type="dxa"/>
            <w:start w:w="0" w:type="dxa"/>
            <w:bottom w:w="0" w:type="dxa"/>
            <w:end w:w="0" w:type="dxa"/>
          </w:tcMar>
        </w:tcPr>
        <w:p>
          <w:pPr>
            <w:jc w:val="left"/>
          </w:pPr>
          <w:r>
            <w:rPr>
              <w:rFonts w:ascii="Arial" w:hAnsi="Arial"/>
              <w:color w:val="CC002B"/>
              <w:sz w:val="18"/>
            </w:rPr>
            <w:t>HERDER ELEKTRONISCHE SYSTEMEN</w:t>
          </w:r>
        </w:p>
      </w:tc>
      <w:tc>
        <w:tcPr>
          <w:tcW w:type="dxa" w:w="5400"/>
          <w:tcMar>
            <w:top w:w="0" w:type="dxa"/>
            <w:start w:w="0" w:type="dxa"/>
            <w:bottom w:w="0" w:type="dxa"/>
            <w:end w:w="0" w:type="dxa"/>
          </w:tcMar>
        </w:tcPr>
        <w:p>
          <w:pPr>
            <w:jc w:val="right"/>
          </w:pPr>
          <w:r>
            <w:rPr>
              <w:rFonts w:ascii="Arial" w:hAnsi="Arial"/>
              <w:color w:val="000000"/>
              <w:sz w:val="20"/>
            </w:rPr>
            <w:t>ENGINEERING REPORT  |</w:t>
            <w:br/>
            <w:t>REV 1.5</w:t>
          </w:r>
        </w:p>
      </w:tc>
    </w:tr>
  </w:tbl>
  <w:p>
    <w:pPr>
      <w:spacing w:before="20" w:after="0"/>
      <w:pBdr>
        <w:bottom w:val="single" w:sz="10" w:space="1" w:color="CC002B"/>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CC0000"/>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222222"/>
      <w:sz w:val="23"/>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Arial" w:hAnsi="Arial"/>
      <w:b/>
      <w:bCs/>
      <w:color w:val="6666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40"/>
      <w:contextualSpacing/>
    </w:pPr>
    <w:rPr>
      <w:rFonts w:asciiTheme="majorHAnsi" w:eastAsiaTheme="majorEastAsia" w:hAnsiTheme="majorHAnsi" w:cstheme="majorBidi" w:ascii="Arial" w:hAnsi="Arial"/>
      <w:b/>
      <w:color w:val="CC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40"/>
    </w:pPr>
    <w:rPr>
      <w:rFonts w:ascii="Arial" w:hAnsi="Arial"/>
      <w:b/>
      <w:bCs/>
      <w:i w:val="0"/>
      <w:color w:val="6666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2.xml"/><Relationship Id="rId2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