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0" w:line="252" w:lineRule="auto"/>
      </w:pPr>
      <w:r>
        <w:rPr>
          <w:rFonts w:ascii="Noto Serif" w:hAnsi="Noto Serif"/>
          <w:b/>
          <w:color w:val="203B57"/>
          <w:sz w:val="56"/>
        </w:rPr>
        <w:t>DUAL-MOTOR PMSM DYNAMOMETER</w:t>
        <w:br/>
        <w:t>PLATFORM</w:t>
      </w:r>
    </w:p>
    <w:p>
      <w:pPr>
        <w:spacing w:after="2360"/>
      </w:pPr>
    </w:p>
    <w:p>
      <w:pPr>
        <w:spacing w:after="80"/>
      </w:pPr>
      <w:r>
        <w:rPr>
          <w:rFonts w:ascii="Noto Serif" w:hAnsi="Noto Serif"/>
          <w:b/>
          <w:color w:val="C51632"/>
          <w:sz w:val="38"/>
        </w:rPr>
        <w:t>FIRMWARE, HOST SOFTWARE &amp; RESULTS</w:t>
      </w:r>
    </w:p>
    <w:p>
      <w:pPr>
        <w:spacing w:after="160"/>
      </w:pPr>
      <w:r>
        <w:rPr>
          <w:rFonts w:ascii="Noto Serif" w:hAnsi="Noto Serif"/>
          <w:b/>
          <w:color w:val="5D6A76"/>
          <w:sz w:val="23"/>
        </w:rPr>
        <w:t>TI C2000 F28069M control models, CAN supervision, acquisition, safeguards, and measured characterization</w:t>
      </w:r>
    </w:p>
    <w:p>
      <w:pPr>
        <w:spacing w:after="200"/>
      </w:pPr>
      <w:r>
        <w:rPr>
          <w:rFonts w:ascii="Noto Serif" w:hAnsi="Noto Serif"/>
          <w:b/>
          <w:color w:val="203B57"/>
          <w:sz w:val="18"/>
        </w:rPr>
        <w:t>ENGINEERING REQUIREMENTS DOCUMENT  |  REVISION 2.4  |  5 AUGUST 2026</w:t>
      </w:r>
    </w:p>
    <w:tbl>
      <w:tblPr>
        <w:tblW w:type="auto" w:w="0"/>
        <w:jc w:val="center"/>
        <w:tblLayout w:type="fixed"/>
        <w:tblLook w:firstColumn="1" w:firstRow="1" w:lastColumn="0" w:lastRow="0" w:noHBand="0" w:noVBand="1" w:val="04A0"/>
      </w:tblPr>
      <w:tblGrid>
        <w:gridCol w:w="5083"/>
        <w:gridCol w:w="5083"/>
      </w:tblGrid>
      <w:tr>
        <w:tc>
          <w:tcPr>
            <w:tcW w:type="dxa" w:w="2592"/>
            <w:shd w:fill="203B57"/>
            <w:vAlign w:val="center"/>
            <w:tcMar>
              <w:top w:w="90" w:type="dxa"/>
              <w:start w:w="110" w:type="dxa"/>
              <w:bottom w:w="90" w:type="dxa"/>
              <w:end w:w="110" w:type="dxa"/>
            </w:tcMar>
          </w:tcPr>
          <w:p>
            <w:pPr>
              <w:spacing w:after="0" w:line="252" w:lineRule="auto"/>
            </w:pPr>
            <w:r/>
            <w:r>
              <w:rPr>
                <w:rFonts w:ascii="Noto Serif" w:hAnsi="Noto Serif"/>
                <w:b/>
                <w:color w:val="FFFFFF"/>
                <w:sz w:val="18"/>
              </w:rPr>
              <w:t>Prepared by</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Herder Elektronische Systemen</w:t>
            </w:r>
          </w:p>
        </w:tc>
      </w:tr>
      <w:tr>
        <w:tc>
          <w:tcPr>
            <w:tcW w:type="dxa" w:w="2592"/>
            <w:shd w:fill="F0F3F6"/>
            <w:vAlign w:val="center"/>
            <w:tcMar>
              <w:top w:w="90" w:type="dxa"/>
              <w:start w:w="110" w:type="dxa"/>
              <w:bottom w:w="90" w:type="dxa"/>
              <w:end w:w="110" w:type="dxa"/>
            </w:tcMar>
          </w:tcPr>
          <w:p>
            <w:pPr>
              <w:spacing w:after="0" w:line="252" w:lineRule="auto"/>
            </w:pPr>
            <w:r/>
            <w:r>
              <w:rPr>
                <w:rFonts w:ascii="Noto Serif" w:hAnsi="Noto Serif"/>
                <w:b/>
                <w:color w:val="2B2B2B"/>
                <w:sz w:val="18"/>
              </w:rPr>
              <w:t>Document scope</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Embedded target behavior, editable Simulink models, CAN command/telemetry, host acquisition, custom ADC integration, and verification</w:t>
            </w:r>
          </w:p>
        </w:tc>
      </w:tr>
      <w:tr>
        <w:tc>
          <w:tcPr>
            <w:tcW w:type="dxa" w:w="2592"/>
            <w:shd w:fill="F0F3F6"/>
            <w:vAlign w:val="center"/>
            <w:tcMar>
              <w:top w:w="90" w:type="dxa"/>
              <w:start w:w="110" w:type="dxa"/>
              <w:bottom w:w="90" w:type="dxa"/>
              <w:end w:w="110" w:type="dxa"/>
            </w:tcMar>
          </w:tcPr>
          <w:p>
            <w:pPr>
              <w:spacing w:after="0" w:line="252" w:lineRule="auto"/>
            </w:pPr>
            <w:r/>
            <w:r>
              <w:rPr>
                <w:rFonts w:ascii="Noto Serif" w:hAnsi="Noto Serif"/>
                <w:b/>
                <w:color w:val="2B2B2B"/>
                <w:sz w:val="18"/>
              </w:rPr>
              <w:t>Evidence basis</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Target/host Simulink models, custom ADC source, MATLAB scripts, CAN evidence, captured signals, and measured maps</w:t>
            </w:r>
          </w:p>
        </w:tc>
      </w:tr>
      <w:tr>
        <w:tc>
          <w:tcPr>
            <w:tcW w:type="dxa" w:w="2592"/>
            <w:shd w:fill="F0F3F6"/>
            <w:vAlign w:val="center"/>
            <w:tcMar>
              <w:top w:w="90" w:type="dxa"/>
              <w:start w:w="110" w:type="dxa"/>
              <w:bottom w:w="90" w:type="dxa"/>
              <w:end w:w="110" w:type="dxa"/>
            </w:tcMar>
          </w:tcPr>
          <w:p>
            <w:pPr>
              <w:spacing w:after="0" w:line="252" w:lineRule="auto"/>
            </w:pPr>
            <w:r/>
            <w:r>
              <w:rPr>
                <w:rFonts w:ascii="Noto Serif" w:hAnsi="Noto Serif"/>
                <w:b/>
                <w:color w:val="2B2B2B"/>
                <w:sz w:val="18"/>
              </w:rPr>
              <w:t>Distribution</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Customer-facing; selected source models and controlled engineering evidence included</w:t>
            </w:r>
          </w:p>
        </w:tc>
      </w:tr>
    </w:tbl>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DOCUMENT PURPOSE</w:t>
            </w:r>
          </w:p>
          <w:p>
            <w:pPr>
              <w:spacing w:after="0" w:line="259" w:lineRule="auto"/>
            </w:pPr>
            <w:r>
              <w:rPr>
                <w:rFonts w:ascii="Noto Serif" w:hAnsi="Noto Serif"/>
                <w:color w:val="2B2B2B"/>
                <w:sz w:val="20"/>
              </w:rPr>
              <w:t>Defines the controlled firmware, host-software, interface, safety, verification, and acceptance requirements. Platform wiring, physical interfaces, schematics, and board ownership are controlled by the companion Platform &amp; Electrical FRD.</w:t>
            </w:r>
          </w:p>
        </w:tc>
      </w:tr>
    </w:tbl>
    <w:p>
      <w:pPr>
        <w:spacing w:after="0"/>
      </w:pPr>
    </w:p>
    <w:p>
      <w:r>
        <w:br w:type="page"/>
      </w:r>
    </w:p>
    <w:p>
      <w:pPr>
        <w:pStyle w:val="Heading1"/>
      </w:pPr>
      <w:r>
        <w:t>Functional Requirements Document Framework</w:t>
      </w:r>
    </w:p>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WHY THIS IS AN FRD</w:t>
            </w:r>
          </w:p>
          <w:p>
            <w:pPr>
              <w:spacing w:after="0" w:line="259" w:lineRule="auto"/>
            </w:pPr>
            <w:r>
              <w:rPr>
                <w:rFonts w:ascii="Noto Serif" w:hAnsi="Noto Serif"/>
                <w:color w:val="2B2B2B"/>
                <w:sz w:val="20"/>
              </w:rPr>
              <w:t>This document defines what the embedded and host subsystems shall do, the interfaces and constraints under which they shall operate, and the evidence required for acceptance. Model screenshots and result plots support verification; they do not replace the requirements.</w:t>
            </w:r>
          </w:p>
        </w:tc>
      </w:tr>
    </w:tbl>
    <w:p>
      <w:pPr>
        <w:spacing w:after="0"/>
      </w:pPr>
    </w:p>
    <w:p>
      <w:pPr>
        <w:pStyle w:val="Heading2"/>
      </w:pPr>
      <w:r>
        <w:t>Purpose, Scope, and System Boundary</w:t>
      </w:r>
    </w:p>
    <w:p>
      <w:pPr>
        <w:pStyle w:val="BodyText"/>
      </w:pPr>
      <w:r>
        <w:t>This FRD governs the C2000 target models, host supervisory models, CAN command and return paths, custom ADC integration, logging, and characterization outputs. Mechanical construction, connector ownership, power wiring, and vendor board details are external interfaces controlled by the companion Platform &amp; Electrical FRD.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Boundary element</w:t>
            </w:r>
          </w:p>
        </w:tc>
        <w:tc>
          <w:tcPr>
            <w:tcW w:type="dxa" w:w="4031"/>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Included here</w:t>
            </w:r>
          </w:p>
        </w:tc>
        <w:tc>
          <w:tcPr>
            <w:tcW w:type="dxa" w:w="4031"/>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Referenced elsewhere</w:t>
            </w:r>
          </w:p>
        </w:tc>
      </w:tr>
      <w:tr>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Target control</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Drive/load roles, modes, enable, feedback, ADC acquisition</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Board power and physical wiring</w:t>
            </w:r>
          </w:p>
        </w:tc>
      </w:tr>
      <w:tr>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Host software</w:t>
            </w:r>
          </w:p>
        </w:tc>
        <w:tc>
          <w:tcPr>
            <w:tcW w:type="dxa" w:w="4031"/>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Supervisory commands, acquisition, logging, analysis dispatch</w:t>
            </w:r>
          </w:p>
        </w:tc>
        <w:tc>
          <w:tcPr>
            <w:tcW w:type="dxa" w:w="4031"/>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Workstation and licensed-tool provisioning</w:t>
            </w:r>
          </w:p>
        </w:tc>
      </w:tr>
      <w:tr>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Verification</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CAN tests, model inspection, captured signals, measured characterization</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EMC, enclosure, thermal and production qualification</w:t>
            </w:r>
          </w:p>
        </w:tc>
      </w:tr>
    </w:tbl>
    <w:p>
      <w:pPr>
        <w:pStyle w:val="Heading2"/>
      </w:pPr>
      <w:r>
        <w:t>Users and Operational Scenarios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Actor</w:t>
            </w:r>
          </w:p>
        </w:tc>
        <w:tc>
          <w:tcPr>
            <w:tcW w:type="dxa" w:w="4104"/>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Primary interaction</w:t>
            </w:r>
          </w:p>
        </w:tc>
        <w:tc>
          <w:tcPr>
            <w:tcW w:type="dxa" w:w="4104"/>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Expected outcome</w:t>
            </w:r>
          </w:p>
        </w:tc>
      </w:tr>
      <w:tr>
        <w:tc>
          <w:tcPr>
            <w:tcW w:type="dxa" w:w="2088"/>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Controls engineer</w:t>
            </w:r>
          </w:p>
        </w:tc>
        <w:tc>
          <w:tcPr>
            <w:tcW w:type="dxa" w:w="4104"/>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Modify target/host models within defined interfaces</w:t>
            </w:r>
          </w:p>
        </w:tc>
        <w:tc>
          <w:tcPr>
            <w:tcW w:type="dxa" w:w="4104"/>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Behavior remains traceable to requirement IDs</w:t>
            </w:r>
          </w:p>
        </w:tc>
      </w:tr>
      <w:tr>
        <w:tc>
          <w:tcPr>
            <w:tcW w:type="dxa" w:w="2088"/>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Test engineer</w:t>
            </w:r>
          </w:p>
        </w:tc>
        <w:tc>
          <w:tcPr>
            <w:tcW w:type="dxa" w:w="4104"/>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Configure runs, acquire signals, execute analysis</w:t>
            </w:r>
          </w:p>
        </w:tc>
        <w:tc>
          <w:tcPr>
            <w:tcW w:type="dxa" w:w="4104"/>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Repeatable evidence products</w:t>
            </w:r>
          </w:p>
        </w:tc>
      </w:tr>
      <w:tr>
        <w:tc>
          <w:tcPr>
            <w:tcW w:type="dxa" w:w="2088"/>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Customer / reviewer</w:t>
            </w:r>
          </w:p>
        </w:tc>
        <w:tc>
          <w:tcPr>
            <w:tcW w:type="dxa" w:w="4104"/>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Inspect requirements, source models and results</w:t>
            </w:r>
          </w:p>
        </w:tc>
        <w:tc>
          <w:tcPr>
            <w:tcW w:type="dxa" w:w="4104"/>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Clear demonstrated capability and open limits</w:t>
            </w:r>
          </w:p>
        </w:tc>
      </w:tr>
    </w:tbl>
    <w:p>
      <w:r>
        <w:br w:type="page"/>
      </w:r>
    </w:p>
    <w:p>
      <w:pPr>
        <w:pStyle w:val="Heading1"/>
      </w:pPr>
      <w:r>
        <w:t>1. Embedded and Host Operating Concept</w:t>
      </w:r>
    </w:p>
    <w:p>
      <w:pPr>
        <w:pStyle w:val="BodyText"/>
      </w:pPr>
      <w:r>
        <w:t>Motor 1 establishes shaft speed while Motor 2 applies an opposing or assisting q-axis current. The C2000 target owns the high-rate field-oriented control loops. Host models provide bounded supervisory references, CAN command packing, acquisition, and test orchestration without becoming the real-time control clock.</w:t>
      </w:r>
    </w:p>
    <w:p>
      <w:pPr>
        <w:pStyle w:val="ListBullet"/>
      </w:pPr>
      <w:r>
        <w:t>Independent feedback paths are retained for both machines.</w:t>
      </w:r>
    </w:p>
    <w:p>
      <w:pPr>
        <w:pStyle w:val="ListBullet"/>
      </w:pPr>
      <w:r>
        <w:t>CAN command words enter the existing target reference paths rather than bypassing control logic.</w:t>
      </w:r>
    </w:p>
    <w:p>
      <w:pPr>
        <w:pStyle w:val="ListBullet"/>
      </w:pPr>
      <w:r>
        <w:t>Custom register-level ADC configuration adds two simultaneous analog-input pairs.</w:t>
      </w:r>
    </w:p>
    <w:p>
      <w:pPr>
        <w:pStyle w:val="ListBullet"/>
      </w:pPr>
      <w:r>
        <w:t>Host logging retains timestamped signals and metadata for post-run review.</w:t>
      </w:r>
    </w:p>
    <w:p>
      <w:pPr>
        <w:pStyle w:val="Heading2"/>
      </w:pPr>
      <w:r>
        <w:t>1.1 Operating Modes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Mode</w:t>
            </w:r>
          </w:p>
        </w:tc>
        <w:tc>
          <w:tcPr>
            <w:tcW w:type="dxa" w:w="792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Required behavior</w:t>
            </w:r>
          </w:p>
        </w:tc>
      </w:tr>
      <w:tr>
        <w:tc>
          <w:tcPr>
            <w:tcW w:type="dxa" w:w="2376"/>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Disabled / safe</w:t>
            </w:r>
          </w:p>
        </w:tc>
        <w:tc>
          <w:tcPr>
            <w:tcW w:type="dxa" w:w="7920"/>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Torque-producing references are inhibited.</w:t>
            </w:r>
          </w:p>
        </w:tc>
      </w:tr>
      <w:tr>
        <w:tc>
          <w:tcPr>
            <w:tcW w:type="dxa" w:w="2376"/>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Drive-only</w:t>
            </w:r>
          </w:p>
        </w:tc>
        <w:tc>
          <w:tcPr>
            <w:tcW w:type="dxa" w:w="7920"/>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Motor 1 controls speed; Motor 2 remains at a bounded zero-load condition.</w:t>
            </w:r>
          </w:p>
        </w:tc>
      </w:tr>
      <w:tr>
        <w:tc>
          <w:tcPr>
            <w:tcW w:type="dxa" w:w="2376"/>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Loaded dynamometer</w:t>
            </w:r>
          </w:p>
        </w:tc>
        <w:tc>
          <w:tcPr>
            <w:tcW w:type="dxa" w:w="7920"/>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Motor 1 controls speed while Motor 2 applies bounded q-axis load.</w:t>
            </w:r>
          </w:p>
        </w:tc>
      </w:tr>
      <w:tr>
        <w:tc>
          <w:tcPr>
            <w:tcW w:type="dxa" w:w="2376"/>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CAN-supervised</w:t>
            </w:r>
          </w:p>
        </w:tc>
        <w:tc>
          <w:tcPr>
            <w:tcW w:type="dxa" w:w="7920"/>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Four 16-bit command words are received and mapped to the target command interface.</w:t>
            </w:r>
          </w:p>
        </w:tc>
      </w:tr>
      <w:tr>
        <w:tc>
          <w:tcPr>
            <w:tcW w:type="dxa" w:w="2376"/>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Acquisition</w:t>
            </w:r>
          </w:p>
        </w:tc>
        <w:tc>
          <w:tcPr>
            <w:tcW w:type="dxa" w:w="7920"/>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Selected target signals are recorded without altering real-time loop ownership.</w:t>
            </w:r>
          </w:p>
        </w:tc>
      </w:tr>
    </w:tbl>
    <w:p>
      <w:pPr>
        <w:pStyle w:val="Heading2"/>
      </w:pPr>
      <w:r>
        <w:t>1.2 Requirement Conventions</w:t>
      </w:r>
    </w:p>
    <w:p>
      <w:pPr>
        <w:pStyle w:val="BodyText"/>
      </w:pPr>
      <w:r>
        <w:t>Mandatory behavior is written as a singular “shall” statement. Each requirement identifies a verification method and release status. “Demonstrated” means observed on retained bench evidence; “Verified” means the release package was inspected and accepted.</w:t>
      </w:r>
    </w:p>
    <w:p>
      <w:r>
        <w:br w:type="page"/>
      </w:r>
    </w:p>
    <w:p>
      <w:pPr>
        <w:pStyle w:val="Heading1"/>
      </w:pPr>
      <w:r>
        <w:t>2. Firmware and Host Functional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FW-001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embedded target shall execute the fast current and speed loops independently of host refresh, plotting, or logging timing.</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Inspection + test</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FW-002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target shall command one machine as the drive unit and the second as a controllable load or assist unit.</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Functional test</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FW-003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target shall maintain independent encoder feedback paths for both machines.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Inspection + feedback test</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FW-004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host shall provide bounded speed, load, enable, and motor-selection references.</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Model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FW-005</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host shall support repeatable configuration, capture, and post-run review.</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Procedure review</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FW-006</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released source shall include editable Simulink models rather than screenshots alone.</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Release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FW-007</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public release shall exclude generated code, binaries, caches, and proprietary build products.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Release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bl>
    <w:p>
      <w:pPr>
        <w:pStyle w:val="Heading2"/>
      </w:pPr>
      <w:r>
        <w:t>2.1 CAN Interface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CAN-001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target shall receive a standard CAN command frame with four 16-bit command words.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Bus test</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CAN-002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decoded command words shall feed the existing reference and enable paths.</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Model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CAN-003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target shall provide a return identifier for echo or diagnostic telemetry.</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Bus test</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CAN-004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Loss of CAN traffic shall not transfer real-time loop ownership to the host.</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Architecture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bl>
    <w:p>
      <w:r>
        <w:br w:type="page"/>
      </w:r>
    </w:p>
    <w:p>
      <w:pPr>
        <w:pStyle w:val="Heading1"/>
      </w:pPr>
      <w:r>
        <w:t>3. Custom ADC Requirements</w:t>
      </w:r>
    </w:p>
    <w:p>
      <w:pPr>
        <w:pStyle w:val="BodyText"/>
      </w:pPr>
      <w:r>
        <w:t>The handwritten F28069M ADC configuration extends the model-based application with two additional simultaneous channel pairs. This source is retained separately from generated MathWorks support code.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ADC-001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custom source shall configure SOC12/SOC13 for ADCINA2/ADCINB2 simultaneous sampling.</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Source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ADC-002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custom source shall configure SOC14/SOC15 for ADCINA1/ADCINB1 simultaneous sampling.</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Source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ADC-003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added SOC pairs shall use the ePWM1 trigger and a seven-clock acquisition window.</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Source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ADC-004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EOC13 and EOC15 shall route completion events to ADCINT5 and ADCINT9 respectively.</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Source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ADC-005</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public repository shall identify the file as custom register-level integration, not generated firmware.</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Document review</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bl>
    <w:p>
      <w:pPr>
        <w:pStyle w:val="Heading2"/>
      </w:pPr>
      <w:r>
        <w:t>3.1 ADC Acceptance Mapping</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224"/>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SOC pair</w:t>
            </w:r>
          </w:p>
        </w:tc>
        <w:tc>
          <w:tcPr>
            <w:tcW w:type="dxa" w:w="144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Inputs</w:t>
            </w:r>
          </w:p>
        </w:tc>
        <w:tc>
          <w:tcPr>
            <w:tcW w:type="dxa" w:w="1296"/>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Trigger</w:t>
            </w:r>
          </w:p>
        </w:tc>
        <w:tc>
          <w:tcPr>
            <w:tcW w:type="dxa" w:w="2015"/>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Completion</w:t>
            </w:r>
          </w:p>
        </w:tc>
        <w:tc>
          <w:tcPr>
            <w:tcW w:type="dxa" w:w="432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Evidence</w:t>
            </w:r>
          </w:p>
        </w:tc>
      </w:tr>
      <w:tr>
        <w:tc>
          <w:tcPr>
            <w:tcW w:type="dxa" w:w="1224"/>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12/13</w:t>
            </w:r>
          </w:p>
        </w:tc>
        <w:tc>
          <w:tcPr>
            <w:tcW w:type="dxa" w:w="144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A2 / B2</w:t>
            </w:r>
          </w:p>
        </w:tc>
        <w:tc>
          <w:tcPr>
            <w:tcW w:type="dxa" w:w="1296"/>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ePWM1</w:t>
            </w:r>
          </w:p>
        </w:tc>
        <w:tc>
          <w:tcPr>
            <w:tcW w:type="dxa" w:w="2015"/>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EOC13 → ADCINT5</w:t>
            </w:r>
          </w:p>
        </w:tc>
        <w:tc>
          <w:tcPr>
            <w:tcW w:type="dxa" w:w="432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F28069M_ADC_Custom_Config.c</w:t>
            </w:r>
          </w:p>
        </w:tc>
      </w:tr>
      <w:tr>
        <w:tc>
          <w:tcPr>
            <w:tcW w:type="dxa" w:w="1224"/>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14/15</w:t>
            </w:r>
          </w:p>
        </w:tc>
        <w:tc>
          <w:tcPr>
            <w:tcW w:type="dxa" w:w="144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A1 / B1</w:t>
            </w:r>
          </w:p>
        </w:tc>
        <w:tc>
          <w:tcPr>
            <w:tcW w:type="dxa" w:w="1296"/>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ePWM1</w:t>
            </w:r>
          </w:p>
        </w:tc>
        <w:tc>
          <w:tcPr>
            <w:tcW w:type="dxa" w:w="2015"/>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EOC15 → ADCINT9</w:t>
            </w:r>
          </w:p>
        </w:tc>
        <w:tc>
          <w:tcPr>
            <w:tcW w:type="dxa" w:w="432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F28069M_ADC_Custom_Config.c</w:t>
            </w:r>
          </w:p>
        </w:tc>
      </w:tr>
    </w:tbl>
    <w:p>
      <w:r>
        <w:br w:type="page"/>
      </w:r>
    </w:p>
    <w:p>
      <w:pPr>
        <w:pStyle w:val="Heading1"/>
      </w:pPr>
      <w:r>
        <w:t>4. Acquisition and Characterization Requirements</w:t>
      </w:r>
    </w:p>
    <w:p>
      <w:pPr>
        <w:pStyle w:val="BodyText"/>
      </w:pPr>
      <w:r>
        <w:t>This FRD controls the required outputs and acceptance logic. Detailed processing equations and engineering interpretation remain in the implementation notes and scripts, while the retained plots below provide objective verification evidence.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DAT-001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workflow shall expose speed, current, voltage, torque-related, and power-related quantities required for review.</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Signal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DAT-002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analysis shall retain explicit validity masks before map binning.</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Script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DAT-003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Published maps shall distinguish measured bins from unmeasured regions.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Figure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DAT-004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release shall retain a sample-count view so sparse operating regions remain visible.</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Figure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DAT-005</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Published figures shall be traceable to retained scripts and approved evidence outputs.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Repository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bl>
    <w:p>
      <w:pPr>
        <w:spacing w:after="60"/>
        <w:jc w:val="center"/>
      </w:pPr>
      <w:r>
        <w:drawing>
          <wp:inline xmlns:a="http://schemas.openxmlformats.org/drawingml/2006/main" xmlns:pic="http://schemas.openxmlformats.org/drawingml/2006/picture">
            <wp:extent cx="5394960" cy="4196080"/>
            <wp:docPr id="1" name="Picture 1"/>
            <wp:cNvGraphicFramePr>
              <a:graphicFrameLocks noChangeAspect="1"/>
            </wp:cNvGraphicFramePr>
            <a:graphic>
              <a:graphicData uri="http://schemas.openxmlformats.org/drawingml/2006/picture">
                <pic:pic>
                  <pic:nvPicPr>
                    <pic:cNvPr id="0" name="05_measured_efficiency_map.png"/>
                    <pic:cNvPicPr/>
                  </pic:nvPicPr>
                  <pic:blipFill>
                    <a:blip r:embed="rId11"/>
                    <a:stretch>
                      <a:fillRect/>
                    </a:stretch>
                  </pic:blipFill>
                  <pic:spPr>
                    <a:xfrm>
                      <a:off x="0" y="0"/>
                      <a:ext cx="5394960" cy="4196080"/>
                    </a:xfrm>
                    <a:prstGeom prst="rect"/>
                  </pic:spPr>
                </pic:pic>
              </a:graphicData>
            </a:graphic>
          </wp:inline>
        </w:drawing>
      </w:r>
    </w:p>
    <w:p>
      <w:pPr>
        <w:spacing w:after="140"/>
        <w:jc w:val="center"/>
      </w:pPr>
      <w:r>
        <w:rPr>
          <w:rFonts w:ascii="Noto Serif" w:hAnsi="Noto Serif"/>
          <w:i/>
          <w:color w:val="5D6A76"/>
          <w:sz w:val="17"/>
        </w:rPr>
        <w:t>Figure 1. Measured-bin efficiency map retained as verification evidence.</w:t>
      </w:r>
    </w:p>
    <w:p>
      <w:pPr>
        <w:spacing w:after="60"/>
        <w:jc w:val="center"/>
      </w:pPr>
      <w:r>
        <w:drawing>
          <wp:inline xmlns:a="http://schemas.openxmlformats.org/drawingml/2006/main" xmlns:pic="http://schemas.openxmlformats.org/drawingml/2006/picture">
            <wp:extent cx="5394960" cy="4241903"/>
            <wp:docPr id="2" name="Picture 2"/>
            <wp:cNvGraphicFramePr>
              <a:graphicFrameLocks noChangeAspect="1"/>
            </wp:cNvGraphicFramePr>
            <a:graphic>
              <a:graphicData uri="http://schemas.openxmlformats.org/drawingml/2006/picture">
                <pic:pic>
                  <pic:nvPicPr>
                    <pic:cNvPr id="0" name="06_sample_count_map.png"/>
                    <pic:cNvPicPr/>
                  </pic:nvPicPr>
                  <pic:blipFill>
                    <a:blip r:embed="rId12"/>
                    <a:stretch>
                      <a:fillRect/>
                    </a:stretch>
                  </pic:blipFill>
                  <pic:spPr>
                    <a:xfrm>
                      <a:off x="0" y="0"/>
                      <a:ext cx="5394960" cy="4241903"/>
                    </a:xfrm>
                    <a:prstGeom prst="rect"/>
                  </pic:spPr>
                </pic:pic>
              </a:graphicData>
            </a:graphic>
          </wp:inline>
        </w:drawing>
      </w:r>
    </w:p>
    <w:p>
      <w:pPr>
        <w:spacing w:after="140"/>
        <w:jc w:val="center"/>
      </w:pPr>
      <w:r>
        <w:rPr>
          <w:rFonts w:ascii="Noto Serif" w:hAnsi="Noto Serif"/>
          <w:i/>
          <w:color w:val="5D6A76"/>
          <w:sz w:val="17"/>
        </w:rPr>
        <w:t>Figure 2. Sample-count map showing evidence density by operating region.</w:t>
      </w:r>
    </w:p>
    <w:p>
      <w:r>
        <w:br w:type="page"/>
      </w:r>
    </w:p>
    <w:p>
      <w:pPr>
        <w:pStyle w:val="Heading1"/>
      </w:pPr>
      <w:r>
        <w:t>5. Verification and Traceability</w:t>
      </w:r>
    </w:p>
    <w:p>
      <w:pPr>
        <w:pStyle w:val="BodyText"/>
      </w:pPr>
      <w:r>
        <w:t>Verification uses inspection, analysis, demonstration, and bench test. Acceptance requires a retained evidence path for each mandatory requirement and explicit identification of open qualification items.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Requirement group</w:t>
            </w:r>
          </w:p>
        </w:tc>
        <w:tc>
          <w:tcPr>
            <w:tcW w:type="dxa" w:w="2448"/>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Primary method</w:t>
            </w:r>
          </w:p>
        </w:tc>
        <w:tc>
          <w:tcPr>
            <w:tcW w:type="dxa" w:w="3168"/>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Retained evidence</w:t>
            </w:r>
          </w:p>
        </w:tc>
        <w:tc>
          <w:tcPr>
            <w:tcW w:type="dxa" w:w="3528"/>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Acceptance basis</w:t>
            </w:r>
          </w:p>
        </w:tc>
      </w:tr>
      <w:tr>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FW</w:t>
            </w:r>
          </w:p>
        </w:tc>
        <w:tc>
          <w:tcPr>
            <w:tcW w:type="dxa" w:w="244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Model inspection + bench test</w:t>
            </w:r>
          </w:p>
        </w:tc>
        <w:tc>
          <w:tcPr>
            <w:tcW w:type="dxa" w:w="316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Editable .slx models and captured signals</w:t>
            </w:r>
          </w:p>
        </w:tc>
        <w:tc>
          <w:tcPr>
            <w:tcW w:type="dxa" w:w="352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Required control roles and host separation visible</w:t>
            </w:r>
          </w:p>
        </w:tc>
      </w:tr>
      <w:tr>
        <w:tc>
          <w:tcPr>
            <w:tcW w:type="dxa" w:w="115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CAN</w:t>
            </w:r>
          </w:p>
        </w:tc>
        <w:tc>
          <w:tcPr>
            <w:tcW w:type="dxa" w:w="244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Model inspection + bus test</w:t>
            </w:r>
          </w:p>
        </w:tc>
        <w:tc>
          <w:tcPr>
            <w:tcW w:type="dxa" w:w="316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Host/target CAN models and diagnostic path</w:t>
            </w:r>
          </w:p>
        </w:tc>
        <w:tc>
          <w:tcPr>
            <w:tcW w:type="dxa" w:w="352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Command receipt and return path demonstrated</w:t>
            </w:r>
          </w:p>
        </w:tc>
      </w:tr>
      <w:tr>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ADC</w:t>
            </w:r>
          </w:p>
        </w:tc>
        <w:tc>
          <w:tcPr>
            <w:tcW w:type="dxa" w:w="244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Source inspection</w:t>
            </w:r>
          </w:p>
        </w:tc>
        <w:tc>
          <w:tcPr>
            <w:tcW w:type="dxa" w:w="316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Custom C file</w:t>
            </w:r>
          </w:p>
        </w:tc>
        <w:tc>
          <w:tcPr>
            <w:tcW w:type="dxa" w:w="352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SOC, channel, trigger and interrupt mapping match</w:t>
            </w:r>
          </w:p>
        </w:tc>
      </w:tr>
      <w:tr>
        <w:tc>
          <w:tcPr>
            <w:tcW w:type="dxa" w:w="115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DAT</w:t>
            </w:r>
          </w:p>
        </w:tc>
        <w:tc>
          <w:tcPr>
            <w:tcW w:type="dxa" w:w="244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Script + figure inspection</w:t>
            </w:r>
          </w:p>
        </w:tc>
        <w:tc>
          <w:tcPr>
            <w:tcW w:type="dxa" w:w="316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MATLAB source and measured plots</w:t>
            </w:r>
          </w:p>
        </w:tc>
        <w:tc>
          <w:tcPr>
            <w:tcW w:type="dxa" w:w="352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Masks, measured bins and density retained</w:t>
            </w:r>
          </w:p>
        </w:tc>
      </w:tr>
    </w:tbl>
    <w:p>
      <w:pPr>
        <w:pStyle w:val="Heading2"/>
      </w:pPr>
      <w:r>
        <w:t>5.1 Release Limitations</w:t>
      </w:r>
    </w:p>
    <w:p>
      <w:pPr>
        <w:pStyle w:val="ListBullet"/>
      </w:pPr>
      <w:r>
        <w:t>No calibrated torque traceability is claimed.</w:t>
      </w:r>
    </w:p>
    <w:p>
      <w:pPr>
        <w:pStyle w:val="ListBullet"/>
      </w:pPr>
      <w:r>
        <w:t>No production functional-safety, EMC, environmental, or endurance qualification is claimed.</w:t>
      </w:r>
    </w:p>
    <w:p>
      <w:pPr>
        <w:pStyle w:val="ListBullet"/>
      </w:pPr>
      <w:r>
        <w:t>Generated target code and licensed vendor packages are intentionally excluded.</w:t>
      </w:r>
    </w:p>
    <w:p>
      <w:pPr>
        <w:pStyle w:val="ListBullet"/>
      </w:pPr>
      <w:r>
        <w:t>Efficiency results are bench characterization, not certified machine performance.</w:t>
      </w:r>
    </w:p>
    <w:p>
      <w:pPr>
        <w:pStyle w:val="Heading2"/>
      </w:pPr>
      <w:r>
        <w:t>5.2 Release Gate</w:t>
      </w:r>
    </w:p>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ACCEPTANCE</w:t>
            </w:r>
          </w:p>
          <w:p>
            <w:pPr>
              <w:spacing w:after="0" w:line="259" w:lineRule="auto"/>
            </w:pPr>
            <w:r>
              <w:rPr>
                <w:rFonts w:ascii="Noto Serif" w:hAnsi="Noto Serif"/>
                <w:color w:val="2B2B2B"/>
                <w:sz w:val="20"/>
              </w:rPr>
              <w:t>Release is accepted when every mandatory requirement has a stated method and evidence reference, the editable source models and custom ADC file are present, the public/private boundary is explicit, and both FRDs have been rendered and visually reviewed.</w:t>
            </w:r>
          </w:p>
        </w:tc>
      </w:tr>
    </w:tbl>
    <w:p>
      <w:pPr>
        <w:spacing w:after="0"/>
      </w:pP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5D6A76"/>
        <w:sz w:val="16"/>
      </w:rPr>
      <w:t>Dual-Motor PMSM Dynamometer - Firmware and Host FRD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5" w:color="203B57"/>
      </w:pBdr>
    </w:pPr>
    <w:r>
      <w:rPr>
        <w:rFonts w:ascii="Noto Serif" w:hAnsi="Noto Serif"/>
        <w:b/>
        <w:color w:val="5D6A76"/>
        <w:sz w:val="16"/>
      </w:rPr>
      <w:t>HERDER ELEKTRONISCHE SYSTEMEN   |   ENGINEERING REQUIREMENTS   |   REV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erif" w:hAnsi="Noto Serif"/>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w:hAnsi="Noto Sans"/>
      <w:b/>
      <w:bCs/>
      <w:color w:val="203B57"/>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Noto Sans" w:hAnsi="Noto Sans"/>
      <w:b/>
      <w:bCs/>
      <w:color w:val="203B57"/>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w:hAnsi="Noto Sans"/>
      <w:b/>
      <w:bCs/>
      <w:color w:val="20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Noto Serif" w:hAnsi="Noto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Noto Serif" w:hAnsi="Noto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