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DUAL-MOTOR PMSM DYNAMOMETER</w:t>
              <w:br/>
              <w:t>PLATFORM</w:t>
            </w:r>
          </w:p>
          <w:p>
            <w:pPr>
              <w:spacing w:after="80"/>
            </w:pPr>
            <w:r>
              <w:rPr>
                <w:b/>
                <w:color w:val="FFFFFF"/>
                <w:sz w:val="42"/>
              </w:rPr>
              <w:t>CONTROL SOFTWARE &amp; VALIDATION</w:t>
            </w:r>
          </w:p>
          <w:p>
            <w:pPr>
              <w:spacing w:after="80"/>
            </w:pPr>
            <w:r>
              <w:rPr>
                <w:b/>
                <w:color w:val="FFFFFF"/>
                <w:sz w:val="24"/>
              </w:rPr>
              <w:t>Black-box functional requirements, verification, and validation summary</w:t>
            </w:r>
          </w:p>
          <w:p>
            <w:pPr>
              <w:spacing w:after="0"/>
            </w:pPr>
            <w:r>
              <w:rPr>
                <w:b w:val="0"/>
                <w:color w:val="FFFFFF"/>
                <w:sz w:val="20"/>
              </w:rPr>
              <w:t>Customer-facing functional requirements document</w:t>
              <w:br/>
              <w:t>Revision 2.6 - 10 August 2026</w:t>
            </w:r>
          </w:p>
          <w:p>
            <w:pPr>
              <w:spacing w:before="160" w:after="100" w:line="240" w:lineRule="auto"/>
            </w:pPr>
            <w:r>
              <w:rPr>
                <w:rFonts w:ascii="Aptos Display" w:hAnsi="Aptos Display" w:eastAsia="Aptos Display"/>
                <w:b/>
                <w:color w:val="B31B34"/>
                <w:sz w:val="34"/>
              </w:rPr>
              <w:t>CONTROL SOFTWARE &amp; VALIDATION</w:t>
            </w:r>
          </w:p>
          <w:p>
            <w:pPr>
              <w:spacing w:before="80" w:after="120" w:line="252" w:lineRule="auto"/>
            </w:pPr>
            <w:r>
              <w:rPr>
                <w:rFonts w:ascii="Aptos" w:hAnsi="Aptos" w:eastAsia="Aptos"/>
                <w:b/>
                <w:color w:val="5B6670"/>
                <w:sz w:val="21"/>
              </w:rPr>
              <w:t>Embedded control, supervisory behavior, communications, acquisition obligations, verification, and public release boundaries.</w:t>
            </w:r>
          </w:p>
          <w:p>
            <w:pPr>
              <w:spacing w:before="160" w:after="0" w:line="240" w:lineRule="auto"/>
            </w:pPr>
            <w:r>
              <w:rPr>
                <w:rFonts w:ascii="Aptos" w:hAnsi="Aptos" w:eastAsia="Aptos"/>
                <w:b/>
                <w:color w:val="2F506F"/>
                <w:sz w:val="17"/>
              </w:rPr>
              <w:t>ENGINEERING REQUIREMENTS DOCUMENT  |  REVISION 2.6  |  10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Embedded control, supervisory behavior, communications, acquisition obligations, verification, and public release boundaries.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Controlled internal bench evidence summarized at black-box level; no source artifacts or reproducible implementation details.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Public customer-facing release; implementation IP, source artifacts, setup procedures, and reproducible design detail excluded.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t>DOCUMENT PURPOSE</w:t>
              <w:br/>
              <w:t>Defines the public functional, interface, safety, verification, and acceptance requirements for the control and supervisory subsystem without releasing implementation intellectual property.</w:t>
            </w:r>
          </w:p>
        </w:tc>
      </w:tr>
    </w:tbl>
    <w:p>
      <w:pPr>
        <w:spacing w:after="0"/>
      </w:pPr>
    </w:p>
    <w:p>
      <w:pPr>
        <w:spacing w:after="0"/>
      </w:pPr>
      <w:r/>
    </w:p>
    <w:p>
      <w:pPr>
        <w:spacing w:after="0"/>
      </w:pPr>
      <w:r>
        <w:br w:type="page"/>
      </w:r>
    </w:p>
    <w:p>
      <w:pPr>
        <w:pStyle w:val="Heading1"/>
      </w:pPr>
      <w:r>
        <w:t>Functional Requirements Document Framework</w:t>
      </w:r>
    </w:p>
    <w:tbl>
      <w:tblPr>
        <w:tblW w:type="auto" w:w="0"/>
        <w:jc w:val="center"/>
        <w:tblLook w:firstColumn="1" w:firstRow="1" w:lastColumn="0" w:lastRow="0" w:noHBand="0" w:noVBand="1" w:val="04A0"/>
      </w:tblPr>
      <w:tblGrid>
        <w:gridCol w:w="10368"/>
      </w:tblGrid>
      <w:tr>
        <w:tc>
          <w:tcPr>
            <w:tcW w:type="dxa" w:w="10368"/>
            <w:shd w:fill="EEF3F8"/>
            <w:tcMar>
              <w:top w:w="150" w:type="dxa"/>
              <w:start w:w="170" w:type="dxa"/>
              <w:bottom w:w="150" w:type="dxa"/>
              <w:end w:w="170" w:type="dxa"/>
            </w:tcMar>
          </w:tcPr>
          <w:p>
            <w:r>
              <w:t>WHY THIS IS AN FRD</w:t>
              <w:br/>
              <w:t>This document defines what the subsystem shall do, the externally observable interfaces and constraints under which it shall operate, and the evidence used to verify those obligations. It intentionally omits how the requirements are implemented.</w:t>
            </w:r>
          </w:p>
        </w:tc>
      </w:tr>
    </w:tbl>
    <w:p>
      <w:pPr>
        <w:spacing w:after="0"/>
      </w:pPr>
    </w:p>
    <w:p>
      <w:pPr>
        <w:pStyle w:val="Heading2"/>
      </w:pPr>
      <w:r>
        <w:t>Purpose, Scope, and System Boundary</w:t>
      </w:r>
    </w:p>
    <w:p>
      <w:pPr>
        <w:spacing w:before="0" w:after="100" w:line="259" w:lineRule="auto"/>
      </w:pPr>
      <w:r>
        <w:t>Embedded control, supervisory behavior, communications, acquisition obligations, verification, and public release boundaries.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Boundary element</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Included in this FRD</w:t>
            </w:r>
          </w:p>
        </w:tc>
        <w:tc>
          <w:tcPr>
            <w:tcW w:type="dxa" w:w="403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Explicitly excluded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Control behavior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Drive/load coordination, enable behavior, feedback, communication, acquisition obligations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Control models, code, algorithms, tuning values, callbacks, generated artifacts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Host behavior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Supervisory command, status, and evidence obligations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GUI source, host models, logging scripts, setup/deployment instructions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Characterization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What evidence must be supportable and how claims are bounded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Raw data, equations beyond common engineering definitions, filters, binning, calibration, analysis code</w:t>
            </w:r>
          </w:p>
        </w:tc>
      </w:tr>
    </w:tbl>
    <w:p>
      <w:pPr>
        <w:spacing w:after="0"/>
      </w:pPr>
    </w:p>
    <w:p>
      <w:pPr>
        <w:pStyle w:val="Heading2"/>
      </w:pPr>
      <w:r>
        <w:t>Users and Operational Scenarios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Actor</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Primary interaction</w:t>
            </w:r>
          </w:p>
        </w:tc>
        <w:tc>
          <w:tcPr>
            <w:tcW w:type="dxa" w:w="41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Expected outcome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Operator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Command, enable, monitor, stop, and review system status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Controlled operation with observable state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Test engineer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Request approved characterization and review summary evidence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Traceable high-level results without access to implementation IP</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Customer / reviewer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Assess requirements, verification status, and limitations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Understand demonstrated capability and release boundary</w:t>
            </w:r>
          </w:p>
        </w:tc>
      </w:tr>
    </w:tbl>
    <w:p>
      <w:pPr>
        <w:spacing w:after="0"/>
      </w:pPr>
    </w:p>
    <w:p>
      <w:pPr>
        <w:pStyle w:val="Heading1"/>
      </w:pPr>
      <w:r>
        <w:t>Functional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blHeader w:val="true"/>
        </w:trPr>
        <w:tc>
          <w:tcPr>
            <w:tcW w:type="dxa" w:w="11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ID</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The system shall...</w:t>
            </w:r>
          </w:p>
        </w:tc>
        <w:tc>
          <w:tcPr>
            <w:tcW w:type="dxa" w:w="35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Rationale / explanation</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Verification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CTRL-FR-001</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coordinate two coupled motor channels so one can establish shaft motion while the other provides controlled loading or assistance.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Defines the core dynamometer function without prescribing implementation.</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Bench demonstration</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CTRL-FR-002</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accept bounded supervisory commands for speed, loading, enable state, and operating selection.</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Allows controlled operation from a supervisory interface.</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Functional demonstration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CTRL-FR-003</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maintain independent feedback for both machines during closed-loop operation.</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Independent feedback is necessary for drive/load observability.</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Functional demonstration</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CTRL-FR-004</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provide operator-visible status sufficient to determine whether commanded operation is active and whether feedback is being received.</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Supports safe supervision and diagnosability.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Demonstration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CTRL-FR-005</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support a supervisory communications path for command and diagnostic exchange.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Enables integration with an external real-time or engineering host.</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Interface demonstration</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CTRL-FR-006</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support acquisition of the quantities required for engineering characterization while retaining implementation details as controlled information.</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Preserves evidence capability without releasing analysis IP.</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Evidence review</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CTRL-FR-007</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transition to a bounded non-torque-producing or inhibited state when commanded operation is disabled.</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Defines a minimum black-box safety behavior.</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Functional test</w:t>
            </w:r>
          </w:p>
        </w:tc>
      </w:tr>
    </w:tbl>
    <w:p>
      <w:pPr>
        <w:spacing w:after="0"/>
      </w:pPr>
    </w:p>
    <w:p>
      <w:pPr>
        <w:pStyle w:val="Heading1"/>
      </w:pPr>
      <w:r>
        <w:t>Performance and Quality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ID</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Requirement</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Acceptance basis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CTRL-NFR-001</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Time-critical control shall execute independently of graphical-host refresh timing.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Observed motor regulation does not depend on host display cadence.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CTRL-NFR-002</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Public evidence shall be traceable to a controlled internal test record without publishing raw data or scripts.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Published claims can be substantiated privately.</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CTRL-NFR-003</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The public package shall contain no source code, editable control models, setup instructions, calibration constants, detailed protocol definitions, or reproducible implementation mappings.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Package inspection confirms only black-box documents are present.</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CTRL-NFR-004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Claims shall remain limited to bench-demonstrated capability and shall not imply production qualification.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Document review confirms controlled wording.</w:t>
            </w:r>
          </w:p>
        </w:tc>
      </w:tr>
    </w:tbl>
    <w:p>
      <w:pPr>
        <w:spacing w:after="0"/>
      </w:pPr>
    </w:p>
    <w:p>
      <w:pPr>
        <w:pStyle w:val="Heading1"/>
      </w:pPr>
      <w:r>
        <w:t>External Interface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Interface</w:t>
            </w:r>
          </w:p>
        </w:tc>
        <w:tc>
          <w:tcPr>
            <w:tcW w:type="dxa" w:w="47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Required behavior</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Failure / boundary condition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Supervisory command interface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Accepts bounded drive/load/enable requests at a functional level.</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Loss or invalid command shall not create an unbounded command state.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Machine feedback interface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Provides independent feedback from both machine channels to the embedded control function.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Missing or invalid feedback is treated as a fault or invalid operating condition.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Diagnostic interface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Exposes sufficient system state for operation and fault review.</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Public release omits message formats, identifiers, payload layouts, and signal names.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Evidence interface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Produces reviewable characterization outputs under controlled internal procedures.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Public release omits raw datasets, processing scripts, calibration files, and analysis internals.</w:t>
            </w:r>
          </w:p>
        </w:tc>
      </w:tr>
    </w:tbl>
    <w:p>
      <w:pPr>
        <w:spacing w:after="0"/>
      </w:pPr>
    </w:p>
    <w:p>
      <w:pPr>
        <w:pStyle w:val="Heading1"/>
      </w:pPr>
      <w:r>
        <w:t>1. System Role and Delivered Capability</w:t>
      </w:r>
    </w:p>
    <w:p>
      <w:pPr>
        <w:pStyle w:val="BodyText"/>
      </w:pPr>
      <w:r>
        <w:t>The control and host subsystem provides the supervisory and real-time functions required to operate a coupled dual-motor dynamometer as an engineering characterization platform. The public requirement boundary is defined by observable behavior rather than implementation structure.</w:t>
      </w:r>
    </w:p>
    <w:p>
      <w:pPr>
        <w:pStyle w:val="ListBullet"/>
      </w:pPr>
      <w:r>
        <w:t>Embedded control remains responsible for time-critical motor regulation.</w:t>
      </w:r>
    </w:p>
    <w:p>
      <w:pPr>
        <w:pStyle w:val="ListBullet"/>
      </w:pPr>
      <w:r>
        <w:t>The supervisory layer provides bounded commands, status visibility, and acquisition control.</w:t>
      </w:r>
    </w:p>
    <w:p>
      <w:pPr>
        <w:pStyle w:val="ListBullet"/>
      </w:pPr>
      <w:r>
        <w:t>The system retains evidence needed to distinguish commanded behavior from measured response.</w:t>
      </w:r>
    </w:p>
    <w:p>
      <w:pPr>
        <w:pStyle w:val="ListBullet"/>
      </w:pPr>
      <w:r>
        <w:t>Public documentation does not disclose algorithms, model topology, source files, signal names, protocol payloads, or tuning values.</w:t>
      </w:r>
    </w:p>
    <w:p>
      <w:pPr>
        <w:pStyle w:val="Heading1"/>
      </w:pPr>
      <w:r>
        <w:t>2. Control and Supervisory Behavior</w:t>
      </w:r>
    </w:p>
    <w:p>
      <w:pPr>
        <w:pStyle w:val="BodyText"/>
      </w:pPr>
      <w:r>
        <w:t>The system is treated as a black-box controller with drive, load, enable, feedback, and monitoring functions. Requirements are stated in terms of operator-visible behavior and verification outcomes.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Capability</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Public requirement / acceptance basis</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Status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Drive/load coordination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One machine establishes shaft motion while the second provides controllable loading or assisting torque.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Demonstrated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Command supervision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Operator commands remain bounded and subject to enable state.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Demonstrated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Feedback visibility</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Independent machine feedback is available to support closed-loop operation and review.</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Demonstrated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Communications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A supervisory communications path supports command and diagnostic exchange.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Demonstrated</w:t>
            </w:r>
          </w:p>
        </w:tc>
      </w:tr>
    </w:tbl>
    <w:p/>
    <w:p>
      <w:pPr>
        <w:pStyle w:val="Heading1"/>
      </w:pPr>
      <w:r>
        <w:t>3. Acquisition and Characterization Boundary</w:t>
      </w:r>
    </w:p>
    <w:p>
      <w:pPr>
        <w:pStyle w:val="BodyText"/>
      </w:pPr>
      <w:r>
        <w:t>The public release states what evidence the platform can produce, but not how acquisition, filtering, binning, calibration, or analysis is implemented. Detailed processing logic, data schemas, scripts, and raw datasets remain private.</w:t>
      </w:r>
      <w:r>
        <w:t xml:space="preserve"> Simulink model screenshots are also withheld because readable block topology, signal names, and parameterization can disclose implementation detail even when editable model files are absent.</w:t>
      </w:r>
    </w:p>
    <w:p>
      <w:pPr>
        <w:pStyle w:val="ListBullet"/>
      </w:pPr>
      <w:r>
        <w:t>Acquisition shall support repeatable comparison of commanded and measured behavior.</w:t>
      </w:r>
    </w:p>
    <w:p>
      <w:pPr>
        <w:pStyle w:val="ListBullet"/>
      </w:pPr>
      <w:r>
        <w:t>Characterization outputs shall be identified as bench evidence rather than certified metrology.</w:t>
      </w:r>
    </w:p>
    <w:p>
      <w:pPr>
        <w:pStyle w:val="ListBullet"/>
      </w:pPr>
      <w:r>
        <w:t>Published summaries shall distinguish demonstrated capability from production qualification.</w:t>
      </w:r>
    </w:p>
    <w:p>
      <w:pPr>
        <w:pStyle w:val="Heading1"/>
      </w:pPr>
      <w:r>
        <w:t>4. Safety and Release Controls</w:t>
      </w:r>
    </w:p>
    <w:p>
      <w:pPr>
        <w:pStyle w:val="BodyText"/>
      </w:pPr>
      <w:r>
        <w:t>The platform is an engineering test asset. Public documentation therefore defines release boundaries and operator-visible safety expectations without publishing detailed commissioning or wiring procedures.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Control</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Acceptance basis</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Disposition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Enable state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Torque-producing operation is inhibited when the system is not enabled.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Required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Fault response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A detected control or communications fault produces a bounded response appropriate to a bench prototype.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Required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Public release boundary</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No source, model, tuning, protocol, or setup content is distributed.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Verified by package inspection</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Qualification claim</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No production safety, EMC, environmental, cybersecurity, or endurance certification is claimed.</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Explicit limitation</w:t>
            </w:r>
          </w:p>
        </w:tc>
      </w:tr>
    </w:tbl>
    <w:p/>
    <w:p>
      <w:pPr>
        <w:pStyle w:val="Heading1"/>
      </w:pPr>
      <w:r>
        <w:t>Requirements Verification and Traceability</w:t>
      </w:r>
    </w:p>
    <w:p>
      <w:pPr>
        <w:pStyle w:val="BodyText"/>
      </w:pPr>
      <w:r>
        <w:t>Verification in this public FRD is intentionally black-box. It establishes whether the externally observable requirement has been demonstrated, inspected, or bounded without exposing source code, models, detailed signal mappings, calibration constants, or setup procedures.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Requirement group</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Verification basis</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Public disposition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Functional behavior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Bench demonstration and retained internal engineering evidence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Demonstrated where stated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External interfaces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Observed system-level communication and feedback behavior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Demonstrated / bounded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Safety and release controls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Document and operational review</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Release-controlled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Performance characterization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Summary-level evidence only; detailed methods retained privately</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Capability demonstrated; no certified performance claim</w:t>
            </w:r>
          </w:p>
        </w:tc>
      </w:tr>
    </w:tbl>
    <w:p/>
    <w:p>
      <w:pPr>
        <w:pStyle w:val="Heading1"/>
      </w:pPr>
      <w:r>
        <w:t>Acceptance and Release Criteria</w:t>
      </w:r>
    </w:p>
    <w:p>
      <w:pPr>
        <w:pStyle w:val="ListBullet"/>
      </w:pPr>
      <w:r>
        <w:t>All mandatory public functional requirements have a defined verification method and disposition.</w:t>
      </w:r>
    </w:p>
    <w:p>
      <w:pPr>
        <w:pStyle w:val="ListBullet"/>
      </w:pPr>
      <w:r>
        <w:t>No source code, editable models, setup instructions, tuning data, detailed protocol definitions, or raw datasets are present in the public package.</w:t>
      </w:r>
    </w:p>
    <w:p>
      <w:pPr>
        <w:pStyle w:val="ListBullet"/>
      </w:pPr>
      <w:r>
        <w:t>Published statements distinguish bench demonstration from calibrated or production-qualified performance.</w:t>
      </w:r>
    </w:p>
    <w:p>
      <w:pPr>
        <w:pStyle w:val="ListBullet"/>
      </w:pPr>
      <w:r>
        <w:t>Any future public evidence is reviewed against the same black-box release boundary before publication.</w:t>
      </w:r>
    </w:p>
    <w:p>
      <w:pPr>
        <w:pStyle w:val="Heading1"/>
      </w:pPr>
      <w:r>
        <w:t>Limitations and Document Control</w:t>
      </w:r>
    </w:p>
    <w:p>
      <w:pPr>
        <w:pStyle w:val="BodyText"/>
      </w:pPr>
      <w:r>
        <w:t>This document is a public black-box FRD. It is not a design specification, source-code release, manufacturing package, laboratory procedure, or deployment guide. Implementation detail sufficient to reproduce, modify, tune, or manufacture the system is intentionally withheld.</w:t>
      </w:r>
    </w:p>
    <w:p>
      <w:pPr>
        <w:pStyle w:val="Heading2"/>
      </w:pPr>
      <w:r>
        <w:t>Attribution</w:t>
      </w:r>
    </w:p>
    <w:p>
      <w:pPr>
        <w:pStyle w:val="BodyText"/>
      </w:pPr>
      <w:r>
        <w:t>Herder Elektronische Systemen prepared this public black-box FRD to document engineering capability and verification status. Implementation source, models, protocols, calibration assets, and internal development history are controlled separately and are not part of this release.</w:t>
      </w:r>
    </w:p>
    <w:sectPr>
      <w:headerReference w:type="default" r:id="rId9"/>
      <w:footerReference w:type="default" r:id="rId10"/>
      <w:headerReference w:type="first" r:id="rId11"/>
      <w:footerReference w:type="first" r:id="rId12"/>
      <w:headerReference w:type="even" r:id="rId13"/>
      <w:footerReference w:type="even" r:id="rId14"/>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Dual-Motor PMSM Dynamometer Platform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and Host Requirements</dc:title>
  <dc:subject>Engineering requirements and verification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