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Solar Travel Policy</w:t>
      </w:r>
    </w:p>
    <w:p>
      <w:pPr>
        <w:pStyle w:val="Heading1"/>
      </w:pPr>
      <w:r>
        <w:t>Hotels</w:t>
      </w:r>
    </w:p>
    <w:p>
      <w:r>
        <w:t>Hotel costs are reimbursed up to 180 US dollars per night in standard cities.</w:t>
      </w:r>
    </w:p>
    <w:p>
      <w:pPr>
        <w:pStyle w:val="Heading1"/>
      </w:pPr>
      <w:r>
        <w:t>Meals</w:t>
      </w:r>
    </w:p>
    <w:p>
      <w:r>
        <w:t>The daily meal per diem for business travel is 65 US dollars.</w:t>
      </w:r>
    </w:p>
    <w:p>
      <w:pPr>
        <w:pStyle w:val="Heading1"/>
      </w:pPr>
      <w:r>
        <w:t>Flights</w:t>
      </w:r>
    </w:p>
    <w:p>
      <w:r>
        <w:t>Flights shorter than 6 hours must be booked in economy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