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 dan Personal </w:t>
      </w:r>
      <w:proofErr w:type="spellStart"/>
      <w:r w:rsidRPr="005C5CC8">
        <w:rPr>
          <w:lang w:val="en-US"/>
        </w:rPr>
        <w:t>eXtreme</w:t>
      </w:r>
      <w:proofErr w:type="spellEnd"/>
      <w:r w:rsidRPr="005C5CC8">
        <w:rPr>
          <w:lang w:val="en-US"/>
        </w:rPr>
        <w:t xml:space="preserve"> Programming,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2CAF6791" w:rsidR="00344C3E" w:rsidRDefault="00344C3E"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penerapan</w:t>
      </w:r>
      <w:proofErr w:type="spellEnd"/>
      <w:r>
        <w:rPr>
          <w:lang w:val="en-US"/>
        </w:rPr>
        <w:t xml:space="preserve"> </w:t>
      </w:r>
      <w:r>
        <w:rPr>
          <w:i/>
          <w:iCs/>
          <w:lang w:val="en-US"/>
        </w:rPr>
        <w:t>pre-trained machine learning model</w:t>
      </w:r>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proofErr w:type="spellStart"/>
      <w:r>
        <w:rPr>
          <w:lang w:val="en-US"/>
        </w:rPr>
        <w:t>Mengevaluasi</w:t>
      </w:r>
      <w:proofErr w:type="spellEnd"/>
      <w:r>
        <w:rPr>
          <w:lang w:val="en-US"/>
        </w:rPr>
        <w:t xml:space="preserve"> </w:t>
      </w:r>
      <w:proofErr w:type="spellStart"/>
      <w:r>
        <w:rPr>
          <w:lang w:val="en-US"/>
        </w:rPr>
        <w:t>penggunaan</w:t>
      </w:r>
      <w:proofErr w:type="spellEnd"/>
      <w:r>
        <w:rPr>
          <w:lang w:val="en-US"/>
        </w:rPr>
        <w:t xml:space="preserve"> </w:t>
      </w:r>
      <w:r w:rsidRPr="00AC3266">
        <w:rPr>
          <w:i/>
          <w:iCs/>
          <w:lang w:val="en-US"/>
        </w:rPr>
        <w:t>pre-trained machine learning mode</w:t>
      </w:r>
      <w:r>
        <w:rPr>
          <w:i/>
          <w:iCs/>
          <w:lang w:val="en-US"/>
        </w:rPr>
        <w:t>l</w:t>
      </w:r>
      <w:r>
        <w:rPr>
          <w:lang w:val="en-US"/>
        </w:rPr>
        <w:t xml:space="preserve"> pada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66E46367"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lastRenderedPageBreak/>
        <w:t>Esai</w:t>
      </w:r>
      <w:proofErr w:type="spellEnd"/>
      <w:r>
        <w:rPr>
          <w:lang w:val="en-US"/>
        </w:rPr>
        <w:t xml:space="preserve"> </w:t>
      </w:r>
      <w:proofErr w:type="spellStart"/>
      <w:r>
        <w:rPr>
          <w:lang w:val="en-US"/>
        </w:rPr>
        <w:t>Singkat</w:t>
      </w:r>
      <w:proofErr w:type="spellEnd"/>
    </w:p>
    <w:p w14:paraId="6CC4DEA2" w14:textId="1569E0B1"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Pr>
          <w:lang w:val="en-US"/>
        </w:rPr>
        <w:fldChar w:fldCharType="begin"/>
      </w:r>
      <w:r>
        <w:rPr>
          <w:lang w:val="en-US"/>
        </w:rPr>
        <w:instrText xml:space="preserve"> ADDIN ZOTERO_ITEM CSL_CITATION {"citationID":"Ec3kS7py","properties":{"formattedCitation":"[28]","plainCitation":"[28]","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Pr="002266A7">
        <w:t>[28]</w:t>
      </w:r>
      <w:r>
        <w:rPr>
          <w:lang w:val="en-US"/>
        </w:rPr>
        <w:fldChar w:fldCharType="end"/>
      </w:r>
      <w:r w:rsidRPr="002266A7">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EC53CF7"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2266A7">
        <w:rPr>
          <w:lang w:val="en-US"/>
        </w:rPr>
        <w:instrText xml:space="preserve"> ADDIN ZOTERO_ITEM CSL_CITATION {"citationID":"sBkTAn7C","properties":{"formattedCitation":"[29]","plainCitation":"[29]","noteIndex":0},"citationItems":[{"id":61,"uris":["http://zotero.org/users/10550292/items/QRA32RJW"],"itemData":{"id":61,"type":"article-journal","abstract":"Machine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2266A7" w:rsidRPr="002266A7">
        <w:t>[29]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B78622A"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2266A7">
        <w:rPr>
          <w:i/>
          <w:iCs/>
          <w:lang w:val="en-US"/>
        </w:rPr>
        <w:instrText xml:space="preserve"> ADDIN ZOTERO_ITEM CSL_CITATION {"citationID":"fqOCbQup","properties":{"formattedCitation":"[30]","plainCitation":"[30]","noteIndex":0},"citationItems":[{"id":63,"uris":["http://zotero.org/users/10550292/items/4IJMXC9D"],"itemData":{"id":63,"type":"article","abstract":"We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2266A7" w:rsidRPr="002266A7">
        <w:t>[30]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lastRenderedPageBreak/>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557C7143" w:rsidR="007F3405" w:rsidRDefault="007F3405" w:rsidP="007F3405">
      <w:pPr>
        <w:ind w:firstLine="0"/>
        <w:rPr>
          <w:lang w:val="en-US"/>
        </w:rPr>
      </w:pPr>
    </w:p>
    <w:p w14:paraId="2211F60D" w14:textId="77777777" w:rsidR="007F3405" w:rsidRPr="007F3405" w:rsidRDefault="007F3405" w:rsidP="007F3405">
      <w:pPr>
        <w:ind w:firstLine="0"/>
        <w:rPr>
          <w:lang w:val="en-US"/>
        </w:rPr>
      </w:pPr>
    </w:p>
    <w:p w14:paraId="6BAE56F0" w14:textId="67C2DC14" w:rsidR="007F3405" w:rsidRPr="007F3405" w:rsidRDefault="007F3405" w:rsidP="007F3405">
      <w:pPr>
        <w:pStyle w:val="Heading4"/>
      </w:pPr>
      <w:proofErr w:type="spellStart"/>
      <w:r>
        <w:t>Kebutuhan</w:t>
      </w:r>
      <w:proofErr w:type="spellEnd"/>
      <w:r>
        <w:t xml:space="preserve"> Non-</w:t>
      </w:r>
      <w:proofErr w:type="spellStart"/>
      <w:r>
        <w:t>Fungsional</w:t>
      </w:r>
      <w:proofErr w:type="spellEnd"/>
    </w:p>
    <w:p w14:paraId="02880874" w14:textId="26191AFA" w:rsidR="00BC0EB2" w:rsidRDefault="00BC0EB2" w:rsidP="004E4F0D">
      <w:pPr>
        <w:ind w:firstLine="0"/>
        <w:rPr>
          <w:lang w:val="en-US"/>
        </w:rPr>
      </w:pPr>
    </w:p>
    <w:p w14:paraId="2C2CC2E3" w14:textId="563B314F" w:rsidR="007F3405" w:rsidRDefault="00D376BA" w:rsidP="00D376BA">
      <w:pPr>
        <w:pStyle w:val="Heading4"/>
      </w:pPr>
      <w:r>
        <w:t>Use Case Diagram</w:t>
      </w:r>
    </w:p>
    <w:p w14:paraId="042C5087" w14:textId="24DD08BB" w:rsidR="00D376BA" w:rsidRDefault="00D376BA"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lastRenderedPageBreak/>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58606D7" w14:textId="77777777" w:rsidR="002266A7" w:rsidRPr="002266A7" w:rsidRDefault="00524D40" w:rsidP="002266A7">
      <w:pPr>
        <w:pStyle w:val="Bibliography"/>
      </w:pPr>
      <w:r>
        <w:fldChar w:fldCharType="begin"/>
      </w:r>
      <w:r>
        <w:instrText xml:space="preserve"> ADDIN ZOTERO_BIBL {"uncited":[],"omitted":[],"custom":[]} CSL_BIBLIOGRAPHY </w:instrText>
      </w:r>
      <w:r>
        <w:fldChar w:fldCharType="separate"/>
      </w:r>
      <w:r w:rsidR="002266A7" w:rsidRPr="002266A7">
        <w:t>[1]</w:t>
      </w:r>
      <w:r w:rsidR="002266A7" w:rsidRPr="002266A7">
        <w:tab/>
        <w:t>U. Nations, “Population.” https://www.un.org/en/global-issues/population (accessed Dec. 25, 2022).</w:t>
      </w:r>
    </w:p>
    <w:p w14:paraId="71C135E7" w14:textId="77777777" w:rsidR="002266A7" w:rsidRPr="002266A7" w:rsidRDefault="002266A7" w:rsidP="002266A7">
      <w:pPr>
        <w:pStyle w:val="Bibliography"/>
      </w:pPr>
      <w:r w:rsidRPr="002266A7">
        <w:t>[2]</w:t>
      </w:r>
      <w:r w:rsidRPr="002266A7">
        <w:tab/>
        <w:t>B. P. Statistik, “Jumlah Penduduk Pertengahan Tahun (Ribu Jiwa), 2020-2022.” https://www.bps.go.id/indicator/12/1975/1/jumlah-penduduk-pertengahan-tahun.html (accessed Dec. 26, 2022).</w:t>
      </w:r>
    </w:p>
    <w:p w14:paraId="1C3DC9EB" w14:textId="77777777" w:rsidR="002266A7" w:rsidRPr="002266A7" w:rsidRDefault="002266A7" w:rsidP="002266A7">
      <w:pPr>
        <w:pStyle w:val="Bibliography"/>
      </w:pPr>
      <w:r w:rsidRPr="002266A7">
        <w:t>[3]</w:t>
      </w:r>
      <w:r w:rsidRPr="002266A7">
        <w:tab/>
        <w:t>B. P. Statistik, “Jumlah Penduduk Menurut Kelompok Umur dan Jenis Kelamin, 2021.” https://www.bps.go.id/indikator/indikator/view_data_pub/0000/api_pub/YW40a21pdTU1cnJxOGt6dm43ZEdoZz09/da_03/1 (accessed Dec. 26, 2022).</w:t>
      </w:r>
    </w:p>
    <w:p w14:paraId="0977FE89" w14:textId="77777777" w:rsidR="002266A7" w:rsidRPr="002266A7" w:rsidRDefault="002266A7" w:rsidP="002266A7">
      <w:pPr>
        <w:pStyle w:val="Bibliography"/>
      </w:pPr>
      <w:r w:rsidRPr="002266A7">
        <w:t>[4]</w:t>
      </w:r>
      <w:r w:rsidRPr="002266A7">
        <w:tab/>
        <w:t>F. Oktariano and H. Hastuti, “Buku Panduan penulisan Esai Berdasarkan Analisis Historical Thinking,” vol. 2, no. 4, 2020.</w:t>
      </w:r>
    </w:p>
    <w:p w14:paraId="5B6C9028" w14:textId="77777777" w:rsidR="002266A7" w:rsidRPr="002266A7" w:rsidRDefault="002266A7" w:rsidP="002266A7">
      <w:pPr>
        <w:pStyle w:val="Bibliography"/>
      </w:pPr>
      <w:r w:rsidRPr="002266A7">
        <w:t>[5]</w:t>
      </w:r>
      <w:r w:rsidRPr="002266A7">
        <w:tab/>
        <w:t xml:space="preserve">E. Amorim, M. Cançado, and A. Veloso, “Automated Essay Scoring in the Presence of Biased Ratings,” in </w:t>
      </w:r>
      <w:r w:rsidRPr="002266A7">
        <w:rPr>
          <w:i/>
          <w:iCs/>
        </w:rPr>
        <w:t>Proceedings of the 2018 Conference of the North American Chapter of           the Association for Computational Linguistics: Human Language           Technologies, Volume 1 (Long Papers)</w:t>
      </w:r>
      <w:r w:rsidRPr="002266A7">
        <w:t>, New Orleans, Louisiana, 2018, pp. 229–237. doi: 10.18653/v1/N18-1021.</w:t>
      </w:r>
    </w:p>
    <w:p w14:paraId="6EE325D2" w14:textId="77777777" w:rsidR="002266A7" w:rsidRPr="002266A7" w:rsidRDefault="002266A7" w:rsidP="002266A7">
      <w:pPr>
        <w:pStyle w:val="Bibliography"/>
      </w:pPr>
      <w:r w:rsidRPr="002266A7">
        <w:t>[6]</w:t>
      </w:r>
      <w:r w:rsidRPr="002266A7">
        <w:tab/>
        <w:t xml:space="preserve">D. Fortunato and J. Bernardino, “Progressive web apps: An alternative to the native mobile Apps,” in </w:t>
      </w:r>
      <w:r w:rsidRPr="002266A7">
        <w:rPr>
          <w:i/>
          <w:iCs/>
        </w:rPr>
        <w:t>2018 13th Iberian Conference on Information Systems and Technologies (CISTI)</w:t>
      </w:r>
      <w:r w:rsidRPr="002266A7">
        <w:t>, Caceres, Jun. 2018, pp. 1–6. doi: 10.23919/CISTI.2018.8399228.</w:t>
      </w:r>
    </w:p>
    <w:p w14:paraId="1B2EDA95" w14:textId="77777777" w:rsidR="002266A7" w:rsidRPr="002266A7" w:rsidRDefault="002266A7" w:rsidP="002266A7">
      <w:pPr>
        <w:pStyle w:val="Bibliography"/>
      </w:pPr>
      <w:r w:rsidRPr="002266A7">
        <w:t>[7]</w:t>
      </w:r>
      <w:r w:rsidRPr="002266A7">
        <w:tab/>
        <w:t xml:space="preserve">M. M. Moe and University of Computer Studies, Hpa-An, Kayin State, Myanmar, “Comparative Study of Test-Driven Development TDD, Behavior-Driven Development BDD and Acceptance Test–Driven Development ATDD,” </w:t>
      </w:r>
      <w:r w:rsidRPr="002266A7">
        <w:rPr>
          <w:i/>
          <w:iCs/>
        </w:rPr>
        <w:t>Int. J. Trend Sci. Res. Dev.</w:t>
      </w:r>
      <w:r w:rsidRPr="002266A7">
        <w:t>, vol. Volume-3, no. Issue-4, pp. 231–234, Jun. 2019, doi: 10.31142/ijtsrd23698.</w:t>
      </w:r>
    </w:p>
    <w:p w14:paraId="6F84522E" w14:textId="77777777" w:rsidR="002266A7" w:rsidRPr="002266A7" w:rsidRDefault="002266A7" w:rsidP="002266A7">
      <w:pPr>
        <w:pStyle w:val="Bibliography"/>
      </w:pPr>
      <w:r w:rsidRPr="002266A7">
        <w:t>[8]</w:t>
      </w:r>
      <w:r w:rsidRPr="002266A7">
        <w:tab/>
        <w:t xml:space="preserve">J. B. Ibarra </w:t>
      </w:r>
      <w:r w:rsidRPr="002266A7">
        <w:rPr>
          <w:i/>
          <w:iCs/>
        </w:rPr>
        <w:t>et al.</w:t>
      </w:r>
      <w:r w:rsidRPr="002266A7">
        <w:t xml:space="preserve">, “Development of the Low Cost Classroom Response System Using Test-Driven Development Approach and Analysis of the Adaptive Capability of Students Using Sequential Minimal Optimization Algorithm,” in </w:t>
      </w:r>
      <w:r w:rsidRPr="002266A7">
        <w:rPr>
          <w:i/>
          <w:iCs/>
        </w:rPr>
        <w:t>2019 IEEE 6th International Conference on Industrial Engineering and Applications (ICIEA)</w:t>
      </w:r>
      <w:r w:rsidRPr="002266A7">
        <w:t>, Tokyo, Japan, Apr. 2019, pp. 689–693. doi: 10.1109/IEA.2019.8714889.</w:t>
      </w:r>
    </w:p>
    <w:p w14:paraId="42519690" w14:textId="77777777" w:rsidR="002266A7" w:rsidRPr="002266A7" w:rsidRDefault="002266A7" w:rsidP="002266A7">
      <w:pPr>
        <w:pStyle w:val="Bibliography"/>
      </w:pPr>
      <w:r w:rsidRPr="002266A7">
        <w:t>[9]</w:t>
      </w:r>
      <w:r w:rsidRPr="002266A7">
        <w:tab/>
        <w:t xml:space="preserve">D. Pal and V. Vanijja, “Perceived usability evaluation of Microsoft Teams as an online learning platform during COVID-19 using system usability scale and technology acceptance model in India,” </w:t>
      </w:r>
      <w:r w:rsidRPr="002266A7">
        <w:rPr>
          <w:i/>
          <w:iCs/>
        </w:rPr>
        <w:t>Child. Youth Serv. Rev.</w:t>
      </w:r>
      <w:r w:rsidRPr="002266A7">
        <w:t>, vol. 119, p. 105535, Dec. 2020, doi: 10.1016/j.childyouth.2020.105535.</w:t>
      </w:r>
    </w:p>
    <w:p w14:paraId="4F09E2DC" w14:textId="77777777" w:rsidR="002266A7" w:rsidRPr="002266A7" w:rsidRDefault="002266A7" w:rsidP="002266A7">
      <w:pPr>
        <w:pStyle w:val="Bibliography"/>
      </w:pPr>
      <w:r w:rsidRPr="002266A7">
        <w:t>[10]</w:t>
      </w:r>
      <w:r w:rsidRPr="002266A7">
        <w:tab/>
        <w:t xml:space="preserve">P. Vlachogianni and N. Tselios, “Perceived usability evaluation of educational technology using the System Usability Scale (SUS): A systematic review,” </w:t>
      </w:r>
      <w:r w:rsidRPr="002266A7">
        <w:rPr>
          <w:i/>
          <w:iCs/>
        </w:rPr>
        <w:t>J. Res. Technol. Educ.</w:t>
      </w:r>
      <w:r w:rsidRPr="002266A7">
        <w:t>, vol. 54, no. 3, pp. 392–409, May 2022, doi: 10.1080/15391523.2020.1867938.</w:t>
      </w:r>
    </w:p>
    <w:p w14:paraId="4950F5E0" w14:textId="77777777" w:rsidR="002266A7" w:rsidRPr="002266A7" w:rsidRDefault="002266A7" w:rsidP="002266A7">
      <w:pPr>
        <w:pStyle w:val="Bibliography"/>
      </w:pPr>
      <w:r w:rsidRPr="002266A7">
        <w:t>[11]</w:t>
      </w:r>
      <w:r w:rsidRPr="002266A7">
        <w:tab/>
        <w:t>T. Hidayat and M. Muttaqin, “Pengujian Sistem Informasi Pendaftaran dan Pembayaran Wisuda Online menggunakan Black Box Testing dengan Metode Equivalence Partitioning dan Boundary Value Analysis,” vol. 6, 2018.</w:t>
      </w:r>
    </w:p>
    <w:p w14:paraId="41F5780E" w14:textId="77777777" w:rsidR="002266A7" w:rsidRPr="002266A7" w:rsidRDefault="002266A7" w:rsidP="002266A7">
      <w:pPr>
        <w:pStyle w:val="Bibliography"/>
      </w:pPr>
      <w:r w:rsidRPr="002266A7">
        <w:t>[12]</w:t>
      </w:r>
      <w:r w:rsidRPr="002266A7">
        <w:tab/>
        <w:t xml:space="preserve"> xinyu chang and  jing Li, “Improvement of Excel data processing function based on Spring MVC framework,” in </w:t>
      </w:r>
      <w:r w:rsidRPr="002266A7">
        <w:rPr>
          <w:i/>
          <w:iCs/>
        </w:rPr>
        <w:t xml:space="preserve">Third International Conference on </w:t>
      </w:r>
      <w:r w:rsidRPr="002266A7">
        <w:rPr>
          <w:i/>
          <w:iCs/>
        </w:rPr>
        <w:lastRenderedPageBreak/>
        <w:t>Computer Science and Communication Technology (ICCSCT 2022)</w:t>
      </w:r>
      <w:r w:rsidRPr="002266A7">
        <w:t>, Beijing, China, Dec. 2022, p. 25. doi: 10.1117/12.2661778.</w:t>
      </w:r>
    </w:p>
    <w:p w14:paraId="010B7739" w14:textId="77777777" w:rsidR="002266A7" w:rsidRPr="002266A7" w:rsidRDefault="002266A7" w:rsidP="002266A7">
      <w:pPr>
        <w:pStyle w:val="Bibliography"/>
      </w:pPr>
      <w:r w:rsidRPr="002266A7">
        <w:t>[13]</w:t>
      </w:r>
      <w:r w:rsidRPr="002266A7">
        <w:tab/>
        <w:t>I. Glantz and H. Hurtig, “Express.js and Ktor web server performance A comparative study”.</w:t>
      </w:r>
    </w:p>
    <w:p w14:paraId="2FE979C9" w14:textId="77777777" w:rsidR="002266A7" w:rsidRPr="002266A7" w:rsidRDefault="002266A7" w:rsidP="002266A7">
      <w:pPr>
        <w:pStyle w:val="Bibliography"/>
      </w:pPr>
      <w:r w:rsidRPr="002266A7">
        <w:t>[14]</w:t>
      </w:r>
      <w:r w:rsidRPr="002266A7">
        <w:tab/>
        <w:t xml:space="preserve">D. Smilkov </w:t>
      </w:r>
      <w:r w:rsidRPr="002266A7">
        <w:rPr>
          <w:i/>
          <w:iCs/>
        </w:rPr>
        <w:t>et al.</w:t>
      </w:r>
      <w:r w:rsidRPr="002266A7">
        <w:t>, “TensorFlow.js: Machine Learning for the Web and Beyond”.</w:t>
      </w:r>
    </w:p>
    <w:p w14:paraId="2AF1D0B7" w14:textId="77777777" w:rsidR="002266A7" w:rsidRPr="002266A7" w:rsidRDefault="002266A7" w:rsidP="002266A7">
      <w:pPr>
        <w:pStyle w:val="Bibliography"/>
      </w:pPr>
      <w:r w:rsidRPr="002266A7">
        <w:t>[15]</w:t>
      </w:r>
      <w:r w:rsidRPr="002266A7">
        <w:tab/>
        <w:t>S. L. Ingólfsdóttir, H. Loftsson, J. F. Daðason, and K. Bjarnadóttir, “Nefnir: A high accuracy lemmatizer for Icelandic.” arXiv, Jul. 27, 2019. Accessed: Jan. 05, 2023. [Online]. Available: http://arxiv.org/abs/1907.11907</w:t>
      </w:r>
    </w:p>
    <w:p w14:paraId="19E0C068" w14:textId="77777777" w:rsidR="002266A7" w:rsidRPr="002266A7" w:rsidRDefault="002266A7" w:rsidP="002266A7">
      <w:pPr>
        <w:pStyle w:val="Bibliography"/>
      </w:pPr>
      <w:r w:rsidRPr="002266A7">
        <w:t>[16]</w:t>
      </w:r>
      <w:r w:rsidRPr="002266A7">
        <w:tab/>
        <w:t xml:space="preserve">B. Jose and S. Abraham, “Performance analysis of NoSQL and relational databases with MongoDB and MySQL,” </w:t>
      </w:r>
      <w:r w:rsidRPr="002266A7">
        <w:rPr>
          <w:i/>
          <w:iCs/>
        </w:rPr>
        <w:t>Mater. Today Proc.</w:t>
      </w:r>
      <w:r w:rsidRPr="002266A7">
        <w:t>, vol. 24, pp. 2036–2043, 2020, doi: 10.1016/j.matpr.2020.03.634.</w:t>
      </w:r>
    </w:p>
    <w:p w14:paraId="5E420F4A" w14:textId="77777777" w:rsidR="002266A7" w:rsidRPr="002266A7" w:rsidRDefault="002266A7" w:rsidP="002266A7">
      <w:pPr>
        <w:pStyle w:val="Bibliography"/>
      </w:pPr>
      <w:r w:rsidRPr="002266A7">
        <w:t>[17]</w:t>
      </w:r>
      <w:r w:rsidRPr="002266A7">
        <w:tab/>
        <w:t xml:space="preserve">G. Steinfeld, “5 steps of test-driven development,” </w:t>
      </w:r>
      <w:r w:rsidRPr="002266A7">
        <w:rPr>
          <w:i/>
          <w:iCs/>
        </w:rPr>
        <w:t>IBM Developer</w:t>
      </w:r>
      <w:r w:rsidRPr="002266A7">
        <w:t>, Feb. 06, 2020. [Online]. Available: https://developer.ibm.com/articles/5-steps-of-test-driven-development/</w:t>
      </w:r>
    </w:p>
    <w:p w14:paraId="2751603D" w14:textId="77777777" w:rsidR="002266A7" w:rsidRPr="002266A7" w:rsidRDefault="002266A7" w:rsidP="002266A7">
      <w:pPr>
        <w:pStyle w:val="Bibliography"/>
      </w:pPr>
      <w:r w:rsidRPr="002266A7">
        <w:t>[18]</w:t>
      </w:r>
      <w:r w:rsidRPr="002266A7">
        <w:tab/>
        <w:t xml:space="preserve">Institut Teknologi Sepuluh Nopember </w:t>
      </w:r>
      <w:r w:rsidRPr="002266A7">
        <w:rPr>
          <w:i/>
          <w:iCs/>
        </w:rPr>
        <w:t>et al.</w:t>
      </w:r>
      <w:r w:rsidRPr="002266A7">
        <w:t xml:space="preserve">, “A Different Approach on Automated Use Case Diagram Semantic Assessment,” </w:t>
      </w:r>
      <w:r w:rsidRPr="002266A7">
        <w:rPr>
          <w:i/>
          <w:iCs/>
        </w:rPr>
        <w:t>Int. J. Intell. Eng. Syst.</w:t>
      </w:r>
      <w:r w:rsidRPr="002266A7">
        <w:t>, vol. 14, no. 1, pp. 496–505, Feb. 2021, doi: 10.22266/ijies2021.0228.46.</w:t>
      </w:r>
    </w:p>
    <w:p w14:paraId="77E5D7ED" w14:textId="77777777" w:rsidR="002266A7" w:rsidRPr="002266A7" w:rsidRDefault="002266A7" w:rsidP="002266A7">
      <w:pPr>
        <w:pStyle w:val="Bibliography"/>
      </w:pPr>
      <w:r w:rsidRPr="002266A7">
        <w:t>[19]</w:t>
      </w:r>
      <w:r w:rsidRPr="002266A7">
        <w:tab/>
        <w:t xml:space="preserve">Dept. of Computer Science &amp; Engineering, BITM, VTU, Ballari, India., Dr. R. N. Kulkarni, C. K. Srinivasa, and Dept. of Computer Science &amp; Engineering, BITM, VTU, Ballari, India., “Novel approach to transform UML Sequence diagram to Activity diagram,” </w:t>
      </w:r>
      <w:r w:rsidRPr="002266A7">
        <w:rPr>
          <w:i/>
          <w:iCs/>
        </w:rPr>
        <w:t>J. Univ. Shanghai Sci. Technol.</w:t>
      </w:r>
      <w:r w:rsidRPr="002266A7">
        <w:t>, vol. 23, no. 07, pp. 1247–1255, Jul. 2021, doi: 10.51201/JUSST/21/07300.</w:t>
      </w:r>
    </w:p>
    <w:p w14:paraId="4799A226" w14:textId="77777777" w:rsidR="002266A7" w:rsidRPr="002266A7" w:rsidRDefault="002266A7" w:rsidP="002266A7">
      <w:pPr>
        <w:pStyle w:val="Bibliography"/>
      </w:pPr>
      <w:r w:rsidRPr="002266A7">
        <w:t>[20]</w:t>
      </w:r>
      <w:r w:rsidRPr="002266A7">
        <w:tab/>
        <w:t xml:space="preserve">M. Shirole and R. Kumar, “Constrained permutation-based test scenario generation from concurrent activity diagrams,” </w:t>
      </w:r>
      <w:r w:rsidRPr="002266A7">
        <w:rPr>
          <w:i/>
          <w:iCs/>
        </w:rPr>
        <w:t>Innov. Syst. Softw. Eng.</w:t>
      </w:r>
      <w:r w:rsidRPr="002266A7">
        <w:t>, vol. 17, no. 4, pp. 343–353, Dec. 2021, doi: 10.1007/s11334-021-00389-4.</w:t>
      </w:r>
    </w:p>
    <w:p w14:paraId="6BEE59CD" w14:textId="77777777" w:rsidR="002266A7" w:rsidRPr="002266A7" w:rsidRDefault="002266A7" w:rsidP="002266A7">
      <w:pPr>
        <w:pStyle w:val="Bibliography"/>
      </w:pPr>
      <w:r w:rsidRPr="002266A7">
        <w:t>[21]</w:t>
      </w:r>
      <w:r w:rsidRPr="002266A7">
        <w:tab/>
        <w:t>A. Firdaus, S. Widodo, A. Sutrisman, S. G. F. Nasution, and R. Mardiana, “RANCANG BANGUN SISTEM INFORMASI PERPUSTAKAAN MENGGUNAKAN WEB SERVICE PADA JURUSAN TEKNIK KOMPUTER POLSRI,” vol. 5, 2019.</w:t>
      </w:r>
    </w:p>
    <w:p w14:paraId="31F8110C" w14:textId="77777777" w:rsidR="002266A7" w:rsidRPr="002266A7" w:rsidRDefault="002266A7" w:rsidP="002266A7">
      <w:pPr>
        <w:pStyle w:val="Bibliography"/>
      </w:pPr>
      <w:r w:rsidRPr="002266A7">
        <w:t>[22]</w:t>
      </w:r>
      <w:r w:rsidRPr="002266A7">
        <w:tab/>
        <w:t xml:space="preserve">A. Ismail and K. S. Kuppusamy, “Web accessibility investigation and identification of major issues of higher education websites with statistical measures: A case study of college websites,” </w:t>
      </w:r>
      <w:r w:rsidRPr="002266A7">
        <w:rPr>
          <w:i/>
          <w:iCs/>
        </w:rPr>
        <w:t>J. King Saud Univ. - Comput. Inf. Sci.</w:t>
      </w:r>
      <w:r w:rsidRPr="002266A7">
        <w:t>, vol. 34, no. 3, pp. 901–911, Mar. 2022, doi: 10.1016/j.jksuci.2019.03.011.</w:t>
      </w:r>
    </w:p>
    <w:p w14:paraId="14B2D1B4" w14:textId="77777777" w:rsidR="002266A7" w:rsidRPr="002266A7" w:rsidRDefault="002266A7" w:rsidP="002266A7">
      <w:pPr>
        <w:pStyle w:val="Bibliography"/>
      </w:pPr>
      <w:r w:rsidRPr="002266A7">
        <w:t>[23]</w:t>
      </w:r>
      <w:r w:rsidRPr="002266A7">
        <w:tab/>
        <w:t xml:space="preserve">R. S. Malik, J. Patra, and M. Pradel, “NL2Type: Inferring JavaScript Function Types from Natural Language Information,” in </w:t>
      </w:r>
      <w:r w:rsidRPr="002266A7">
        <w:rPr>
          <w:i/>
          <w:iCs/>
        </w:rPr>
        <w:t>2019 IEEE/ACM 41st International Conference on Software Engineering (ICSE)</w:t>
      </w:r>
      <w:r w:rsidRPr="002266A7">
        <w:t>, Montreal, QC, Canada, May 2019, pp. 304–315. doi: 10.1109/ICSE.2019.00045.</w:t>
      </w:r>
    </w:p>
    <w:p w14:paraId="2B239FCA" w14:textId="77777777" w:rsidR="002266A7" w:rsidRPr="002266A7" w:rsidRDefault="002266A7" w:rsidP="002266A7">
      <w:pPr>
        <w:pStyle w:val="Bibliography"/>
      </w:pPr>
      <w:r w:rsidRPr="002266A7">
        <w:t>[24]</w:t>
      </w:r>
      <w:r w:rsidRPr="002266A7">
        <w:tab/>
        <w:t>M. Shcherbakov, M. Balliu, and C.-A. Staicu, “Silent Spring: Prototype Pollution Leads to Remote Code Execution in Node.js”.</w:t>
      </w:r>
    </w:p>
    <w:p w14:paraId="10B5C11B" w14:textId="77777777" w:rsidR="002266A7" w:rsidRPr="002266A7" w:rsidRDefault="002266A7" w:rsidP="002266A7">
      <w:pPr>
        <w:pStyle w:val="Bibliography"/>
      </w:pPr>
      <w:r w:rsidRPr="002266A7">
        <w:t>[25]</w:t>
      </w:r>
      <w:r w:rsidRPr="002266A7">
        <w:tab/>
        <w:t xml:space="preserve">H. Brar, T. Kaur, and Y. Rajoria, “The Better Comparison between PHP, Python-web &amp; Node.js,” </w:t>
      </w:r>
      <w:r w:rsidRPr="002266A7">
        <w:rPr>
          <w:i/>
          <w:iCs/>
        </w:rPr>
        <w:t>web ..</w:t>
      </w:r>
      <w:r w:rsidRPr="002266A7">
        <w:t>.</w:t>
      </w:r>
    </w:p>
    <w:p w14:paraId="27BDEF8B" w14:textId="77777777" w:rsidR="002266A7" w:rsidRPr="002266A7" w:rsidRDefault="002266A7" w:rsidP="002266A7">
      <w:pPr>
        <w:pStyle w:val="Bibliography"/>
      </w:pPr>
      <w:r w:rsidRPr="002266A7">
        <w:t>[26]</w:t>
      </w:r>
      <w:r w:rsidRPr="002266A7">
        <w:tab/>
        <w:t>A. Romanelli, S. Serbout, and C. Pautasso, “ExpressO: From Express.js implementation code to OpenAPI interface descriptions”.</w:t>
      </w:r>
    </w:p>
    <w:p w14:paraId="3C9B6CF5" w14:textId="77777777" w:rsidR="002266A7" w:rsidRPr="002266A7" w:rsidRDefault="002266A7" w:rsidP="002266A7">
      <w:pPr>
        <w:pStyle w:val="Bibliography"/>
      </w:pPr>
      <w:r w:rsidRPr="002266A7">
        <w:t>[27]</w:t>
      </w:r>
      <w:r w:rsidRPr="002266A7">
        <w:tab/>
        <w:t xml:space="preserve">G. Langdale and D. Lemire, “Parsing gigabytes of JSON per second,” </w:t>
      </w:r>
      <w:r w:rsidRPr="002266A7">
        <w:rPr>
          <w:i/>
          <w:iCs/>
        </w:rPr>
        <w:t>VLDB J.</w:t>
      </w:r>
      <w:r w:rsidRPr="002266A7">
        <w:t>, vol. 28, no. 6, pp. 941–960, Dec. 2019, doi: 10.1007/s00778-019-00578-5.</w:t>
      </w:r>
    </w:p>
    <w:p w14:paraId="31AFB518" w14:textId="77777777" w:rsidR="002266A7" w:rsidRPr="002266A7" w:rsidRDefault="002266A7" w:rsidP="002266A7">
      <w:pPr>
        <w:pStyle w:val="Bibliography"/>
      </w:pPr>
      <w:r w:rsidRPr="002266A7">
        <w:t>[28]</w:t>
      </w:r>
      <w:r w:rsidRPr="002266A7">
        <w:tab/>
        <w:t>S. Hamza, M. Sarosa, and P. B. Santoso, “Sistem Koreksi Soal Essay Otomatis Dengan Menggunakan Metode Rabin Karp,” vol. 7, no. 2, 2013.</w:t>
      </w:r>
    </w:p>
    <w:p w14:paraId="3CC31523" w14:textId="77777777" w:rsidR="002266A7" w:rsidRPr="002266A7" w:rsidRDefault="002266A7" w:rsidP="002266A7">
      <w:pPr>
        <w:pStyle w:val="Bibliography"/>
      </w:pPr>
      <w:r w:rsidRPr="002266A7">
        <w:lastRenderedPageBreak/>
        <w:t>[29]</w:t>
      </w:r>
      <w:r w:rsidRPr="002266A7">
        <w:tab/>
        <w:t xml:space="preserve">J. Hao and T. K. Ho, “Machine Learning Made Easy: A Review of </w:t>
      </w:r>
      <w:r w:rsidRPr="002266A7">
        <w:rPr>
          <w:i/>
          <w:iCs/>
        </w:rPr>
        <w:t>Scikit-learn</w:t>
      </w:r>
      <w:r w:rsidRPr="002266A7">
        <w:t xml:space="preserve"> Package in Python Programming Language,” </w:t>
      </w:r>
      <w:r w:rsidRPr="002266A7">
        <w:rPr>
          <w:i/>
          <w:iCs/>
        </w:rPr>
        <w:t>J. Educ. Behav. Stat.</w:t>
      </w:r>
      <w:r w:rsidRPr="002266A7">
        <w:t>, vol. 44, no. 3, pp. 348–361, Jun. 2019, doi: 10.3102/1076998619832248.</w:t>
      </w:r>
    </w:p>
    <w:p w14:paraId="230EBB21" w14:textId="77777777" w:rsidR="002266A7" w:rsidRPr="002266A7" w:rsidRDefault="002266A7" w:rsidP="002266A7">
      <w:pPr>
        <w:pStyle w:val="Bibliography"/>
      </w:pPr>
      <w:r w:rsidRPr="002266A7">
        <w:t>[30]</w:t>
      </w:r>
      <w:r w:rsidRPr="002266A7">
        <w:tab/>
        <w:t>P. Qi, Y. Zhang, Y. Zhang, J. Bolton, and C. D. Manning, “Stanza: A Python Natural Language Processing Toolkit for Many Human Languages.” arXiv, Apr. 23, 2020. Accessed: Jan. 09, 2023. [Online]. Available: http://arxiv.org/abs/2003.07082</w:t>
      </w:r>
    </w:p>
    <w:p w14:paraId="2C0F537D" w14:textId="7E1AC31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04279" w14:textId="77777777" w:rsidR="003A1320" w:rsidRDefault="003A1320">
      <w:pPr>
        <w:spacing w:line="240" w:lineRule="auto"/>
      </w:pPr>
      <w:r>
        <w:separator/>
      </w:r>
    </w:p>
  </w:endnote>
  <w:endnote w:type="continuationSeparator" w:id="0">
    <w:p w14:paraId="52AE2AC9" w14:textId="77777777" w:rsidR="003A1320" w:rsidRDefault="003A1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CF1B" w14:textId="77777777" w:rsidR="003A1320" w:rsidRDefault="003A1320">
      <w:pPr>
        <w:spacing w:line="240" w:lineRule="auto"/>
      </w:pPr>
      <w:r>
        <w:separator/>
      </w:r>
    </w:p>
  </w:footnote>
  <w:footnote w:type="continuationSeparator" w:id="0">
    <w:p w14:paraId="2EDC99BD" w14:textId="77777777" w:rsidR="003A1320" w:rsidRDefault="003A13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A685E"/>
    <w:rsid w:val="008B5206"/>
    <w:rsid w:val="008B7820"/>
    <w:rsid w:val="008D3E03"/>
    <w:rsid w:val="008D6732"/>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34385"/>
    <w:rsid w:val="00C51336"/>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8110</TotalTime>
  <Pages>46</Pages>
  <Words>19094</Words>
  <Characters>108837</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178</cp:revision>
  <cp:lastPrinted>2023-02-13T05:29:00Z</cp:lastPrinted>
  <dcterms:created xsi:type="dcterms:W3CDTF">2022-12-06T11:20:00Z</dcterms:created>
  <dcterms:modified xsi:type="dcterms:W3CDTF">2023-02-15T05:52:00Z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id="cu0wbXlz"/&gt;&lt;style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