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90222" w14:textId="77777777" w:rsidR="004914A2" w:rsidRDefault="004914A2" w:rsidP="004914A2">
      <w:pPr>
        <w:spacing w:before="100" w:beforeAutospacing="1"/>
        <w:jc w:val="center"/>
        <w:rPr>
          <w:rFonts w:ascii="Calibri" w:hAnsi="Calibri" w:cs="Calibri"/>
          <w:b/>
          <w:bCs/>
          <w:sz w:val="40"/>
          <w:szCs w:val="40"/>
        </w:rPr>
      </w:pPr>
    </w:p>
    <w:p w14:paraId="22AA5CEB" w14:textId="50CB4F2B" w:rsidR="004914A2" w:rsidRPr="00AA7A98" w:rsidRDefault="004914A2" w:rsidP="004914A2">
      <w:pPr>
        <w:spacing w:before="100" w:beforeAutospacing="1"/>
        <w:jc w:val="center"/>
        <w:rPr>
          <w:rFonts w:ascii="Calibri" w:hAnsi="Calibri" w:cs="Calibri"/>
          <w:b/>
          <w:bCs/>
          <w:sz w:val="40"/>
          <w:szCs w:val="40"/>
        </w:rPr>
      </w:pPr>
      <w:r w:rsidRPr="00AA7A98">
        <w:rPr>
          <w:rFonts w:ascii="Calibri" w:hAnsi="Calibri" w:cs="Calibri"/>
          <w:b/>
          <w:bCs/>
          <w:sz w:val="40"/>
          <w:szCs w:val="40"/>
        </w:rPr>
        <w:t>Expanded ETF Taxonomy or Classification Data Feed</w:t>
      </w:r>
    </w:p>
    <w:p w14:paraId="7CBB5C8A" w14:textId="77777777" w:rsidR="004914A2" w:rsidRDefault="004914A2" w:rsidP="004914A2">
      <w:pPr>
        <w:spacing w:before="100" w:beforeAutospacing="1"/>
        <w:rPr>
          <w:rFonts w:ascii="Calibri" w:hAnsi="Calibri" w:cs="Calibri"/>
          <w:b/>
          <w:bCs/>
          <w:sz w:val="22"/>
          <w:szCs w:val="22"/>
        </w:rPr>
      </w:pPr>
      <w:r>
        <w:rPr>
          <w:rFonts w:ascii="Calibri" w:hAnsi="Calibri" w:cs="Calibri"/>
          <w:b/>
          <w:bCs/>
          <w:sz w:val="22"/>
          <w:szCs w:val="22"/>
        </w:rPr>
        <w:t>2.20.25</w:t>
      </w:r>
    </w:p>
    <w:p w14:paraId="3ADA0AAD" w14:textId="77777777" w:rsidR="004914A2" w:rsidRDefault="004914A2" w:rsidP="004914A2">
      <w:pPr>
        <w:spacing w:before="100" w:beforeAutospacing="1"/>
        <w:rPr>
          <w:rFonts w:ascii="Calibri" w:hAnsi="Calibri" w:cs="Calibri"/>
          <w:b/>
          <w:bCs/>
          <w:sz w:val="22"/>
          <w:szCs w:val="22"/>
        </w:rPr>
      </w:pPr>
      <w:hyperlink r:id="rId7" w:history="1">
        <w:r>
          <w:rPr>
            <w:rStyle w:val="Hyperlink"/>
            <w:rFonts w:ascii="Calibri" w:hAnsi="Calibri" w:cs="Calibri"/>
            <w:b/>
            <w:bCs/>
            <w:sz w:val="22"/>
            <w:szCs w:val="22"/>
          </w:rPr>
          <w:t>ETF Global Expanded Taxonomy - 2025 - 1.1.25</w:t>
        </w:r>
      </w:hyperlink>
      <w:r>
        <w:rPr>
          <w:rFonts w:ascii="Calibri" w:hAnsi="Calibri" w:cs="Calibri"/>
          <w:b/>
          <w:bCs/>
          <w:sz w:val="22"/>
          <w:szCs w:val="22"/>
        </w:rPr>
        <w:t>  - (</w:t>
      </w:r>
      <w:proofErr w:type="spellStart"/>
      <w:r>
        <w:rPr>
          <w:rFonts w:ascii="Calibri" w:hAnsi="Calibri" w:cs="Calibri"/>
          <w:b/>
          <w:bCs/>
          <w:sz w:val="22"/>
          <w:szCs w:val="22"/>
        </w:rPr>
        <w:t>url</w:t>
      </w:r>
      <w:proofErr w:type="spellEnd"/>
      <w:r>
        <w:rPr>
          <w:rFonts w:ascii="Calibri" w:hAnsi="Calibri" w:cs="Calibri"/>
          <w:b/>
          <w:bCs/>
          <w:sz w:val="22"/>
          <w:szCs w:val="22"/>
        </w:rPr>
        <w:t xml:space="preserve"> for product brochure) </w:t>
      </w:r>
    </w:p>
    <w:p w14:paraId="59D86217" w14:textId="77777777" w:rsidR="004914A2" w:rsidRDefault="004914A2" w:rsidP="004914A2">
      <w:pPr>
        <w:spacing w:before="100" w:beforeAutospacing="1"/>
        <w:rPr>
          <w:rFonts w:ascii="Calibri" w:hAnsi="Calibri" w:cs="Calibri"/>
          <w:sz w:val="22"/>
          <w:szCs w:val="22"/>
        </w:rPr>
      </w:pPr>
      <w:r>
        <w:rPr>
          <w:rFonts w:ascii="Calibri" w:hAnsi="Calibri" w:cs="Calibri"/>
          <w:sz w:val="22"/>
          <w:szCs w:val="22"/>
        </w:rPr>
        <w:t xml:space="preserve">Our </w:t>
      </w:r>
      <w:r>
        <w:rPr>
          <w:rFonts w:ascii="Calibri" w:hAnsi="Calibri" w:cs="Calibri"/>
          <w:b/>
          <w:bCs/>
          <w:sz w:val="22"/>
          <w:szCs w:val="22"/>
        </w:rPr>
        <w:t>Expanded ETF Taxonomy or Classification service</w:t>
      </w:r>
      <w:r>
        <w:rPr>
          <w:rFonts w:ascii="Calibri" w:hAnsi="Calibri" w:cs="Calibri"/>
          <w:sz w:val="22"/>
          <w:szCs w:val="22"/>
        </w:rPr>
        <w:t xml:space="preserve"> is utilized by many firms – both Issuers and end users for analytics or product comparisons - to compare all US listed ETFs.  It is a unique </w:t>
      </w:r>
      <w:r>
        <w:rPr>
          <w:rFonts w:ascii="Calibri" w:hAnsi="Calibri" w:cs="Calibri"/>
          <w:color w:val="212121"/>
          <w:sz w:val="22"/>
          <w:szCs w:val="22"/>
        </w:rPr>
        <w:t xml:space="preserve">data feed that provides our Classification service, which is far more granular and complete for all US listed </w:t>
      </w:r>
      <w:proofErr w:type="gramStart"/>
      <w:r>
        <w:rPr>
          <w:rFonts w:ascii="Calibri" w:hAnsi="Calibri" w:cs="Calibri"/>
          <w:color w:val="212121"/>
          <w:sz w:val="22"/>
          <w:szCs w:val="22"/>
        </w:rPr>
        <w:t>ETFs, and</w:t>
      </w:r>
      <w:proofErr w:type="gramEnd"/>
      <w:r>
        <w:rPr>
          <w:rFonts w:ascii="Calibri" w:hAnsi="Calibri" w:cs="Calibri"/>
          <w:color w:val="212121"/>
          <w:sz w:val="22"/>
          <w:szCs w:val="22"/>
        </w:rPr>
        <w:t xml:space="preserve"> includes </w:t>
      </w:r>
      <w:r>
        <w:rPr>
          <w:rFonts w:ascii="Calibri" w:hAnsi="Calibri" w:cs="Calibri"/>
          <w:sz w:val="22"/>
          <w:szCs w:val="22"/>
        </w:rPr>
        <w:t xml:space="preserve">the level of </w:t>
      </w:r>
      <w:proofErr w:type="gramStart"/>
      <w:r>
        <w:rPr>
          <w:rFonts w:ascii="Calibri" w:hAnsi="Calibri" w:cs="Calibri"/>
          <w:sz w:val="22"/>
          <w:szCs w:val="22"/>
        </w:rPr>
        <w:t>detail</w:t>
      </w:r>
      <w:proofErr w:type="gramEnd"/>
      <w:r>
        <w:rPr>
          <w:rFonts w:ascii="Calibri" w:hAnsi="Calibri" w:cs="Calibri"/>
          <w:sz w:val="22"/>
          <w:szCs w:val="22"/>
        </w:rPr>
        <w:t xml:space="preserve"> </w:t>
      </w:r>
      <w:r>
        <w:rPr>
          <w:rFonts w:ascii="Calibri" w:hAnsi="Calibri" w:cs="Calibri"/>
          <w:color w:val="212121"/>
          <w:sz w:val="22"/>
          <w:szCs w:val="22"/>
        </w:rPr>
        <w:t>is not available via any other ETF data provider.</w:t>
      </w:r>
      <w:r>
        <w:rPr>
          <w:rFonts w:ascii="Calibri" w:hAnsi="Calibri" w:cs="Calibri"/>
          <w:color w:val="000000"/>
          <w:sz w:val="22"/>
          <w:szCs w:val="22"/>
        </w:rPr>
        <w:t xml:space="preserve"> </w:t>
      </w:r>
      <w:r>
        <w:rPr>
          <w:rFonts w:ascii="Calibri" w:hAnsi="Calibri" w:cs="Calibri"/>
          <w:sz w:val="22"/>
          <w:szCs w:val="22"/>
        </w:rPr>
        <w:t>The additional detail is derived from direct data sources including Prospectuses, SAIs, ETF Issuer data and Index Methodologies.</w:t>
      </w:r>
    </w:p>
    <w:p w14:paraId="5D3804FD" w14:textId="77777777" w:rsidR="004914A2" w:rsidRDefault="004914A2" w:rsidP="004914A2">
      <w:pPr>
        <w:spacing w:before="100" w:beforeAutospacing="1"/>
        <w:rPr>
          <w:rFonts w:ascii="Calibri" w:hAnsi="Calibri" w:cs="Calibri"/>
          <w:color w:val="000000"/>
          <w:sz w:val="22"/>
          <w:szCs w:val="22"/>
        </w:rPr>
      </w:pPr>
      <w:r>
        <w:rPr>
          <w:rFonts w:ascii="Calibri" w:hAnsi="Calibri" w:cs="Calibri"/>
          <w:sz w:val="22"/>
          <w:szCs w:val="22"/>
        </w:rPr>
        <w:t xml:space="preserve">Attached is a </w:t>
      </w:r>
      <w:r>
        <w:rPr>
          <w:rFonts w:ascii="Calibri" w:hAnsi="Calibri" w:cs="Calibri"/>
          <w:b/>
          <w:bCs/>
          <w:sz w:val="22"/>
          <w:szCs w:val="22"/>
        </w:rPr>
        <w:t>Sample file</w:t>
      </w:r>
      <w:r>
        <w:rPr>
          <w:rFonts w:ascii="Calibri" w:hAnsi="Calibri" w:cs="Calibri"/>
          <w:sz w:val="22"/>
          <w:szCs w:val="22"/>
        </w:rPr>
        <w:t xml:space="preserve"> of our US Expanded ETF Taxonomy feed for the US Listed ETFs that allows product by product comparison for each of the 8 categories of the taxonomy.</w:t>
      </w:r>
    </w:p>
    <w:p w14:paraId="492448AF" w14:textId="77777777" w:rsidR="004914A2" w:rsidRDefault="004914A2" w:rsidP="004914A2">
      <w:pPr>
        <w:spacing w:before="100" w:beforeAutospacing="1"/>
        <w:rPr>
          <w:rFonts w:ascii="Calibri" w:hAnsi="Calibri" w:cs="Calibri"/>
          <w:sz w:val="22"/>
          <w:szCs w:val="22"/>
        </w:rPr>
      </w:pPr>
      <w:r>
        <w:rPr>
          <w:rFonts w:ascii="Calibri" w:hAnsi="Calibri" w:cs="Calibri"/>
          <w:sz w:val="22"/>
          <w:szCs w:val="22"/>
        </w:rPr>
        <w:t xml:space="preserve">The Expanded ETF Taxonomy provides a unique level of granularity for ETF Classification; 1,557 unique combinations across 8 primary categories; peer group realignment; more direct hedging, new level of macro attribution and can better capture evolving ETF innovation.  </w:t>
      </w:r>
    </w:p>
    <w:p w14:paraId="10053533" w14:textId="77777777" w:rsidR="004914A2" w:rsidRDefault="004914A2" w:rsidP="004914A2">
      <w:pPr>
        <w:spacing w:before="100" w:beforeAutospacing="1"/>
        <w:rPr>
          <w:rFonts w:ascii="Calibri" w:hAnsi="Calibri" w:cs="Calibri"/>
          <w:color w:val="222222"/>
          <w:sz w:val="22"/>
          <w:szCs w:val="22"/>
        </w:rPr>
      </w:pPr>
      <w:r>
        <w:rPr>
          <w:rFonts w:ascii="Calibri" w:hAnsi="Calibri" w:cs="Calibri"/>
          <w:color w:val="222222"/>
          <w:sz w:val="22"/>
          <w:szCs w:val="22"/>
        </w:rPr>
        <w:t xml:space="preserve">In the example below, the original ETF Global taxonomy (dark blue) utilized three primary attributes (Asset Class, Category, Focus) that resulted in </w:t>
      </w:r>
      <w:r>
        <w:rPr>
          <w:rFonts w:ascii="Calibri" w:hAnsi="Calibri" w:cs="Calibri"/>
          <w:sz w:val="22"/>
          <w:szCs w:val="22"/>
        </w:rPr>
        <w:t>668</w:t>
      </w:r>
      <w:r>
        <w:rPr>
          <w:rFonts w:ascii="Calibri" w:hAnsi="Calibri" w:cs="Calibri"/>
          <w:color w:val="222222"/>
          <w:sz w:val="22"/>
          <w:szCs w:val="22"/>
        </w:rPr>
        <w:t xml:space="preserve"> comparable Large Cap ETFs. With the Expanded ETF Taxonomy, which in this example simply adds two (in orange) additional ETF attributes (Targeted Focus and Strategic Focus), we reduce the comparable ETFs to </w:t>
      </w:r>
      <w:r>
        <w:rPr>
          <w:rFonts w:ascii="Calibri" w:hAnsi="Calibri" w:cs="Calibri"/>
          <w:sz w:val="22"/>
          <w:szCs w:val="22"/>
        </w:rPr>
        <w:t>26</w:t>
      </w:r>
      <w:r>
        <w:rPr>
          <w:rFonts w:ascii="Calibri" w:hAnsi="Calibri" w:cs="Calibri"/>
          <w:color w:val="222222"/>
          <w:sz w:val="22"/>
          <w:szCs w:val="22"/>
        </w:rPr>
        <w:t>, which are far more directly aligned.</w:t>
      </w:r>
    </w:p>
    <w:p w14:paraId="32D68DEA" w14:textId="77777777" w:rsidR="004914A2" w:rsidRDefault="004914A2" w:rsidP="004914A2">
      <w:pPr>
        <w:rPr>
          <w:rFonts w:ascii="Calibri" w:hAnsi="Calibri" w:cs="Calibri"/>
          <w:sz w:val="22"/>
          <w:szCs w:val="22"/>
        </w:rPr>
      </w:pPr>
    </w:p>
    <w:p w14:paraId="6C0F202C" w14:textId="77777777" w:rsidR="004914A2" w:rsidRDefault="004914A2" w:rsidP="004914A2">
      <w:pPr>
        <w:rPr>
          <w:rFonts w:ascii="Calibri" w:hAnsi="Calibri" w:cs="Calibri"/>
          <w:sz w:val="22"/>
          <w:szCs w:val="22"/>
        </w:rPr>
      </w:pPr>
      <w:r>
        <w:rPr>
          <w:rFonts w:ascii="Calibri" w:hAnsi="Calibri" w:cs="Calibri"/>
          <w:noProof/>
          <w:sz w:val="22"/>
          <w:szCs w:val="22"/>
        </w:rPr>
        <w:drawing>
          <wp:inline distT="0" distB="0" distL="0" distR="0" wp14:anchorId="1B5233D8" wp14:editId="48C3A034">
            <wp:extent cx="4121150" cy="2152650"/>
            <wp:effectExtent l="0" t="0" r="0" b="0"/>
            <wp:docPr id="564595279" name="Picture 1" descr="A diagram of a company's company's company's company's company's company's company's company's company's company's company's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95279" name="Picture 1" descr="A diagram of a company's company's company's company's company's company's company's company's company's company's company's company'&#10;&#10;AI-generated content may be incorrect."/>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4121150" cy="2152650"/>
                    </a:xfrm>
                    <a:prstGeom prst="rect">
                      <a:avLst/>
                    </a:prstGeom>
                    <a:noFill/>
                    <a:ln>
                      <a:noFill/>
                    </a:ln>
                  </pic:spPr>
                </pic:pic>
              </a:graphicData>
            </a:graphic>
          </wp:inline>
        </w:drawing>
      </w:r>
    </w:p>
    <w:p w14:paraId="4FFFE6E1" w14:textId="3119B00D" w:rsidR="00CF41D0" w:rsidRPr="004914A2" w:rsidRDefault="00CF41D0" w:rsidP="004914A2"/>
    <w:sectPr w:rsidR="00CF41D0" w:rsidRPr="004914A2" w:rsidSect="00116B85">
      <w:headerReference w:type="default" r:id="rId10"/>
      <w:footerReference w:type="default" r:id="rId11"/>
      <w:pgSz w:w="12240" w:h="15840"/>
      <w:pgMar w:top="1440" w:right="1440" w:bottom="1152" w:left="1440"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5FF5E" w14:textId="77777777" w:rsidR="00AB64A4" w:rsidRDefault="00AB64A4" w:rsidP="00851429">
      <w:r>
        <w:separator/>
      </w:r>
    </w:p>
  </w:endnote>
  <w:endnote w:type="continuationSeparator" w:id="0">
    <w:p w14:paraId="54B395E0" w14:textId="77777777" w:rsidR="00AB64A4" w:rsidRDefault="00AB64A4" w:rsidP="00851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904EC" w14:textId="54123155" w:rsidR="00851429" w:rsidRPr="00851429" w:rsidRDefault="00976427" w:rsidP="00851429">
    <w:pPr>
      <w:pStyle w:val="Footer"/>
      <w:pBdr>
        <w:top w:val="single" w:sz="4" w:space="1" w:color="auto"/>
      </w:pBdr>
      <w:jc w:val="center"/>
      <w:rPr>
        <w:sz w:val="18"/>
      </w:rPr>
    </w:pPr>
    <w:r>
      <w:rPr>
        <w:sz w:val="18"/>
      </w:rPr>
      <w:t>501 Madison Avenue</w:t>
    </w:r>
    <w:r w:rsidR="00851429" w:rsidRPr="00851429">
      <w:rPr>
        <w:sz w:val="18"/>
      </w:rPr>
      <w:t xml:space="preserve"> – Suite </w:t>
    </w:r>
    <w:r>
      <w:rPr>
        <w:sz w:val="18"/>
      </w:rPr>
      <w:t>803</w:t>
    </w:r>
  </w:p>
  <w:p w14:paraId="7E0E86A1" w14:textId="3A9405A9" w:rsidR="00851429" w:rsidRPr="00851429" w:rsidRDefault="00851429" w:rsidP="00851429">
    <w:pPr>
      <w:pStyle w:val="Footer"/>
      <w:jc w:val="center"/>
      <w:rPr>
        <w:sz w:val="18"/>
      </w:rPr>
    </w:pPr>
    <w:r w:rsidRPr="00851429">
      <w:rPr>
        <w:sz w:val="18"/>
      </w:rPr>
      <w:t>New York, NY 100</w:t>
    </w:r>
    <w:r w:rsidR="00976427">
      <w:rPr>
        <w:sz w:val="18"/>
      </w:rPr>
      <w:t>22</w:t>
    </w:r>
  </w:p>
  <w:p w14:paraId="0E4FD7D6" w14:textId="77777777" w:rsidR="00851429" w:rsidRPr="00851429" w:rsidRDefault="00851429" w:rsidP="00851429">
    <w:pPr>
      <w:pStyle w:val="Footer"/>
      <w:jc w:val="center"/>
      <w:rPr>
        <w:sz w:val="18"/>
      </w:rPr>
    </w:pPr>
    <w:r w:rsidRPr="00851429">
      <w:rPr>
        <w:sz w:val="18"/>
      </w:rPr>
      <w:t>(212) 223-3834</w:t>
    </w:r>
  </w:p>
  <w:p w14:paraId="2817DE46" w14:textId="77777777" w:rsidR="00851429" w:rsidRPr="00851429" w:rsidRDefault="00851429" w:rsidP="00851429">
    <w:pPr>
      <w:pStyle w:val="Footer"/>
      <w:jc w:val="center"/>
      <w:rPr>
        <w:sz w:val="18"/>
      </w:rPr>
    </w:pPr>
    <w:hyperlink r:id="rId1" w:history="1">
      <w:r w:rsidRPr="00851429">
        <w:rPr>
          <w:rStyle w:val="Hyperlink"/>
          <w:sz w:val="18"/>
        </w:rPr>
        <w:t>www.etfg.com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74BED" w14:textId="77777777" w:rsidR="00AB64A4" w:rsidRDefault="00AB64A4" w:rsidP="00851429">
      <w:r>
        <w:separator/>
      </w:r>
    </w:p>
  </w:footnote>
  <w:footnote w:type="continuationSeparator" w:id="0">
    <w:p w14:paraId="154ABE7D" w14:textId="77777777" w:rsidR="00AB64A4" w:rsidRDefault="00AB64A4" w:rsidP="00851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F0790" w14:textId="2B2E9EC3" w:rsidR="00851429" w:rsidRDefault="00A36AD1" w:rsidP="00851429">
    <w:pPr>
      <w:pStyle w:val="Header"/>
      <w:pBdr>
        <w:bottom w:val="single" w:sz="4" w:space="1" w:color="auto"/>
      </w:pBdr>
    </w:pPr>
    <w:r>
      <w:rPr>
        <w:noProof/>
      </w:rPr>
      <w:drawing>
        <wp:inline distT="0" distB="0" distL="0" distR="0" wp14:anchorId="7BA39A95" wp14:editId="6FE80AEE">
          <wp:extent cx="2478024" cy="365760"/>
          <wp:effectExtent l="0" t="0" r="0" b="0"/>
          <wp:docPr id="143513483"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3483" name="Picture 1"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8024"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342A3"/>
    <w:multiLevelType w:val="hybridMultilevel"/>
    <w:tmpl w:val="9D2AC900"/>
    <w:lvl w:ilvl="0" w:tplc="0474587C">
      <w:start w:val="3"/>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149BA"/>
    <w:multiLevelType w:val="hybridMultilevel"/>
    <w:tmpl w:val="F1B8D06A"/>
    <w:lvl w:ilvl="0" w:tplc="B78E3BDA">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066660"/>
    <w:multiLevelType w:val="hybridMultilevel"/>
    <w:tmpl w:val="5C5C89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781E78"/>
    <w:multiLevelType w:val="hybridMultilevel"/>
    <w:tmpl w:val="625A6A58"/>
    <w:lvl w:ilvl="0" w:tplc="648496F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052D7C"/>
    <w:multiLevelType w:val="hybridMultilevel"/>
    <w:tmpl w:val="ADAE60BA"/>
    <w:lvl w:ilvl="0" w:tplc="71EA7BD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821A8"/>
    <w:multiLevelType w:val="hybridMultilevel"/>
    <w:tmpl w:val="E2709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92E05A1"/>
    <w:multiLevelType w:val="hybridMultilevel"/>
    <w:tmpl w:val="5116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1534C"/>
    <w:multiLevelType w:val="hybridMultilevel"/>
    <w:tmpl w:val="9F18F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C87DAB"/>
    <w:multiLevelType w:val="hybridMultilevel"/>
    <w:tmpl w:val="D7D46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2D07E7F"/>
    <w:multiLevelType w:val="hybridMultilevel"/>
    <w:tmpl w:val="633C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C14261"/>
    <w:multiLevelType w:val="hybridMultilevel"/>
    <w:tmpl w:val="86A05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F04B45"/>
    <w:multiLevelType w:val="hybridMultilevel"/>
    <w:tmpl w:val="D124D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D0106D5"/>
    <w:multiLevelType w:val="hybridMultilevel"/>
    <w:tmpl w:val="9E36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644010"/>
    <w:multiLevelType w:val="hybridMultilevel"/>
    <w:tmpl w:val="AC2223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99101DD"/>
    <w:multiLevelType w:val="hybridMultilevel"/>
    <w:tmpl w:val="4EA81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17745">
    <w:abstractNumId w:val="7"/>
  </w:num>
  <w:num w:numId="2" w16cid:durableId="283082286">
    <w:abstractNumId w:val="12"/>
  </w:num>
  <w:num w:numId="3" w16cid:durableId="1230068520">
    <w:abstractNumId w:val="8"/>
  </w:num>
  <w:num w:numId="4" w16cid:durableId="1585141006">
    <w:abstractNumId w:val="10"/>
  </w:num>
  <w:num w:numId="5" w16cid:durableId="1390151021">
    <w:abstractNumId w:val="11"/>
  </w:num>
  <w:num w:numId="6" w16cid:durableId="1444810030">
    <w:abstractNumId w:val="9"/>
  </w:num>
  <w:num w:numId="7" w16cid:durableId="1165129239">
    <w:abstractNumId w:val="2"/>
  </w:num>
  <w:num w:numId="8" w16cid:durableId="1372343142">
    <w:abstractNumId w:val="13"/>
  </w:num>
  <w:num w:numId="9" w16cid:durableId="1715734688">
    <w:abstractNumId w:val="1"/>
  </w:num>
  <w:num w:numId="10" w16cid:durableId="795216479">
    <w:abstractNumId w:val="5"/>
  </w:num>
  <w:num w:numId="11" w16cid:durableId="1021276491">
    <w:abstractNumId w:val="14"/>
  </w:num>
  <w:num w:numId="12" w16cid:durableId="1999382190">
    <w:abstractNumId w:val="3"/>
  </w:num>
  <w:num w:numId="13" w16cid:durableId="1260480350">
    <w:abstractNumId w:val="0"/>
  </w:num>
  <w:num w:numId="14" w16cid:durableId="1699432796">
    <w:abstractNumId w:val="6"/>
  </w:num>
  <w:num w:numId="15" w16cid:durableId="1541434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1D"/>
    <w:rsid w:val="00003A86"/>
    <w:rsid w:val="00050338"/>
    <w:rsid w:val="00116B85"/>
    <w:rsid w:val="00133653"/>
    <w:rsid w:val="00182B19"/>
    <w:rsid w:val="001C687D"/>
    <w:rsid w:val="001E70B0"/>
    <w:rsid w:val="001F4F79"/>
    <w:rsid w:val="002001D7"/>
    <w:rsid w:val="00202711"/>
    <w:rsid w:val="002138D0"/>
    <w:rsid w:val="00213CFF"/>
    <w:rsid w:val="002614D3"/>
    <w:rsid w:val="002A2E8A"/>
    <w:rsid w:val="002A5C29"/>
    <w:rsid w:val="002D291D"/>
    <w:rsid w:val="002F6D35"/>
    <w:rsid w:val="00394266"/>
    <w:rsid w:val="00441CA7"/>
    <w:rsid w:val="004914A2"/>
    <w:rsid w:val="00491D79"/>
    <w:rsid w:val="004F3464"/>
    <w:rsid w:val="005119E3"/>
    <w:rsid w:val="00521865"/>
    <w:rsid w:val="005B6DA4"/>
    <w:rsid w:val="006A38CF"/>
    <w:rsid w:val="00723E94"/>
    <w:rsid w:val="00735A49"/>
    <w:rsid w:val="007432E7"/>
    <w:rsid w:val="00777B57"/>
    <w:rsid w:val="0078129D"/>
    <w:rsid w:val="007A3D7C"/>
    <w:rsid w:val="007B3A9C"/>
    <w:rsid w:val="007B74A7"/>
    <w:rsid w:val="00831C46"/>
    <w:rsid w:val="00841277"/>
    <w:rsid w:val="00851429"/>
    <w:rsid w:val="008F131B"/>
    <w:rsid w:val="0091721C"/>
    <w:rsid w:val="0095750A"/>
    <w:rsid w:val="00976427"/>
    <w:rsid w:val="009D6BDB"/>
    <w:rsid w:val="00A14BB6"/>
    <w:rsid w:val="00A25F58"/>
    <w:rsid w:val="00A34291"/>
    <w:rsid w:val="00A36AD1"/>
    <w:rsid w:val="00A7094E"/>
    <w:rsid w:val="00A90E26"/>
    <w:rsid w:val="00AA530B"/>
    <w:rsid w:val="00AB64A4"/>
    <w:rsid w:val="00AE2A60"/>
    <w:rsid w:val="00B054D9"/>
    <w:rsid w:val="00B241A8"/>
    <w:rsid w:val="00B35241"/>
    <w:rsid w:val="00B372D9"/>
    <w:rsid w:val="00BC6638"/>
    <w:rsid w:val="00BE385D"/>
    <w:rsid w:val="00C00977"/>
    <w:rsid w:val="00C01D03"/>
    <w:rsid w:val="00C10BDC"/>
    <w:rsid w:val="00C120F4"/>
    <w:rsid w:val="00C12AC1"/>
    <w:rsid w:val="00C24983"/>
    <w:rsid w:val="00C33917"/>
    <w:rsid w:val="00C76115"/>
    <w:rsid w:val="00CE02B5"/>
    <w:rsid w:val="00CE7A4B"/>
    <w:rsid w:val="00CF41D0"/>
    <w:rsid w:val="00D03776"/>
    <w:rsid w:val="00D95978"/>
    <w:rsid w:val="00DA4583"/>
    <w:rsid w:val="00E348D0"/>
    <w:rsid w:val="00EC439A"/>
    <w:rsid w:val="00ED1AC7"/>
    <w:rsid w:val="00EE62DA"/>
    <w:rsid w:val="00EE7EDF"/>
    <w:rsid w:val="00F96234"/>
    <w:rsid w:val="00FA3199"/>
    <w:rsid w:val="00FA71F5"/>
    <w:rsid w:val="00FB2FFE"/>
    <w:rsid w:val="00FE2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1E9B3"/>
  <w15:docId w15:val="{466AD5CD-8D23-417D-993A-170A8E3F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9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0097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basedOn w:val="DefaultParagraphFont"/>
    <w:semiHidden/>
    <w:rsid w:val="002D291D"/>
    <w:rPr>
      <w:rFonts w:ascii="Arial" w:hAnsi="Arial" w:cs="Arial"/>
      <w:color w:val="auto"/>
      <w:sz w:val="20"/>
      <w:szCs w:val="20"/>
    </w:rPr>
  </w:style>
  <w:style w:type="paragraph" w:styleId="Header">
    <w:name w:val="header"/>
    <w:basedOn w:val="Normal"/>
    <w:link w:val="HeaderChar"/>
    <w:uiPriority w:val="99"/>
    <w:unhideWhenUsed/>
    <w:rsid w:val="00851429"/>
    <w:pPr>
      <w:tabs>
        <w:tab w:val="center" w:pos="4680"/>
        <w:tab w:val="right" w:pos="9360"/>
      </w:tabs>
    </w:pPr>
  </w:style>
  <w:style w:type="character" w:customStyle="1" w:styleId="HeaderChar">
    <w:name w:val="Header Char"/>
    <w:basedOn w:val="DefaultParagraphFont"/>
    <w:link w:val="Header"/>
    <w:uiPriority w:val="99"/>
    <w:rsid w:val="0085142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51429"/>
    <w:pPr>
      <w:tabs>
        <w:tab w:val="center" w:pos="4680"/>
        <w:tab w:val="right" w:pos="9360"/>
      </w:tabs>
    </w:pPr>
  </w:style>
  <w:style w:type="character" w:customStyle="1" w:styleId="FooterChar">
    <w:name w:val="Footer Char"/>
    <w:basedOn w:val="DefaultParagraphFont"/>
    <w:link w:val="Footer"/>
    <w:uiPriority w:val="99"/>
    <w:rsid w:val="0085142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1429"/>
    <w:rPr>
      <w:rFonts w:ascii="Tahoma" w:hAnsi="Tahoma" w:cs="Tahoma"/>
      <w:sz w:val="16"/>
      <w:szCs w:val="16"/>
    </w:rPr>
  </w:style>
  <w:style w:type="character" w:customStyle="1" w:styleId="BalloonTextChar">
    <w:name w:val="Balloon Text Char"/>
    <w:basedOn w:val="DefaultParagraphFont"/>
    <w:link w:val="BalloonText"/>
    <w:uiPriority w:val="99"/>
    <w:semiHidden/>
    <w:rsid w:val="00851429"/>
    <w:rPr>
      <w:rFonts w:ascii="Tahoma" w:eastAsia="Times New Roman" w:hAnsi="Tahoma" w:cs="Tahoma"/>
      <w:sz w:val="16"/>
      <w:szCs w:val="16"/>
    </w:rPr>
  </w:style>
  <w:style w:type="character" w:styleId="Hyperlink">
    <w:name w:val="Hyperlink"/>
    <w:basedOn w:val="DefaultParagraphFont"/>
    <w:uiPriority w:val="99"/>
    <w:unhideWhenUsed/>
    <w:rsid w:val="00851429"/>
    <w:rPr>
      <w:color w:val="0000FF" w:themeColor="hyperlink"/>
      <w:u w:val="single"/>
    </w:rPr>
  </w:style>
  <w:style w:type="paragraph" w:styleId="NoSpacing">
    <w:name w:val="No Spacing"/>
    <w:uiPriority w:val="1"/>
    <w:qFormat/>
    <w:rsid w:val="00CF41D0"/>
    <w:pPr>
      <w:spacing w:after="0"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0097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edia.etfg.com/files/Data%20Brochure/ETF%20Global%20Expanded%20Taxonomy%20-%202025%20-%201.1.25.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cid:image004.png@01DB65A5.285993D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etf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dc:creator>
  <cp:lastModifiedBy>Jim Gregory</cp:lastModifiedBy>
  <cp:revision>3</cp:revision>
  <dcterms:created xsi:type="dcterms:W3CDTF">2025-02-21T16:35:00Z</dcterms:created>
  <dcterms:modified xsi:type="dcterms:W3CDTF">2025-02-21T16:36:00Z</dcterms:modified>
</cp:coreProperties>
</file>