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06CB5" w14:textId="77777777" w:rsidR="00F75143" w:rsidRDefault="00F75143" w:rsidP="00F75143">
      <w:pPr>
        <w:pStyle w:val="BasicParagraph"/>
        <w:suppressAutoHyphens/>
        <w:ind w:left="270"/>
        <w:rPr>
          <w:rFonts w:ascii="Arial" w:hAnsi="Arial" w:cs="Arial"/>
          <w:b/>
          <w:bCs/>
          <w:sz w:val="54"/>
          <w:szCs w:val="54"/>
        </w:rPr>
      </w:pPr>
      <w:bookmarkStart w:id="0" w:name="_Hlk202191317"/>
    </w:p>
    <w:p w14:paraId="1D472137" w14:textId="0A9B613A" w:rsidR="00F75143" w:rsidRDefault="00F75143" w:rsidP="00F75143">
      <w:pPr>
        <w:pStyle w:val="BasicParagraph"/>
        <w:suppressAutoHyphens/>
        <w:ind w:left="270"/>
        <w:rPr>
          <w:rFonts w:ascii="Arial" w:hAnsi="Arial" w:cs="Arial"/>
          <w:b/>
          <w:bCs/>
          <w:sz w:val="54"/>
          <w:szCs w:val="54"/>
        </w:rPr>
      </w:pPr>
      <w:r>
        <w:rPr>
          <w:rFonts w:ascii="Arial" w:hAnsi="Arial" w:cs="Arial"/>
          <w:b/>
          <w:bCs/>
          <w:sz w:val="54"/>
          <w:szCs w:val="54"/>
        </w:rPr>
        <w:t xml:space="preserve">SIFMA Model </w:t>
      </w:r>
      <w:r>
        <w:rPr>
          <w:rFonts w:ascii="Arial" w:hAnsi="Arial" w:cs="Arial"/>
          <w:b/>
          <w:bCs/>
          <w:sz w:val="54"/>
          <w:szCs w:val="54"/>
        </w:rPr>
        <w:t>3</w:t>
      </w:r>
      <w:r w:rsidRPr="00E2719E">
        <w:rPr>
          <w:rFonts w:ascii="Arial" w:hAnsi="Arial" w:cs="Arial"/>
          <w:b/>
          <w:bCs/>
          <w:sz w:val="54"/>
          <w:szCs w:val="54"/>
        </w:rPr>
        <w:t>(a)(</w:t>
      </w:r>
      <w:r>
        <w:rPr>
          <w:rFonts w:ascii="Arial" w:hAnsi="Arial" w:cs="Arial"/>
          <w:b/>
          <w:bCs/>
          <w:sz w:val="54"/>
          <w:szCs w:val="54"/>
        </w:rPr>
        <w:t>3</w:t>
      </w:r>
      <w:r w:rsidRPr="00E2719E">
        <w:rPr>
          <w:rFonts w:ascii="Arial" w:hAnsi="Arial" w:cs="Arial"/>
          <w:b/>
          <w:bCs/>
          <w:sz w:val="54"/>
          <w:szCs w:val="54"/>
        </w:rPr>
        <w:t>) Commercial Paper Dealer Agreement</w:t>
      </w:r>
      <w:r>
        <w:rPr>
          <w:rFonts w:ascii="Arial" w:hAnsi="Arial" w:cs="Arial"/>
          <w:b/>
          <w:bCs/>
          <w:sz w:val="54"/>
          <w:szCs w:val="54"/>
        </w:rPr>
        <w:t xml:space="preserve"> – Domestic </w:t>
      </w:r>
      <w:r>
        <w:rPr>
          <w:rFonts w:ascii="Arial" w:hAnsi="Arial" w:cs="Arial"/>
          <w:b/>
          <w:bCs/>
          <w:sz w:val="54"/>
          <w:szCs w:val="54"/>
        </w:rPr>
        <w:t>Issuer Domestic Guarantor</w:t>
      </w:r>
    </w:p>
    <w:p w14:paraId="4CD1FD11" w14:textId="77777777" w:rsidR="00F75143" w:rsidRDefault="00F75143" w:rsidP="00F75143"/>
    <w:p w14:paraId="2EE656F5" w14:textId="11209794" w:rsidR="00F75143" w:rsidRPr="00C41941" w:rsidRDefault="00F75143" w:rsidP="00F75143">
      <w:pPr>
        <w:pBdr>
          <w:top w:val="single" w:sz="48" w:space="10" w:color="71953E"/>
        </w:pBdr>
        <w:ind w:left="270" w:right="6192"/>
        <w:rPr>
          <w:rFonts w:cs="Arial"/>
        </w:rPr>
      </w:pPr>
      <w:r>
        <w:rPr>
          <w:rFonts w:cs="Arial"/>
        </w:rPr>
        <w:t xml:space="preserve">June </w:t>
      </w:r>
      <w:r>
        <w:rPr>
          <w:rFonts w:cs="Arial"/>
        </w:rPr>
        <w:t xml:space="preserve">26, </w:t>
      </w:r>
      <w:r>
        <w:rPr>
          <w:rFonts w:cs="Arial"/>
        </w:rPr>
        <w:t>2025</w:t>
      </w:r>
    </w:p>
    <w:p w14:paraId="55A2D06A" w14:textId="77777777" w:rsidR="00F75143" w:rsidRDefault="00F75143" w:rsidP="00F75143">
      <w:pPr>
        <w:ind w:left="270"/>
      </w:pPr>
    </w:p>
    <w:p w14:paraId="6222636C" w14:textId="77777777" w:rsidR="00F75143" w:rsidRDefault="00F75143" w:rsidP="00F75143">
      <w:pPr>
        <w:ind w:left="270"/>
      </w:pPr>
    </w:p>
    <w:p w14:paraId="5C4D1C2C" w14:textId="77777777" w:rsidR="00F75143" w:rsidRDefault="00F75143" w:rsidP="00F75143">
      <w:pPr>
        <w:ind w:left="270"/>
      </w:pPr>
    </w:p>
    <w:p w14:paraId="153E9A14" w14:textId="77777777" w:rsidR="00F75143" w:rsidRDefault="00F75143" w:rsidP="00F75143">
      <w:pPr>
        <w:ind w:left="270"/>
      </w:pPr>
    </w:p>
    <w:p w14:paraId="1DA9BFCB" w14:textId="77777777" w:rsidR="00F75143" w:rsidRDefault="00F75143" w:rsidP="00F75143">
      <w:pPr>
        <w:ind w:left="270"/>
      </w:pPr>
    </w:p>
    <w:p w14:paraId="142F9003" w14:textId="77777777" w:rsidR="00F75143" w:rsidRDefault="00F75143" w:rsidP="00F75143">
      <w:pPr>
        <w:ind w:left="270"/>
      </w:pPr>
    </w:p>
    <w:p w14:paraId="7FB47E94" w14:textId="77777777" w:rsidR="00F75143" w:rsidRDefault="00F75143" w:rsidP="00F75143">
      <w:pPr>
        <w:ind w:left="270"/>
      </w:pPr>
    </w:p>
    <w:p w14:paraId="4A68FC82" w14:textId="77777777" w:rsidR="00F75143" w:rsidRDefault="00F75143" w:rsidP="00F75143">
      <w:pPr>
        <w:ind w:left="270"/>
      </w:pPr>
    </w:p>
    <w:p w14:paraId="38ABF419" w14:textId="77777777" w:rsidR="00F75143" w:rsidRPr="00C62896" w:rsidRDefault="00F75143" w:rsidP="00F75143">
      <w:pPr>
        <w:pStyle w:val="elementtoproof"/>
        <w:spacing w:before="0" w:beforeAutospacing="0" w:after="0" w:afterAutospacing="0"/>
        <w:ind w:left="360"/>
        <w:rPr>
          <w:rFonts w:ascii="Arial" w:hAnsi="Arial" w:cs="Arial"/>
          <w:color w:val="212121"/>
          <w:sz w:val="18"/>
          <w:szCs w:val="18"/>
        </w:rPr>
      </w:pPr>
      <w:r w:rsidRPr="00C62896">
        <w:rPr>
          <w:rFonts w:ascii="Arial" w:hAnsi="Arial" w:cs="Arial"/>
          <w:color w:val="212121"/>
          <w:sz w:val="18"/>
          <w:szCs w:val="18"/>
        </w:rPr>
        <w:t>This document was developed in consultation with a broad cross-section of market participants and is neither a binding agreement nor a requirement for participating in the relevant markets. The terms and conditions set forth herein should be considered when entering into the relevant arrangement, and use of this document is entirely voluntary and it may be modified or adapted to meet individual commercial objectives and legal requirements. This document should not be construed as legal advice, and users should seek their own legal counsel to ensure that their final agreement addresses their specific commercial objectives and legal requirements. SIFMA makes no warranties, express or implied, regarding the suitability, accuracy, or completeness of this document for any particular purpose and expressly disclaims all liability arising from the use of, or reliance on, this document. By using this document, you acknowledge and agree that SIFMA is not responsible for any errors, omissions, or outcomes resulting from its use.</w:t>
      </w:r>
    </w:p>
    <w:p w14:paraId="37C03A00" w14:textId="77777777" w:rsidR="00F75143" w:rsidRPr="00427B6E" w:rsidRDefault="00F75143" w:rsidP="00F75143">
      <w:pPr>
        <w:pStyle w:val="NormalWeb"/>
        <w:spacing w:before="0" w:beforeAutospacing="0" w:after="0" w:afterAutospacing="0"/>
        <w:ind w:left="360"/>
        <w:rPr>
          <w:rFonts w:ascii="Arial" w:hAnsi="Arial" w:cs="Arial"/>
          <w:color w:val="212121"/>
          <w:sz w:val="18"/>
          <w:szCs w:val="18"/>
        </w:rPr>
      </w:pPr>
      <w:r w:rsidRPr="00427B6E">
        <w:rPr>
          <w:rFonts w:ascii="Arial" w:hAnsi="Arial" w:cs="Arial"/>
          <w:color w:val="212121"/>
          <w:sz w:val="18"/>
          <w:szCs w:val="18"/>
        </w:rPr>
        <w:t> </w:t>
      </w:r>
    </w:p>
    <w:p w14:paraId="647DE073" w14:textId="77777777" w:rsidR="00F75143" w:rsidRPr="00427B6E" w:rsidRDefault="00F75143" w:rsidP="00F75143">
      <w:pPr>
        <w:pStyle w:val="elementtoproof"/>
        <w:spacing w:before="0" w:beforeAutospacing="0" w:after="0" w:afterAutospacing="0"/>
        <w:ind w:left="360"/>
        <w:rPr>
          <w:rFonts w:ascii="Arial" w:hAnsi="Arial" w:cs="Arial"/>
          <w:color w:val="212121"/>
          <w:sz w:val="18"/>
          <w:szCs w:val="18"/>
        </w:rPr>
      </w:pPr>
      <w:r w:rsidRPr="00427B6E">
        <w:rPr>
          <w:rFonts w:ascii="Arial" w:hAnsi="Arial" w:cs="Arial"/>
          <w:color w:val="212121"/>
          <w:sz w:val="18"/>
          <w:szCs w:val="18"/>
        </w:rPr>
        <w:t>This document is subject to the Terms of Use applicable to SIFMA’s website, available at:</w:t>
      </w:r>
      <w:r w:rsidRPr="00427B6E">
        <w:rPr>
          <w:rStyle w:val="apple-converted-space"/>
          <w:rFonts w:ascii="Arial" w:eastAsiaTheme="majorEastAsia" w:hAnsi="Arial" w:cs="Arial"/>
          <w:color w:val="212121"/>
          <w:sz w:val="18"/>
          <w:szCs w:val="18"/>
        </w:rPr>
        <w:t> </w:t>
      </w:r>
      <w:hyperlink r:id="rId9" w:tooltip="https://www.sifma.org/terms-of-use" w:history="1">
        <w:r w:rsidRPr="00427B6E">
          <w:rPr>
            <w:rStyle w:val="Hyperlink"/>
            <w:rFonts w:ascii="Arial" w:eastAsiaTheme="majorEastAsia" w:hAnsi="Arial" w:cs="Arial"/>
            <w:sz w:val="18"/>
            <w:szCs w:val="18"/>
          </w:rPr>
          <w:t>https://www.sifma.org/terms-of-use</w:t>
        </w:r>
      </w:hyperlink>
    </w:p>
    <w:p w14:paraId="4C187C6F" w14:textId="77777777" w:rsidR="00F75143" w:rsidRPr="00427B6E" w:rsidRDefault="00F75143" w:rsidP="00F75143">
      <w:pPr>
        <w:pStyle w:val="NormalWeb"/>
        <w:spacing w:before="0" w:beforeAutospacing="0" w:after="0" w:afterAutospacing="0"/>
        <w:ind w:left="360"/>
        <w:rPr>
          <w:rFonts w:ascii="Arial" w:hAnsi="Arial" w:cs="Arial"/>
          <w:color w:val="212121"/>
          <w:sz w:val="18"/>
          <w:szCs w:val="18"/>
        </w:rPr>
      </w:pPr>
      <w:r w:rsidRPr="00427B6E">
        <w:rPr>
          <w:rFonts w:ascii="Arial" w:hAnsi="Arial" w:cs="Arial"/>
          <w:color w:val="212121"/>
          <w:sz w:val="18"/>
          <w:szCs w:val="18"/>
        </w:rPr>
        <w:t> </w:t>
      </w:r>
    </w:p>
    <w:p w14:paraId="626A944D" w14:textId="77777777" w:rsidR="00F75143" w:rsidRPr="00427B6E" w:rsidRDefault="00F75143" w:rsidP="00F75143">
      <w:pPr>
        <w:pStyle w:val="NormalWeb"/>
        <w:spacing w:before="0" w:beforeAutospacing="0" w:after="0" w:afterAutospacing="0"/>
        <w:ind w:left="360"/>
        <w:rPr>
          <w:rFonts w:ascii="Arial" w:hAnsi="Arial" w:cs="Arial"/>
          <w:color w:val="212121"/>
          <w:sz w:val="18"/>
          <w:szCs w:val="18"/>
        </w:rPr>
      </w:pPr>
      <w:r w:rsidRPr="00427B6E">
        <w:rPr>
          <w:rFonts w:ascii="Arial" w:hAnsi="Arial" w:cs="Arial"/>
          <w:color w:val="212121"/>
          <w:sz w:val="18"/>
          <w:szCs w:val="18"/>
        </w:rPr>
        <w:t>Copyright © 2025 by Securities Industry and Financial Markets Association</w:t>
      </w:r>
      <w:bookmarkEnd w:id="0"/>
    </w:p>
    <w:p w14:paraId="0DE95BA2" w14:textId="076780A4" w:rsidR="00F75143" w:rsidRDefault="00F75143">
      <w:pPr>
        <w:pStyle w:val="Header"/>
      </w:pPr>
    </w:p>
    <w:p w14:paraId="28BECC4D" w14:textId="77777777" w:rsidR="00F75143" w:rsidRDefault="00F75143">
      <w:r>
        <w:br w:type="page"/>
      </w:r>
    </w:p>
    <w:p w14:paraId="485F3455" w14:textId="77777777" w:rsidR="00ED1244" w:rsidRDefault="00ED1244">
      <w:pPr>
        <w:pStyle w:val="Header"/>
      </w:pPr>
    </w:p>
    <w:p w14:paraId="0B399959" w14:textId="40CA6A5F" w:rsidR="00BF741A" w:rsidRPr="00C11237" w:rsidRDefault="00BF741A" w:rsidP="00C11237">
      <w:pPr>
        <w:pStyle w:val="SAHead2"/>
        <w:pBdr>
          <w:bottom w:val="none" w:sz="0" w:space="0" w:color="auto"/>
        </w:pBdr>
        <w:jc w:val="right"/>
        <w:rPr>
          <w:color w:val="FF0000"/>
          <w:sz w:val="24"/>
          <w:szCs w:val="24"/>
        </w:rPr>
      </w:pPr>
    </w:p>
    <w:p w14:paraId="3BBC8FE6" w14:textId="77777777" w:rsidR="00BF741A" w:rsidRDefault="00BF741A" w:rsidP="003F1290">
      <w:pPr>
        <w:pStyle w:val="SAHead2"/>
        <w:pBdr>
          <w:bottom w:val="none" w:sz="0" w:space="0" w:color="auto"/>
        </w:pBdr>
        <w:jc w:val="center"/>
        <w:rPr>
          <w:sz w:val="48"/>
          <w:szCs w:val="72"/>
        </w:rPr>
      </w:pPr>
    </w:p>
    <w:p w14:paraId="4BE9369B" w14:textId="77777777" w:rsidR="00BF741A" w:rsidRDefault="00BF741A" w:rsidP="003F1290">
      <w:pPr>
        <w:pStyle w:val="SAHead2"/>
        <w:pBdr>
          <w:bottom w:val="none" w:sz="0" w:space="0" w:color="auto"/>
        </w:pBdr>
        <w:jc w:val="center"/>
        <w:rPr>
          <w:sz w:val="48"/>
          <w:szCs w:val="72"/>
        </w:rPr>
      </w:pPr>
      <w:r>
        <w:rPr>
          <w:sz w:val="48"/>
          <w:szCs w:val="72"/>
        </w:rPr>
        <w:t>Commercial Paper Dealer Agreement</w:t>
      </w:r>
    </w:p>
    <w:p w14:paraId="4CE0C029" w14:textId="216EC1D8" w:rsidR="00BF741A" w:rsidRDefault="00A658E2" w:rsidP="003F1290">
      <w:pPr>
        <w:pStyle w:val="SAHead2"/>
        <w:pBdr>
          <w:bottom w:val="none" w:sz="0" w:space="0" w:color="auto"/>
        </w:pBdr>
        <w:spacing w:line="240" w:lineRule="auto"/>
        <w:contextualSpacing/>
        <w:jc w:val="center"/>
        <w:rPr>
          <w:sz w:val="48"/>
          <w:szCs w:val="72"/>
        </w:rPr>
      </w:pPr>
      <w:r>
        <w:rPr>
          <w:sz w:val="48"/>
          <w:szCs w:val="72"/>
        </w:rPr>
        <w:t>3</w:t>
      </w:r>
      <w:r w:rsidR="00BF741A">
        <w:rPr>
          <w:sz w:val="48"/>
          <w:szCs w:val="72"/>
        </w:rPr>
        <w:t>(a)(</w:t>
      </w:r>
      <w:r>
        <w:rPr>
          <w:sz w:val="48"/>
          <w:szCs w:val="72"/>
        </w:rPr>
        <w:t>3</w:t>
      </w:r>
      <w:r w:rsidR="00BF741A">
        <w:rPr>
          <w:sz w:val="48"/>
          <w:szCs w:val="72"/>
        </w:rPr>
        <w:t>) Program</w:t>
      </w:r>
    </w:p>
    <w:p w14:paraId="6538B54A" w14:textId="77777777" w:rsidR="00BF741A" w:rsidRDefault="00BF741A">
      <w:pPr>
        <w:pStyle w:val="SAtext"/>
      </w:pPr>
    </w:p>
    <w:p w14:paraId="4B8FD443" w14:textId="78867AAA" w:rsidR="00BF741A" w:rsidRDefault="00525235" w:rsidP="00F22CD5">
      <w:pPr>
        <w:pStyle w:val="SAtext"/>
        <w:tabs>
          <w:tab w:val="left" w:pos="1770"/>
          <w:tab w:val="center" w:pos="4462"/>
        </w:tabs>
      </w:pPr>
      <w:r>
        <w:tab/>
      </w:r>
      <w:r>
        <w:tab/>
      </w:r>
      <w:r>
        <w:tab/>
      </w:r>
      <w:r w:rsidR="00BF741A">
        <w:t>Between:</w:t>
      </w:r>
    </w:p>
    <w:p w14:paraId="67CEFC42" w14:textId="77777777" w:rsidR="00BF741A" w:rsidRDefault="00BF741A" w:rsidP="003F1290">
      <w:pPr>
        <w:pStyle w:val="SAtext"/>
        <w:jc w:val="center"/>
        <w:rPr>
          <w:b/>
          <w:bCs/>
        </w:rPr>
      </w:pPr>
    </w:p>
    <w:p w14:paraId="5A94AA61" w14:textId="77777777" w:rsidR="00D60171" w:rsidRDefault="00D91B82" w:rsidP="003F1290">
      <w:pPr>
        <w:pStyle w:val="SAtext"/>
        <w:jc w:val="center"/>
      </w:pPr>
      <w:r>
        <w:t>[INSERT NAME OF ISSUER]</w:t>
      </w:r>
      <w:r w:rsidR="00526DEB" w:rsidRPr="00526DEB">
        <w:t>,</w:t>
      </w:r>
      <w:r w:rsidR="00BF741A">
        <w:t xml:space="preserve"> as Issuer</w:t>
      </w:r>
      <w:r w:rsidR="00D60171">
        <w:t>,</w:t>
      </w:r>
      <w:r w:rsidR="00BF741A">
        <w:t xml:space="preserve"> </w:t>
      </w:r>
    </w:p>
    <w:p w14:paraId="2CDDD40C" w14:textId="77777777" w:rsidR="00D60171" w:rsidRDefault="00D60171" w:rsidP="003F1290">
      <w:pPr>
        <w:pStyle w:val="SAtext"/>
        <w:jc w:val="center"/>
      </w:pPr>
    </w:p>
    <w:p w14:paraId="0AB05BBA" w14:textId="6D5CCE29" w:rsidR="00BF741A" w:rsidRDefault="00D60171" w:rsidP="003F1290">
      <w:pPr>
        <w:pStyle w:val="SAtext"/>
        <w:jc w:val="center"/>
      </w:pPr>
      <w:r>
        <w:t>[</w:t>
      </w:r>
      <w:r w:rsidR="00A71166">
        <w:t xml:space="preserve">INSERT </w:t>
      </w:r>
      <w:r w:rsidRPr="007903A8">
        <w:t>NAME OF</w:t>
      </w:r>
      <w:r>
        <w:rPr>
          <w:b/>
          <w:bCs/>
        </w:rPr>
        <w:t xml:space="preserve"> </w:t>
      </w:r>
      <w:r w:rsidRPr="007903A8">
        <w:t>GUARANTOR</w:t>
      </w:r>
      <w:r>
        <w:t xml:space="preserve">], as Guarantor </w:t>
      </w:r>
      <w:r w:rsidR="00BF741A" w:rsidRPr="00D60171">
        <w:t>and</w:t>
      </w:r>
    </w:p>
    <w:p w14:paraId="2ABBA9B1" w14:textId="77777777" w:rsidR="00BF741A" w:rsidRDefault="00BF741A" w:rsidP="003F1290">
      <w:pPr>
        <w:pStyle w:val="SAtext"/>
        <w:jc w:val="center"/>
        <w:rPr>
          <w:b/>
          <w:bCs/>
        </w:rPr>
      </w:pPr>
    </w:p>
    <w:p w14:paraId="7C69AAD6" w14:textId="1F02B2B3" w:rsidR="00BF741A" w:rsidRDefault="00B774D1" w:rsidP="003F1290">
      <w:pPr>
        <w:pStyle w:val="SAtext"/>
        <w:jc w:val="center"/>
      </w:pPr>
      <w:r>
        <w:rPr>
          <w:b/>
        </w:rPr>
        <w:t>[INSERT NAME OF DEALER]</w:t>
      </w:r>
      <w:r w:rsidR="00BF741A">
        <w:t>, as Dealer</w:t>
      </w:r>
    </w:p>
    <w:p w14:paraId="7CCBD524" w14:textId="77777777" w:rsidR="00BF741A" w:rsidRDefault="00BF741A" w:rsidP="003F1290">
      <w:pPr>
        <w:pStyle w:val="SAtext"/>
        <w:spacing w:before="0" w:after="120"/>
        <w:jc w:val="center"/>
      </w:pPr>
    </w:p>
    <w:p w14:paraId="32BCBA98" w14:textId="058C0375" w:rsidR="00BF741A" w:rsidRDefault="00BF741A" w:rsidP="003F1290">
      <w:pPr>
        <w:pStyle w:val="SAtext"/>
        <w:spacing w:before="0" w:after="120"/>
        <w:jc w:val="center"/>
      </w:pPr>
      <w:r>
        <w:t xml:space="preserve">Concerning Notes to be issued pursuant to an Issuing and Paying Agency Agreement dated as of ___________ </w:t>
      </w:r>
      <w:r w:rsidR="00E737CD">
        <w:t xml:space="preserve">among </w:t>
      </w:r>
      <w:r>
        <w:t>the Issuer</w:t>
      </w:r>
      <w:r w:rsidR="003E1F94">
        <w:t>, the Guarantor</w:t>
      </w:r>
      <w:r>
        <w:t xml:space="preserve"> and </w:t>
      </w:r>
      <w:r w:rsidR="00D91B82">
        <w:t>[Insert Name of Issuing and Paying Agent]</w:t>
      </w:r>
      <w:r>
        <w:t>, as Issuing and Paying Agent</w:t>
      </w:r>
    </w:p>
    <w:p w14:paraId="0D4F1E15" w14:textId="77777777" w:rsidR="00BF741A" w:rsidRDefault="00BF741A" w:rsidP="003F1290">
      <w:pPr>
        <w:pStyle w:val="SAtext"/>
        <w:jc w:val="center"/>
      </w:pPr>
    </w:p>
    <w:p w14:paraId="2F41BC55" w14:textId="77777777" w:rsidR="00BF741A" w:rsidRDefault="00BF741A" w:rsidP="003F1290">
      <w:pPr>
        <w:pStyle w:val="SAtext"/>
        <w:jc w:val="center"/>
      </w:pPr>
      <w:r>
        <w:t>Dated as of</w:t>
      </w:r>
    </w:p>
    <w:p w14:paraId="07E2E545" w14:textId="5B737648" w:rsidR="00BF741A" w:rsidRPr="00526DEB" w:rsidRDefault="00526DEB" w:rsidP="003F1290">
      <w:pPr>
        <w:pStyle w:val="SAtext"/>
        <w:jc w:val="center"/>
        <w:rPr>
          <w:szCs w:val="22"/>
        </w:rPr>
      </w:pPr>
      <w:r w:rsidRPr="00526DEB">
        <w:rPr>
          <w:szCs w:val="22"/>
        </w:rPr>
        <w:t>[INSERT DATE]</w:t>
      </w:r>
    </w:p>
    <w:p w14:paraId="26823A1F" w14:textId="77777777" w:rsidR="00BF741A" w:rsidRDefault="00BF741A">
      <w:pPr>
        <w:pStyle w:val="SASubhd1"/>
        <w:spacing w:before="120" w:after="0"/>
        <w:rPr>
          <w:sz w:val="24"/>
          <w:szCs w:val="24"/>
        </w:rPr>
      </w:pPr>
      <w:r>
        <w:rPr>
          <w:sz w:val="24"/>
          <w:szCs w:val="24"/>
        </w:rPr>
        <w:br w:type="page"/>
      </w:r>
      <w:r>
        <w:rPr>
          <w:sz w:val="24"/>
          <w:szCs w:val="24"/>
        </w:rPr>
        <w:lastRenderedPageBreak/>
        <w:t>Commercial Paper Dealer Agreement</w:t>
      </w:r>
    </w:p>
    <w:p w14:paraId="6CFC779F" w14:textId="336B3355" w:rsidR="00BF741A" w:rsidRDefault="00A658E2">
      <w:pPr>
        <w:pStyle w:val="SASubhd1"/>
        <w:spacing w:before="0" w:after="120"/>
        <w:rPr>
          <w:sz w:val="24"/>
          <w:szCs w:val="24"/>
        </w:rPr>
      </w:pPr>
      <w:r>
        <w:rPr>
          <w:sz w:val="24"/>
          <w:szCs w:val="24"/>
        </w:rPr>
        <w:t>3</w:t>
      </w:r>
      <w:r w:rsidR="00BF741A">
        <w:rPr>
          <w:sz w:val="24"/>
          <w:szCs w:val="24"/>
        </w:rPr>
        <w:t>(a)(</w:t>
      </w:r>
      <w:r>
        <w:rPr>
          <w:sz w:val="24"/>
          <w:szCs w:val="24"/>
        </w:rPr>
        <w:t>3</w:t>
      </w:r>
      <w:r w:rsidR="00BF741A">
        <w:rPr>
          <w:sz w:val="24"/>
          <w:szCs w:val="24"/>
        </w:rPr>
        <w:t>) Program</w:t>
      </w:r>
      <w:r w:rsidR="00E737CD">
        <w:rPr>
          <w:sz w:val="24"/>
          <w:szCs w:val="24"/>
        </w:rPr>
        <w:t>; Guaranteed</w:t>
      </w:r>
    </w:p>
    <w:p w14:paraId="2C861017" w14:textId="676D49B0" w:rsidR="00BF741A" w:rsidRDefault="00BF741A">
      <w:pPr>
        <w:pStyle w:val="SAtext"/>
      </w:pPr>
      <w:r>
        <w:t xml:space="preserve">This </w:t>
      </w:r>
      <w:r w:rsidR="00960CC6">
        <w:t xml:space="preserve">commercial paper dealer </w:t>
      </w:r>
      <w:r>
        <w:t>agreement (th</w:t>
      </w:r>
      <w:r w:rsidR="00960CC6">
        <w:t>is</w:t>
      </w:r>
      <w:r>
        <w:t xml:space="preserve"> “Agreement”) sets forth the understandings </w:t>
      </w:r>
      <w:r w:rsidR="00E737CD">
        <w:t xml:space="preserve">among </w:t>
      </w:r>
      <w:r>
        <w:t>the Issuer</w:t>
      </w:r>
      <w:r w:rsidR="001D564C">
        <w:t>, the Guarantor</w:t>
      </w:r>
      <w:r>
        <w:t xml:space="preserve"> and the Dealer, each named on the cover page hereof, in connection with the issuance and sale by the Issuer of its short-term promissory notes (the “Notes”) through the Dealer. </w:t>
      </w:r>
    </w:p>
    <w:p w14:paraId="3614A051" w14:textId="329D0152" w:rsidR="003E1F94" w:rsidRDefault="003E1F94">
      <w:pPr>
        <w:pStyle w:val="SAtext"/>
      </w:pPr>
      <w:r w:rsidRPr="003E1F94">
        <w:t xml:space="preserve">The Guarantor has agreed unconditionally and irrevocably to guarantee payment in full of the principal of and interest (if any) on all such Notes of the Issuer, pursuant to a guarantee, dated the date hereof, in the form of Exhibit </w:t>
      </w:r>
      <w:r w:rsidR="00A658E2">
        <w:t>C</w:t>
      </w:r>
      <w:r w:rsidRPr="003E1F94">
        <w:t xml:space="preserve"> hereto (the “Guarantee”).</w:t>
      </w:r>
    </w:p>
    <w:p w14:paraId="2E24099D" w14:textId="77777777" w:rsidR="00BF741A" w:rsidRDefault="00BF741A">
      <w:pPr>
        <w:pStyle w:val="SAtext"/>
      </w:pPr>
      <w:r>
        <w:t xml:space="preserve">Certain terms used in this Agreement are defined in Section 6 hereof. </w:t>
      </w:r>
    </w:p>
    <w:p w14:paraId="37919BE9" w14:textId="77777777" w:rsidR="00BF741A" w:rsidRDefault="00BF741A">
      <w:pPr>
        <w:pStyle w:val="SAtext"/>
      </w:pPr>
      <w:r>
        <w:t xml:space="preserve">The Addendum to this Agreement, and any Annexes or Exhibits described in this Agreement or such Addendum, are hereby incorporated into this Agreement and made fully a part hereof. </w:t>
      </w:r>
    </w:p>
    <w:p w14:paraId="6817053F" w14:textId="77777777" w:rsidR="00BF741A" w:rsidRDefault="00BF741A">
      <w:pPr>
        <w:pStyle w:val="SASubhd1"/>
        <w:numPr>
          <w:ilvl w:val="0"/>
          <w:numId w:val="2"/>
        </w:numPr>
        <w:spacing w:after="0"/>
        <w:rPr>
          <w:sz w:val="24"/>
          <w:szCs w:val="24"/>
        </w:rPr>
      </w:pPr>
      <w:r>
        <w:rPr>
          <w:sz w:val="24"/>
          <w:szCs w:val="24"/>
        </w:rPr>
        <w:t>Offers, Sales and Resales of Notes.</w:t>
      </w:r>
    </w:p>
    <w:p w14:paraId="5631264A" w14:textId="3C082BE9" w:rsidR="00BF741A" w:rsidRDefault="00BF741A">
      <w:pPr>
        <w:pStyle w:val="SAtext"/>
        <w:tabs>
          <w:tab w:val="clear" w:pos="360"/>
          <w:tab w:val="left" w:pos="900"/>
        </w:tabs>
        <w:spacing w:before="0"/>
        <w:ind w:left="900" w:hanging="540"/>
      </w:pPr>
      <w:r>
        <w:t>1.1</w:t>
      </w:r>
      <w:r>
        <w:tab/>
        <w:t>While (i) the Issuer has and shall have no obligation to sell the Notes to the Dealer or to permit the Dealer to arrange any sale of the Notes for the account of the Issuer, and (ii) the Dealer has and shall have no obligation to purchase the Notes from the Issuer or to arrange any sale of the Notes for the account of the Issuer, the parties hereto agree that in any case where the Dealer purchases Notes from the Issuer, or arranges for the sale of Notes by the Issuer, such Notes will be purchased or sold by the Dealer in reliance on the representations, warranties, covenants and agreements of the Issuer</w:t>
      </w:r>
      <w:r w:rsidR="003E1F94">
        <w:t xml:space="preserve"> and the Guarantor</w:t>
      </w:r>
      <w:r>
        <w:t xml:space="preserve"> contained herein or made pursuant hereto and on the terms and conditions and in the manner provided herein.</w:t>
      </w:r>
    </w:p>
    <w:p w14:paraId="3696CE02" w14:textId="2C6FC112" w:rsidR="00BF741A" w:rsidRDefault="00BF741A">
      <w:pPr>
        <w:pStyle w:val="SAtext"/>
        <w:spacing w:before="0"/>
        <w:ind w:left="900" w:hanging="540"/>
      </w:pPr>
      <w:r>
        <w:t>1.2</w:t>
      </w:r>
      <w:r>
        <w:tab/>
        <w:t xml:space="preserve">So long as this Agreement shall remain in effect, </w:t>
      </w:r>
      <w:r w:rsidR="003E1F94">
        <w:t xml:space="preserve">neither </w:t>
      </w:r>
      <w:r>
        <w:t xml:space="preserve">the Issuer </w:t>
      </w:r>
      <w:r w:rsidR="003E1F94">
        <w:t xml:space="preserve">nor the Guarantor </w:t>
      </w:r>
      <w:r>
        <w:t>shall, without the consent of the Dealer, offer, solicit or accept offers to purchase, or sell, any Notes</w:t>
      </w:r>
      <w:r w:rsidR="00A658E2">
        <w:t xml:space="preserve"> </w:t>
      </w:r>
      <w:r w:rsidR="00A658E2" w:rsidRPr="00A658E2">
        <w:t>or notes substantially similar to the Notes in reliance upon the exemption from registration under the Securities Act contained in Section 3(a)(3) thereof</w:t>
      </w:r>
      <w:r w:rsidR="00A658E2">
        <w:t>,</w:t>
      </w:r>
      <w:r>
        <w:t xml:space="preserve"> except (a) in transactions with one or more dealers which may from time to time after the date hereof become dealers with respect to the Notes by executing with the Issuer </w:t>
      </w:r>
      <w:r w:rsidR="00E737CD">
        <w:t xml:space="preserve">and the Guarantor </w:t>
      </w:r>
      <w:r>
        <w:t>one or more agreements, of which the Issuer</w:t>
      </w:r>
      <w:r w:rsidR="003E1F94">
        <w:t xml:space="preserve"> and the Guarantor</w:t>
      </w:r>
      <w:r>
        <w:t xml:space="preserve"> hereby undertake to provide the Dealer prompt notice</w:t>
      </w:r>
      <w:r w:rsidR="009A71B6">
        <w:t>,</w:t>
      </w:r>
      <w:r>
        <w:t xml:space="preserve"> or (b) in transactions with the other dealers listed on the Addendum hereto, which are executing agreements with the Issuer</w:t>
      </w:r>
      <w:r w:rsidR="003E1F94">
        <w:t xml:space="preserve"> and the Guarantor</w:t>
      </w:r>
      <w:r>
        <w:t xml:space="preserve"> contemporaneously herewith</w:t>
      </w:r>
      <w:r w:rsidR="006A7501">
        <w:t xml:space="preserve"> </w:t>
      </w:r>
      <w:r w:rsidR="006A7501" w:rsidRPr="00CB5819">
        <w:t>or have executed agreements with the Issuer prior to the date hereof</w:t>
      </w:r>
      <w:r w:rsidR="00130C5C" w:rsidRPr="00CB5819">
        <w:t xml:space="preserve"> (</w:t>
      </w:r>
      <w:r w:rsidR="00F22CD5">
        <w:t xml:space="preserve">in the case of clauses (a) and (b), </w:t>
      </w:r>
      <w:r w:rsidR="00130C5C" w:rsidRPr="00CB5819">
        <w:t>each</w:t>
      </w:r>
      <w:r w:rsidR="009A71B6">
        <w:t>,</w:t>
      </w:r>
      <w:r w:rsidR="00130C5C" w:rsidRPr="00CB5819">
        <w:t xml:space="preserve"> an “</w:t>
      </w:r>
      <w:r w:rsidR="00130C5C" w:rsidRPr="00F22CD5">
        <w:t>Other Dealer</w:t>
      </w:r>
      <w:r w:rsidR="00130C5C" w:rsidRPr="00CB5819">
        <w:t>” and collectively, the “</w:t>
      </w:r>
      <w:r w:rsidR="00130C5C" w:rsidRPr="00F22CD5">
        <w:t>Other Dealers</w:t>
      </w:r>
      <w:r w:rsidR="00130C5C" w:rsidRPr="00CB5819">
        <w:t>”)</w:t>
      </w:r>
      <w:r w:rsidRPr="00CB5819">
        <w:t xml:space="preserve">.  </w:t>
      </w:r>
      <w:r>
        <w:t xml:space="preserve">In no event shall the Issuer </w:t>
      </w:r>
      <w:r w:rsidR="003E1F94">
        <w:t xml:space="preserve">or the Guarantor </w:t>
      </w:r>
      <w:r>
        <w:t xml:space="preserve">offer, solicit or accept offers to purchase, or sell, any Notes directly on its own behalf in transactions with persons other than </w:t>
      </w:r>
      <w:r w:rsidR="00F22CD5">
        <w:t>Other Dealers</w:t>
      </w:r>
      <w:r>
        <w:t xml:space="preserve"> as specifically permitted in this Section 1.2</w:t>
      </w:r>
      <w:r w:rsidR="00FF0B0E">
        <w:t>, with respect to which no commission is payable</w:t>
      </w:r>
      <w:r>
        <w:t>.</w:t>
      </w:r>
    </w:p>
    <w:p w14:paraId="5269F67F" w14:textId="278D74CB" w:rsidR="00BF741A" w:rsidRDefault="00BF741A">
      <w:pPr>
        <w:pStyle w:val="SAtext"/>
        <w:spacing w:before="0"/>
        <w:ind w:left="900" w:hanging="540"/>
      </w:pPr>
      <w:r>
        <w:t>1.3</w:t>
      </w:r>
      <w:r>
        <w:tab/>
        <w:t xml:space="preserve">The Notes shall </w:t>
      </w:r>
      <w:r w:rsidR="00D639CE">
        <w:t>have a minimum Face Amount</w:t>
      </w:r>
      <w:r>
        <w:t xml:space="preserve"> of $</w:t>
      </w:r>
      <w:r w:rsidR="00FF0B0E">
        <w:t>10</w:t>
      </w:r>
      <w:r>
        <w:t xml:space="preserve">0,000 or integral multiples of $1,000 in excess thereof, will bear such interest rates, if interest bearing, or will be sold at such discount from their </w:t>
      </w:r>
      <w:r w:rsidR="00A30AF6">
        <w:t>F</w:t>
      </w:r>
      <w:r>
        <w:t xml:space="preserve">ace </w:t>
      </w:r>
      <w:r w:rsidR="00A30AF6">
        <w:t>A</w:t>
      </w:r>
      <w:r>
        <w:t xml:space="preserve">mounts, as shall be agreed upon by the Dealer and the Issuer, shall have a maturity not exceeding </w:t>
      </w:r>
      <w:r w:rsidR="00FF0B0E">
        <w:t>270</w:t>
      </w:r>
      <w:r>
        <w:t xml:space="preserve"> days from the date of issuance </w:t>
      </w:r>
      <w:r w:rsidR="00FF0B0E">
        <w:t xml:space="preserve">(exclusive of days of grace) </w:t>
      </w:r>
      <w:r>
        <w:t xml:space="preserve">and may have such terms as are specified in Exhibit </w:t>
      </w:r>
      <w:r w:rsidR="00FF0B0E">
        <w:t>A</w:t>
      </w:r>
      <w:r>
        <w:t xml:space="preserve"> hereto, the </w:t>
      </w:r>
      <w:r w:rsidR="00FF0B0E">
        <w:t>Offering Materials</w:t>
      </w:r>
      <w:r w:rsidR="00EE197B">
        <w:t xml:space="preserve"> or</w:t>
      </w:r>
      <w:r>
        <w:t xml:space="preserve"> a pricing supplement, or as otherwise agreed upon by the applicable purchaser and the </w:t>
      </w:r>
      <w:r w:rsidRPr="009754D6">
        <w:t>Issuer.  The Notes</w:t>
      </w:r>
      <w:r>
        <w:t xml:space="preserve"> shall not contain any provision for extension, renewal or automatic “rollover.”</w:t>
      </w:r>
      <w:r w:rsidR="00FF0B0E">
        <w:t xml:space="preserve"> The Notes shall be issued in the ordinary course of the Issuer’s business.</w:t>
      </w:r>
    </w:p>
    <w:p w14:paraId="462242D3" w14:textId="5D01FDB1" w:rsidR="00BF741A" w:rsidRDefault="00BF741A">
      <w:pPr>
        <w:pStyle w:val="SAtext"/>
        <w:spacing w:before="0"/>
        <w:ind w:left="900" w:hanging="540"/>
      </w:pPr>
      <w:bookmarkStart w:id="1" w:name="_Hlk163121339"/>
      <w:r>
        <w:t>1.4</w:t>
      </w:r>
      <w:r>
        <w:tab/>
        <w:t xml:space="preserve">The authentication and issuance of, and payment for, the Notes shall be effected in accordance with the Issuing and Paying Agency Agreement, and the Notes shall be either </w:t>
      </w:r>
      <w:r>
        <w:lastRenderedPageBreak/>
        <w:t>individual physical certificates or book-entry notes evidenced by one or more master notes (each, a “Master Note”) registered in the name of The Depository Trust Company (“DTC”) or its nominee, in the form or forms annexed to the Issuing and Paying Agency Agreement.</w:t>
      </w:r>
    </w:p>
    <w:bookmarkEnd w:id="1"/>
    <w:p w14:paraId="2B6A6694" w14:textId="39E9EB10" w:rsidR="00BF741A" w:rsidRDefault="00BF741A">
      <w:pPr>
        <w:pStyle w:val="SAtext"/>
        <w:spacing w:before="0"/>
        <w:ind w:left="900" w:hanging="540"/>
      </w:pPr>
      <w:r>
        <w:t>1.5</w:t>
      </w:r>
      <w:r>
        <w:tab/>
        <w:t xml:space="preserve">If the Issuer and the Dealer shall agree on the terms of the purchase of any Note by the Dealer or the sale of any Note arranged by the Dealer (including, but not limited to, agreement with respect to the date of issue, purchase price, principal amount, maturity and interest rate or interest rate index and margin (in the case of interest-bearing Notes) or discount thereof (in the case of Notes issued on a discount basis), and appropriate compensation for the Dealer’s services hereunder) pursuant to this Agreement, the Issuer shall cause such Note to be issued and delivered in accordance with the terms of the Issuing and Paying Agency Agreement and payment for such Note shall be made by the purchaser thereof, either directly or through the Dealer, to the Issuing and Paying Agent, for the account of the Issuer.  Except as otherwise agreed, in the event that the Dealer is acting as an agent and a purchaser shall either fail to accept delivery of or make payment for a Note on the date fixed for settlement, the Dealer shall promptly notify the Issuer, and if the Dealer has theretofore paid the Issuer for the Note, the Issuer will promptly return such funds to the Dealer against its return of the Note to the Issuer, in the case of a certificated Note, and upon notice of such failure in the case of a book-entry Note.  If such failure occurred for any reason other than default by the Dealer, the Issuer </w:t>
      </w:r>
      <w:r w:rsidR="003E1F94">
        <w:t>and the Guarantor agree, jointly and severally, to</w:t>
      </w:r>
      <w:r>
        <w:t xml:space="preserve"> reimburse the Dealer on an equitable basis for the Dealer’s loss of the use of such funds for the period such funds were credited to the Issuer’s account.</w:t>
      </w:r>
    </w:p>
    <w:p w14:paraId="5CB4E925" w14:textId="0EAC477F" w:rsidR="00A656DE" w:rsidRPr="009340A9" w:rsidRDefault="00A656DE" w:rsidP="00A71166">
      <w:pPr>
        <w:pStyle w:val="SAtext"/>
        <w:ind w:left="900" w:hanging="540"/>
      </w:pPr>
      <w:bookmarkStart w:id="2" w:name="_Ref475481500"/>
      <w:r>
        <w:t>1.</w:t>
      </w:r>
      <w:r w:rsidR="00FF0B0E">
        <w:t>6</w:t>
      </w:r>
      <w:r w:rsidR="008925DE">
        <w:t xml:space="preserve">    </w:t>
      </w:r>
      <w:r w:rsidR="00FF0B0E">
        <w:t xml:space="preserve"> </w:t>
      </w:r>
      <w:r w:rsidRPr="0005568A">
        <w:t xml:space="preserve">The Issuer </w:t>
      </w:r>
      <w:r w:rsidR="00C350C4">
        <w:t xml:space="preserve">shall not issue Notes, or request the Dealer to offer and sell Notes, to the extent that after giving effect to such issuance and the application of the proceeds thereof, the </w:t>
      </w:r>
      <w:r w:rsidR="00FC7F28">
        <w:t xml:space="preserve">aggregate </w:t>
      </w:r>
      <w:r w:rsidR="00921B33">
        <w:t>Face Amount</w:t>
      </w:r>
      <w:r w:rsidR="00C350C4">
        <w:t xml:space="preserve"> of</w:t>
      </w:r>
      <w:r w:rsidR="00FC7F28">
        <w:t xml:space="preserve"> outstanding Notes</w:t>
      </w:r>
      <w:r w:rsidR="00BB7858">
        <w:t xml:space="preserve"> under the Program</w:t>
      </w:r>
      <w:r w:rsidR="00FC7F28">
        <w:t xml:space="preserve"> would exceed the Maximum Amount.  The Issuer</w:t>
      </w:r>
      <w:r w:rsidR="00C350C4">
        <w:t xml:space="preserve"> </w:t>
      </w:r>
      <w:r w:rsidR="00882650">
        <w:t>and the Guarantor</w:t>
      </w:r>
      <w:r w:rsidR="00882650" w:rsidRPr="0005568A">
        <w:t xml:space="preserve"> </w:t>
      </w:r>
      <w:r w:rsidRPr="0005568A">
        <w:t>may from time to time increase the Maximum Amount by:</w:t>
      </w:r>
      <w:bookmarkEnd w:id="2"/>
    </w:p>
    <w:p w14:paraId="23612329" w14:textId="023F91EE" w:rsidR="00A656DE" w:rsidRPr="00A71166" w:rsidRDefault="00A656DE" w:rsidP="00A656DE">
      <w:pPr>
        <w:pStyle w:val="ShortLegal3"/>
        <w:rPr>
          <w:sz w:val="22"/>
          <w:szCs w:val="22"/>
        </w:rPr>
      </w:pPr>
      <w:r w:rsidRPr="00A71166">
        <w:rPr>
          <w:sz w:val="22"/>
          <w:szCs w:val="22"/>
        </w:rPr>
        <w:t xml:space="preserve">giving at least ten (10) days’ notice by letter substantially in the form attached hereto as </w:t>
      </w:r>
      <w:r w:rsidRPr="00A71166">
        <w:rPr>
          <w:sz w:val="22"/>
          <w:szCs w:val="22"/>
          <w:u w:val="single"/>
        </w:rPr>
        <w:t xml:space="preserve">Exhibit </w:t>
      </w:r>
      <w:r w:rsidR="00FF0B0E" w:rsidRPr="00A71166">
        <w:rPr>
          <w:sz w:val="22"/>
          <w:szCs w:val="22"/>
          <w:u w:val="single"/>
        </w:rPr>
        <w:t>B</w:t>
      </w:r>
      <w:r w:rsidRPr="00A71166">
        <w:rPr>
          <w:sz w:val="22"/>
          <w:szCs w:val="22"/>
        </w:rPr>
        <w:t xml:space="preserve"> (the “</w:t>
      </w:r>
      <w:r w:rsidRPr="00A71166">
        <w:rPr>
          <w:sz w:val="22"/>
          <w:szCs w:val="22"/>
          <w:u w:val="single"/>
        </w:rPr>
        <w:t xml:space="preserve">Notification Letter for an Increase in </w:t>
      </w:r>
      <w:r w:rsidR="00C11237" w:rsidRPr="00A71166">
        <w:rPr>
          <w:sz w:val="22"/>
          <w:szCs w:val="22"/>
          <w:u w:val="single"/>
        </w:rPr>
        <w:t xml:space="preserve">the </w:t>
      </w:r>
      <w:r w:rsidRPr="00A71166">
        <w:rPr>
          <w:sz w:val="22"/>
          <w:szCs w:val="22"/>
          <w:u w:val="single"/>
        </w:rPr>
        <w:t>Maximum Amount</w:t>
      </w:r>
      <w:r w:rsidRPr="00A71166">
        <w:rPr>
          <w:sz w:val="22"/>
          <w:szCs w:val="22"/>
        </w:rPr>
        <w:t>”) to the Dealer and the Issuing and Paying Agent</w:t>
      </w:r>
      <w:r w:rsidR="00C11237" w:rsidRPr="00A71166">
        <w:rPr>
          <w:sz w:val="22"/>
          <w:szCs w:val="22"/>
        </w:rPr>
        <w:t>; and</w:t>
      </w:r>
    </w:p>
    <w:p w14:paraId="608E92E4" w14:textId="0BC29CA4" w:rsidR="00A656DE" w:rsidRPr="00A71166" w:rsidRDefault="00A656DE" w:rsidP="00A656DE">
      <w:pPr>
        <w:pStyle w:val="ShortLegal3"/>
        <w:rPr>
          <w:sz w:val="22"/>
          <w:szCs w:val="22"/>
        </w:rPr>
      </w:pPr>
      <w:r w:rsidRPr="00A71166">
        <w:rPr>
          <w:sz w:val="22"/>
          <w:szCs w:val="22"/>
        </w:rPr>
        <w:t>delivery of (i) a certificate from a duly authorized officer of the Issuer</w:t>
      </w:r>
      <w:r w:rsidR="00BB2E56" w:rsidRPr="00A71166">
        <w:rPr>
          <w:sz w:val="22"/>
          <w:szCs w:val="22"/>
        </w:rPr>
        <w:t xml:space="preserve"> and the Guarantor</w:t>
      </w:r>
      <w:r w:rsidRPr="00A71166">
        <w:rPr>
          <w:sz w:val="22"/>
          <w:szCs w:val="22"/>
        </w:rPr>
        <w:t xml:space="preserve"> confirming that no changes have been made to the organizational documents of the Issuer </w:t>
      </w:r>
      <w:r w:rsidR="00BB2E56" w:rsidRPr="00A71166">
        <w:rPr>
          <w:sz w:val="22"/>
          <w:szCs w:val="22"/>
        </w:rPr>
        <w:t xml:space="preserve">or the Guarantor </w:t>
      </w:r>
      <w:r w:rsidRPr="00A71166">
        <w:rPr>
          <w:sz w:val="22"/>
          <w:szCs w:val="22"/>
        </w:rPr>
        <w:t xml:space="preserve">since the date </w:t>
      </w:r>
      <w:r w:rsidR="002A39DF" w:rsidRPr="00A71166">
        <w:rPr>
          <w:sz w:val="22"/>
          <w:szCs w:val="22"/>
        </w:rPr>
        <w:t>a certified copy thereof was most recently delivered to the Dealer</w:t>
      </w:r>
      <w:r w:rsidRPr="00A71166">
        <w:rPr>
          <w:sz w:val="22"/>
          <w:szCs w:val="22"/>
        </w:rPr>
        <w:t xml:space="preserve"> or, if there has been any such change, a certified copy of the related organizational documents currently in force; (ii) certified copies of all documents evidencing the internal authorization and approval required to be </w:t>
      </w:r>
      <w:r w:rsidR="004D1362" w:rsidRPr="00A71166">
        <w:rPr>
          <w:sz w:val="22"/>
          <w:szCs w:val="22"/>
        </w:rPr>
        <w:t>adopted</w:t>
      </w:r>
      <w:r w:rsidRPr="00A71166">
        <w:rPr>
          <w:sz w:val="22"/>
          <w:szCs w:val="22"/>
        </w:rPr>
        <w:t xml:space="preserve"> by the Issuer </w:t>
      </w:r>
      <w:r w:rsidR="00BB2E56" w:rsidRPr="00A71166">
        <w:rPr>
          <w:sz w:val="22"/>
          <w:szCs w:val="22"/>
        </w:rPr>
        <w:t xml:space="preserve">and the Guarantor </w:t>
      </w:r>
      <w:r w:rsidRPr="00A71166">
        <w:rPr>
          <w:sz w:val="22"/>
          <w:szCs w:val="22"/>
        </w:rPr>
        <w:t>for such an increase in the Maximum Amount; (</w:t>
      </w:r>
      <w:r w:rsidR="005D00E9" w:rsidRPr="00A71166">
        <w:rPr>
          <w:sz w:val="22"/>
          <w:szCs w:val="22"/>
        </w:rPr>
        <w:t>iii</w:t>
      </w:r>
      <w:r w:rsidRPr="00A71166">
        <w:rPr>
          <w:sz w:val="22"/>
          <w:szCs w:val="22"/>
        </w:rPr>
        <w:t xml:space="preserve">) updated or supplemental </w:t>
      </w:r>
      <w:r w:rsidR="00FF0B0E" w:rsidRPr="00A71166">
        <w:rPr>
          <w:sz w:val="22"/>
          <w:szCs w:val="22"/>
        </w:rPr>
        <w:t>Offering Materials</w:t>
      </w:r>
      <w:r w:rsidRPr="00A71166">
        <w:rPr>
          <w:sz w:val="22"/>
          <w:szCs w:val="22"/>
        </w:rPr>
        <w:t xml:space="preserve"> reflecting the increase in the Maximum Amount of the Program; (</w:t>
      </w:r>
      <w:r w:rsidR="005D00E9" w:rsidRPr="00A71166">
        <w:rPr>
          <w:sz w:val="22"/>
          <w:szCs w:val="22"/>
        </w:rPr>
        <w:t>i</w:t>
      </w:r>
      <w:r w:rsidRPr="00A71166">
        <w:rPr>
          <w:sz w:val="22"/>
          <w:szCs w:val="22"/>
        </w:rPr>
        <w:t xml:space="preserve">v) </w:t>
      </w:r>
      <w:r w:rsidR="00BB2E56" w:rsidRPr="00A71166">
        <w:rPr>
          <w:sz w:val="22"/>
          <w:szCs w:val="22"/>
        </w:rPr>
        <w:t xml:space="preserve">one or more </w:t>
      </w:r>
      <w:r w:rsidRPr="00A71166">
        <w:rPr>
          <w:sz w:val="22"/>
          <w:szCs w:val="22"/>
        </w:rPr>
        <w:t>legal opinion</w:t>
      </w:r>
      <w:r w:rsidR="00BB2E56" w:rsidRPr="00A71166">
        <w:rPr>
          <w:sz w:val="22"/>
          <w:szCs w:val="22"/>
        </w:rPr>
        <w:t>s</w:t>
      </w:r>
      <w:r w:rsidRPr="00A71166">
        <w:rPr>
          <w:sz w:val="22"/>
          <w:szCs w:val="22"/>
        </w:rPr>
        <w:t xml:space="preserve"> </w:t>
      </w:r>
      <w:r w:rsidR="00CF416F" w:rsidRPr="00A71166">
        <w:rPr>
          <w:sz w:val="22"/>
          <w:szCs w:val="22"/>
        </w:rPr>
        <w:t>of counsel to the Issuer</w:t>
      </w:r>
      <w:r w:rsidR="009A7D42" w:rsidRPr="00A71166">
        <w:rPr>
          <w:sz w:val="22"/>
          <w:szCs w:val="22"/>
        </w:rPr>
        <w:t xml:space="preserve"> </w:t>
      </w:r>
      <w:r w:rsidR="00BB2E56" w:rsidRPr="00A71166">
        <w:rPr>
          <w:sz w:val="22"/>
          <w:szCs w:val="22"/>
        </w:rPr>
        <w:t>and</w:t>
      </w:r>
      <w:r w:rsidR="009A7D42" w:rsidRPr="00A71166">
        <w:rPr>
          <w:sz w:val="22"/>
          <w:szCs w:val="22"/>
        </w:rPr>
        <w:t xml:space="preserve"> the Guarantor</w:t>
      </w:r>
      <w:r w:rsidR="00CF416F" w:rsidRPr="00A71166">
        <w:rPr>
          <w:sz w:val="22"/>
          <w:szCs w:val="22"/>
        </w:rPr>
        <w:t>, addressed to the Dealer, in form and substance reasonably satisfactory to the Dealer</w:t>
      </w:r>
      <w:r w:rsidRPr="00A71166">
        <w:rPr>
          <w:sz w:val="22"/>
          <w:szCs w:val="22"/>
        </w:rPr>
        <w:t>; (v) evidence from each nationally recognized statistical rating organization providing a rating of the Notes either (A) that such rating has been confirmed after giving effect to the increase in the Maximum Amount or (B) setting forth any change in the rating of the Notes after giving effect to the increase in the Maximum Amount</w:t>
      </w:r>
      <w:r w:rsidR="005D00E9" w:rsidRPr="00A71166">
        <w:rPr>
          <w:sz w:val="22"/>
          <w:szCs w:val="22"/>
        </w:rPr>
        <w:t xml:space="preserve">; and (vi) </w:t>
      </w:r>
      <w:r w:rsidR="00974028" w:rsidRPr="00A71166">
        <w:rPr>
          <w:sz w:val="22"/>
          <w:szCs w:val="22"/>
        </w:rPr>
        <w:t xml:space="preserve">such other </w:t>
      </w:r>
      <w:r w:rsidR="007E0091" w:rsidRPr="00A71166">
        <w:rPr>
          <w:sz w:val="22"/>
          <w:szCs w:val="22"/>
        </w:rPr>
        <w:t xml:space="preserve">certificates, opinions, letters and documents </w:t>
      </w:r>
      <w:r w:rsidR="00974028" w:rsidRPr="00A71166">
        <w:rPr>
          <w:sz w:val="22"/>
          <w:szCs w:val="22"/>
        </w:rPr>
        <w:t xml:space="preserve">as the </w:t>
      </w:r>
      <w:r w:rsidR="005D00E9" w:rsidRPr="00A71166">
        <w:rPr>
          <w:sz w:val="22"/>
          <w:szCs w:val="22"/>
        </w:rPr>
        <w:t>Dealer</w:t>
      </w:r>
      <w:r w:rsidR="00974028" w:rsidRPr="00A71166">
        <w:rPr>
          <w:sz w:val="22"/>
          <w:szCs w:val="22"/>
        </w:rPr>
        <w:t xml:space="preserve"> shall have reasonably requested</w:t>
      </w:r>
      <w:r w:rsidRPr="00A71166">
        <w:rPr>
          <w:sz w:val="22"/>
          <w:szCs w:val="22"/>
        </w:rPr>
        <w:t>.</w:t>
      </w:r>
    </w:p>
    <w:p w14:paraId="58A61B1B" w14:textId="441A1E4D" w:rsidR="00BF741A" w:rsidRDefault="00E423D3" w:rsidP="00A71166">
      <w:pPr>
        <w:pStyle w:val="SAtext"/>
        <w:spacing w:before="0"/>
        <w:ind w:left="900" w:hanging="540"/>
      </w:pPr>
      <w:r>
        <w:lastRenderedPageBreak/>
        <w:t>1.7</w:t>
      </w:r>
      <w:r>
        <w:tab/>
      </w:r>
      <w:r w:rsidR="00135ED6">
        <w:t>Each of t</w:t>
      </w:r>
      <w:r>
        <w:t xml:space="preserve">he </w:t>
      </w:r>
      <w:r w:rsidRPr="00E423D3">
        <w:t xml:space="preserve">Issuer </w:t>
      </w:r>
      <w:r w:rsidR="00135ED6">
        <w:t xml:space="preserve">and the Guarantor </w:t>
      </w:r>
      <w:r w:rsidRPr="00E423D3">
        <w:t xml:space="preserve">hereby (i) represents and warrants that it has not taken or omitted to take, and (ii) covenants that it will not take, or omit to take, in each case, any action, which action (or the absence thereof, in the case of an omission) would cause the offering and sale of Notes hereunder to be integrated with any other offering of securities, whether such offering is made by the Issuer </w:t>
      </w:r>
      <w:r w:rsidR="001401FE">
        <w:t xml:space="preserve">or the Guarantor </w:t>
      </w:r>
      <w:r w:rsidRPr="00E423D3">
        <w:t>or some other party or parties</w:t>
      </w:r>
      <w:r>
        <w:t>.</w:t>
      </w:r>
    </w:p>
    <w:p w14:paraId="776AB252" w14:textId="4E33C362" w:rsidR="00BF741A" w:rsidRDefault="00BF741A">
      <w:pPr>
        <w:pStyle w:val="SASubhd1"/>
        <w:numPr>
          <w:ilvl w:val="0"/>
          <w:numId w:val="2"/>
        </w:numPr>
        <w:spacing w:after="0"/>
        <w:rPr>
          <w:bCs/>
          <w:sz w:val="24"/>
        </w:rPr>
      </w:pPr>
      <w:r>
        <w:rPr>
          <w:bCs/>
          <w:sz w:val="24"/>
        </w:rPr>
        <w:t>Representations and Warranties of Issuer</w:t>
      </w:r>
      <w:r w:rsidR="009A7D42">
        <w:rPr>
          <w:bCs/>
          <w:sz w:val="24"/>
        </w:rPr>
        <w:t xml:space="preserve"> </w:t>
      </w:r>
      <w:r w:rsidR="009A7D42">
        <w:t>and the Guarantor</w:t>
      </w:r>
      <w:r>
        <w:rPr>
          <w:bCs/>
          <w:sz w:val="24"/>
        </w:rPr>
        <w:t>.</w:t>
      </w:r>
    </w:p>
    <w:p w14:paraId="5347F9FC" w14:textId="30CCD7A6" w:rsidR="00BF741A" w:rsidRDefault="009A7D42" w:rsidP="007903A8">
      <w:pPr>
        <w:pStyle w:val="SAtext"/>
        <w:spacing w:before="0" w:after="120"/>
        <w:ind w:left="360"/>
      </w:pPr>
      <w:r>
        <w:t>Each of t</w:t>
      </w:r>
      <w:r w:rsidR="00BF741A">
        <w:t xml:space="preserve">he Issuer </w:t>
      </w:r>
      <w:r>
        <w:t xml:space="preserve">and the Guarantor </w:t>
      </w:r>
      <w:r w:rsidR="00BF741A">
        <w:t xml:space="preserve">represents and warrants </w:t>
      </w:r>
      <w:r>
        <w:t xml:space="preserve">as to itself </w:t>
      </w:r>
      <w:r w:rsidR="00BF741A">
        <w:t>that:</w:t>
      </w:r>
    </w:p>
    <w:p w14:paraId="0B4E1EAD" w14:textId="1B25C46F" w:rsidR="00BF741A" w:rsidRDefault="00BF741A" w:rsidP="00D2221C">
      <w:pPr>
        <w:pStyle w:val="SAtext"/>
        <w:numPr>
          <w:ilvl w:val="1"/>
          <w:numId w:val="5"/>
        </w:numPr>
        <w:tabs>
          <w:tab w:val="left" w:pos="900"/>
        </w:tabs>
        <w:ind w:left="900" w:hanging="540"/>
      </w:pPr>
      <w:r>
        <w:t xml:space="preserve">The Issuer is a </w:t>
      </w:r>
      <w:r w:rsidR="00E423D3">
        <w:t>[</w:t>
      </w:r>
      <w:r>
        <w:t>corporation</w:t>
      </w:r>
      <w:r w:rsidR="00E423D3">
        <w:t>]</w:t>
      </w:r>
      <w:r>
        <w:t xml:space="preserve"> duly organized, validly existing and in good standing under the laws of the jurisdiction of its </w:t>
      </w:r>
      <w:r w:rsidR="00E423D3">
        <w:t>[</w:t>
      </w:r>
      <w:r>
        <w:t>incorporation</w:t>
      </w:r>
      <w:r w:rsidR="00E423D3">
        <w:t>]</w:t>
      </w:r>
      <w:r>
        <w:t xml:space="preserve"> and has all the requisite power and authority to execute, deliver and perform its obligations under the Notes, this Agreement and the Issuing and Paying Agency Agreement.</w:t>
      </w:r>
    </w:p>
    <w:p w14:paraId="37A21DE7" w14:textId="1B2896A3" w:rsidR="009A7D42" w:rsidRDefault="009A7D42" w:rsidP="00D2221C">
      <w:pPr>
        <w:pStyle w:val="SAtext"/>
        <w:numPr>
          <w:ilvl w:val="1"/>
          <w:numId w:val="5"/>
        </w:numPr>
        <w:tabs>
          <w:tab w:val="left" w:pos="900"/>
        </w:tabs>
        <w:ind w:left="900" w:hanging="540"/>
      </w:pPr>
      <w:r>
        <w:t xml:space="preserve">The </w:t>
      </w:r>
      <w:r w:rsidRPr="009A7D42">
        <w:t xml:space="preserve">Guarantor is a </w:t>
      </w:r>
      <w:r w:rsidR="00E423D3">
        <w:t>[</w:t>
      </w:r>
      <w:r w:rsidRPr="009A7D42">
        <w:t>corporation</w:t>
      </w:r>
      <w:r w:rsidR="00E423D3">
        <w:t>]</w:t>
      </w:r>
      <w:r w:rsidRPr="009A7D42">
        <w:t xml:space="preserve"> duly organized, validly existing and in good standing under the laws of the jurisdiction of its </w:t>
      </w:r>
      <w:r w:rsidR="00E423D3">
        <w:t>[</w:t>
      </w:r>
      <w:r w:rsidRPr="009A7D42">
        <w:t>incorporation</w:t>
      </w:r>
      <w:r w:rsidR="00E423D3">
        <w:t>]</w:t>
      </w:r>
      <w:r w:rsidRPr="009A7D42">
        <w:t xml:space="preserve"> and has all the requisite power and authority to execute, deliver and perform its obligations under the Guarantee, this Agreement and the Issuing and Paying Agency</w:t>
      </w:r>
      <w:r>
        <w:t xml:space="preserve"> Agreement.</w:t>
      </w:r>
    </w:p>
    <w:p w14:paraId="4EFB9C6D" w14:textId="599B7754" w:rsidR="00BF741A" w:rsidRDefault="00BF741A" w:rsidP="00D2221C">
      <w:pPr>
        <w:pStyle w:val="SAtext"/>
        <w:numPr>
          <w:ilvl w:val="1"/>
          <w:numId w:val="5"/>
        </w:numPr>
        <w:tabs>
          <w:tab w:val="left" w:pos="900"/>
        </w:tabs>
        <w:ind w:left="900" w:hanging="540"/>
      </w:pPr>
      <w:r>
        <w:t xml:space="preserve">This Agreement and the Issuing and Paying Agency Agreement have been duly authorized, executed and delivered by the Issuer and </w:t>
      </w:r>
      <w:r w:rsidR="009A7D42">
        <w:t xml:space="preserve">the Guarantor and </w:t>
      </w:r>
      <w:r>
        <w:t xml:space="preserve">constitute legal, valid and binding obligations of the Issuer </w:t>
      </w:r>
      <w:r w:rsidR="009A7D42">
        <w:t xml:space="preserve">and the Guarantor </w:t>
      </w:r>
      <w:r>
        <w:t>enforceable against the Issuer</w:t>
      </w:r>
      <w:r w:rsidR="009A7D42">
        <w:t xml:space="preserve"> and the Guarantor</w:t>
      </w:r>
      <w:r>
        <w:t xml:space="preserve"> in accordance with their terms, subject to applicable bankruptcy, insolvency and similar laws affecting creditors’ rights generally, and subject, as to enforceability, to general principles of equity (regardless of whether enforcement is sought in a proceeding in equity or at law).</w:t>
      </w:r>
    </w:p>
    <w:p w14:paraId="25ACE9AD" w14:textId="517DE963" w:rsidR="00BF741A" w:rsidRDefault="00BF741A" w:rsidP="00D2221C">
      <w:pPr>
        <w:pStyle w:val="SAtext"/>
        <w:numPr>
          <w:ilvl w:val="1"/>
          <w:numId w:val="5"/>
        </w:numPr>
        <w:tabs>
          <w:tab w:val="left" w:pos="900"/>
        </w:tabs>
        <w:ind w:left="900" w:hanging="540"/>
      </w:pPr>
      <w:r>
        <w:t>The Notes have been duly authorized, and when issued as provided in the Issuing and Paying Agency Agreement, will be duly and validly issued and will constitute legal, valid and binding obligations of the Issuer enforceable against the Issuer in accordance with their terms, subject to applicable bankruptcy, insolvency and similar laws affecting creditors’ rights generally, and subject, as to enforceability, to general principles of equity (regardless of whether enforcement is sought in a proceeding in equity or at law).</w:t>
      </w:r>
    </w:p>
    <w:p w14:paraId="666F6C2E" w14:textId="77DDD87E" w:rsidR="007355C9" w:rsidRDefault="007355C9" w:rsidP="00D2221C">
      <w:pPr>
        <w:pStyle w:val="SAtext"/>
        <w:numPr>
          <w:ilvl w:val="1"/>
          <w:numId w:val="5"/>
        </w:numPr>
        <w:tabs>
          <w:tab w:val="left" w:pos="900"/>
        </w:tabs>
        <w:ind w:left="900" w:hanging="540"/>
      </w:pPr>
      <w:r>
        <w:t xml:space="preserve">The </w:t>
      </w:r>
      <w:r w:rsidRPr="007355C9">
        <w:t>Guarantee has been duly authorized, executed and delivered by the Guarantor and constitute</w:t>
      </w:r>
      <w:r w:rsidR="00BB2E56">
        <w:t>s</w:t>
      </w:r>
      <w:r w:rsidRPr="007355C9">
        <w:t xml:space="preserve"> the legal, valid and binding obligation of the Guarantor enforceable against the Guarantor in accordance with its terms</w:t>
      </w:r>
      <w:r w:rsidR="00BB2E56">
        <w:t>,</w:t>
      </w:r>
      <w:r w:rsidRPr="007355C9">
        <w:t xml:space="preserve"> subject to applicable bankruptcy, insolvency or similar laws affecting creditors’ rights generally, and subject, as to enforceability, to general principles of equity (regardless of whether enforcement is sought in a proceeding in equity or</w:t>
      </w:r>
      <w:r>
        <w:t xml:space="preserve"> at law).</w:t>
      </w:r>
    </w:p>
    <w:p w14:paraId="758D50C9" w14:textId="68075F02" w:rsidR="00BF741A" w:rsidRDefault="00BF741A" w:rsidP="00D2221C">
      <w:pPr>
        <w:pStyle w:val="SAtext"/>
        <w:numPr>
          <w:ilvl w:val="1"/>
          <w:numId w:val="5"/>
        </w:numPr>
        <w:tabs>
          <w:tab w:val="left" w:pos="900"/>
        </w:tabs>
        <w:ind w:left="900" w:hanging="540"/>
      </w:pPr>
      <w:r>
        <w:t xml:space="preserve">The offer and sale of the Notes </w:t>
      </w:r>
      <w:r w:rsidR="007355C9">
        <w:t xml:space="preserve">and the Guarantee </w:t>
      </w:r>
      <w:r>
        <w:t xml:space="preserve">in the manner contemplated hereby do not require registration of the Notes </w:t>
      </w:r>
      <w:r w:rsidR="007355C9">
        <w:t xml:space="preserve">or the Guarantee </w:t>
      </w:r>
      <w:r>
        <w:t>under the Securities Act,</w:t>
      </w:r>
      <w:r w:rsidR="00E423D3">
        <w:t xml:space="preserve"> pursuant to the exemption from registration contained in Section 3(a)(3) thereof,</w:t>
      </w:r>
      <w:r>
        <w:t xml:space="preserve"> and no indenture in respect of the Notes </w:t>
      </w:r>
      <w:r w:rsidR="007355C9">
        <w:t xml:space="preserve">or the Guarantee </w:t>
      </w:r>
      <w:r>
        <w:t>is required to be qualified under the Trust Indenture Act of 1939, as amended</w:t>
      </w:r>
      <w:r w:rsidR="00E423D3">
        <w:t xml:space="preserve"> and the Notes will be rated as “prime quality” commercial paper by at least one nationally recognized statistical rating organization</w:t>
      </w:r>
      <w:r>
        <w:t xml:space="preserve">. </w:t>
      </w:r>
    </w:p>
    <w:p w14:paraId="49611F09" w14:textId="5B8787C5" w:rsidR="00BF741A" w:rsidRDefault="00BF741A" w:rsidP="00D2221C">
      <w:pPr>
        <w:pStyle w:val="SAtext"/>
        <w:numPr>
          <w:ilvl w:val="1"/>
          <w:numId w:val="5"/>
        </w:numPr>
        <w:tabs>
          <w:tab w:val="left" w:pos="900"/>
        </w:tabs>
        <w:ind w:left="900" w:hanging="540"/>
      </w:pPr>
      <w:r>
        <w:t xml:space="preserve">The Notes </w:t>
      </w:r>
      <w:r w:rsidR="007355C9">
        <w:t xml:space="preserve">and the Guarantee </w:t>
      </w:r>
      <w:r>
        <w:t>will rank at least pari passu with all other unsecured and unsubordinated indebtedness of the Issuer</w:t>
      </w:r>
      <w:r w:rsidR="007355C9">
        <w:t xml:space="preserve"> and the Guarantor, respectively</w:t>
      </w:r>
      <w:r>
        <w:t>.</w:t>
      </w:r>
    </w:p>
    <w:p w14:paraId="2DF08B64" w14:textId="260114DF" w:rsidR="00BF741A" w:rsidRDefault="00BF741A" w:rsidP="00D2221C">
      <w:pPr>
        <w:pStyle w:val="SAtext"/>
        <w:numPr>
          <w:ilvl w:val="1"/>
          <w:numId w:val="5"/>
        </w:numPr>
        <w:tabs>
          <w:tab w:val="left" w:pos="900"/>
        </w:tabs>
        <w:ind w:left="900" w:hanging="540"/>
      </w:pPr>
      <w:r>
        <w:t xml:space="preserve">No consent or action of, or filing or registration with, any governmental or public regulatory body or authority, including the SEC, is required to authorize, or is otherwise required in connection with the execution, delivery or performance of, this Agreement, the </w:t>
      </w:r>
      <w:r>
        <w:lastRenderedPageBreak/>
        <w:t>Notes</w:t>
      </w:r>
      <w:r w:rsidR="007355C9">
        <w:t>, the Guarantee</w:t>
      </w:r>
      <w:r>
        <w:t xml:space="preserve"> or the Issuing and Paying Agency Agreement, except as may be required by the securities or Blue Sky laws of the various states in connection with the offer and sale of the Notes.</w:t>
      </w:r>
    </w:p>
    <w:p w14:paraId="00203D1F" w14:textId="6C57D63A" w:rsidR="00BF741A" w:rsidRDefault="00BF741A" w:rsidP="00D2221C">
      <w:pPr>
        <w:pStyle w:val="SAtext"/>
        <w:numPr>
          <w:ilvl w:val="1"/>
          <w:numId w:val="5"/>
        </w:numPr>
        <w:tabs>
          <w:tab w:val="left" w:pos="900"/>
        </w:tabs>
        <w:ind w:left="900" w:hanging="540"/>
      </w:pPr>
      <w:r>
        <w:t>Neither the execution and delivery of this Agreement</w:t>
      </w:r>
      <w:r w:rsidR="007355C9">
        <w:t>, the Guarantee</w:t>
      </w:r>
      <w:r>
        <w:t xml:space="preserve"> and the Issuing and Paying Agency Agreement, nor the issuance of the Notes in accordance with the Issuing and Paying Agency Agreement, nor the fulfillment of or compliance with the terms and provisions hereof or thereof by the Issuer</w:t>
      </w:r>
      <w:r w:rsidR="007355C9">
        <w:t xml:space="preserve"> or the Guarantor</w:t>
      </w:r>
      <w:r>
        <w:t>, will (i) result in the creation or imposition of any mortgage, lien, charge or encumbrance of any nature whatsoever upon any of the properties or assets of the Issuer</w:t>
      </w:r>
      <w:r w:rsidR="007355C9">
        <w:t xml:space="preserve"> or the Guarantor</w:t>
      </w:r>
      <w:r>
        <w:t xml:space="preserve">, or (ii) violate or result in a breach or a default under any of the terms of </w:t>
      </w:r>
      <w:r w:rsidR="002A39DF">
        <w:t xml:space="preserve">(a) </w:t>
      </w:r>
      <w:r>
        <w:t>the charter documents or by-laws</w:t>
      </w:r>
      <w:r w:rsidR="007355C9">
        <w:t xml:space="preserve"> of the Issuer or the Guarantor</w:t>
      </w:r>
      <w:r>
        <w:t xml:space="preserve">, </w:t>
      </w:r>
      <w:r w:rsidR="002A39DF">
        <w:t xml:space="preserve">(b) </w:t>
      </w:r>
      <w:r>
        <w:t xml:space="preserve">any contract or instrument to which the Issuer </w:t>
      </w:r>
      <w:r w:rsidR="007355C9">
        <w:t xml:space="preserve">or the Guarantor </w:t>
      </w:r>
      <w:r>
        <w:t xml:space="preserve">is a party or by which it or its property is bound, or </w:t>
      </w:r>
      <w:r w:rsidR="002A39DF">
        <w:t xml:space="preserve">(c) </w:t>
      </w:r>
      <w:r>
        <w:t xml:space="preserve">any law or regulation, or any order, writ, injunction or decree of any court or government instrumentality, to which the Issuer </w:t>
      </w:r>
      <w:r w:rsidR="007355C9">
        <w:t xml:space="preserve">or the Guarantor </w:t>
      </w:r>
      <w:r>
        <w:t xml:space="preserve">is subject or by which it or its property is bound, which </w:t>
      </w:r>
      <w:r w:rsidR="00A77B78">
        <w:t xml:space="preserve">violation, </w:t>
      </w:r>
      <w:r>
        <w:t xml:space="preserve">breach or default </w:t>
      </w:r>
      <w:r w:rsidR="00A77B78">
        <w:t>with respect to clauses (b) or (c) would</w:t>
      </w:r>
      <w:r w:rsidR="00623C83">
        <w:t>, individually or in the aggregate,</w:t>
      </w:r>
      <w:r w:rsidR="00A77B78">
        <w:t xml:space="preserve"> reasonably be expected to </w:t>
      </w:r>
      <w:r>
        <w:t xml:space="preserve">have a material adverse effect on the condition (financial or otherwise), operations or business prospects of the Issuer </w:t>
      </w:r>
      <w:r w:rsidR="007355C9">
        <w:t xml:space="preserve">or the Guarantor </w:t>
      </w:r>
      <w:r>
        <w:t xml:space="preserve">or the ability of the Issuer </w:t>
      </w:r>
      <w:r w:rsidR="007355C9">
        <w:t xml:space="preserve">or the Guarantor </w:t>
      </w:r>
      <w:r>
        <w:t>to perform its obligations under this Agreement, the Notes</w:t>
      </w:r>
      <w:r w:rsidR="007355C9">
        <w:t>, the Guarantee</w:t>
      </w:r>
      <w:r>
        <w:t xml:space="preserve"> or the Issuing and Paying Agency Agreement.</w:t>
      </w:r>
    </w:p>
    <w:p w14:paraId="6FD56DCE" w14:textId="6517E1C9" w:rsidR="00BF741A" w:rsidRDefault="00BF741A" w:rsidP="00D2221C">
      <w:pPr>
        <w:pStyle w:val="SAtext"/>
        <w:numPr>
          <w:ilvl w:val="1"/>
          <w:numId w:val="5"/>
        </w:numPr>
        <w:tabs>
          <w:tab w:val="left" w:pos="900"/>
        </w:tabs>
        <w:ind w:left="900" w:hanging="540"/>
      </w:pPr>
      <w:r>
        <w:t>There is no litigation or governmental proceeding pending, or to the knowledge of the Issuer</w:t>
      </w:r>
      <w:r w:rsidR="007355C9">
        <w:t xml:space="preserve"> or the Guarantor</w:t>
      </w:r>
      <w:r>
        <w:t xml:space="preserve"> threatened, against or affecting the Issuer </w:t>
      </w:r>
      <w:r w:rsidR="008460BD">
        <w:t xml:space="preserve">or the Guarantor </w:t>
      </w:r>
      <w:r>
        <w:t xml:space="preserve">or any of its subsidiaries which might result in a material adverse change in the condition (financial or otherwise), operations or business prospects of the Issuer </w:t>
      </w:r>
      <w:r w:rsidR="008460BD">
        <w:t xml:space="preserve">or the Guarantor </w:t>
      </w:r>
      <w:r>
        <w:t xml:space="preserve">or the ability of the Issuer </w:t>
      </w:r>
      <w:r w:rsidR="008460BD">
        <w:t xml:space="preserve">or the Guarantor </w:t>
      </w:r>
      <w:r>
        <w:t>to perform its obligations under this Agreement, the Notes</w:t>
      </w:r>
      <w:r w:rsidR="008460BD">
        <w:t>, the Guarantee</w:t>
      </w:r>
      <w:r>
        <w:t xml:space="preserve"> or the Issuing and Paying Agency Agreement.</w:t>
      </w:r>
    </w:p>
    <w:p w14:paraId="69E263BB" w14:textId="3C8195A1" w:rsidR="00BF741A" w:rsidRDefault="008460BD" w:rsidP="00D2221C">
      <w:pPr>
        <w:pStyle w:val="SAtext"/>
        <w:numPr>
          <w:ilvl w:val="1"/>
          <w:numId w:val="5"/>
        </w:numPr>
        <w:tabs>
          <w:tab w:val="left" w:pos="900"/>
        </w:tabs>
        <w:ind w:left="900" w:hanging="540"/>
      </w:pPr>
      <w:r>
        <w:t>Neither t</w:t>
      </w:r>
      <w:r w:rsidR="00BF741A">
        <w:t xml:space="preserve">he Issuer </w:t>
      </w:r>
      <w:r>
        <w:t xml:space="preserve">nor the Guarantor </w:t>
      </w:r>
      <w:r w:rsidR="00BF741A">
        <w:t xml:space="preserve">is an “investment company” within the meaning of the Investment Company Act of 1940, as amended. </w:t>
      </w:r>
    </w:p>
    <w:p w14:paraId="2D18FABD" w14:textId="43FFEA4A" w:rsidR="00BF741A" w:rsidRDefault="00BF741A" w:rsidP="00D2221C">
      <w:pPr>
        <w:pStyle w:val="SAtext"/>
        <w:numPr>
          <w:ilvl w:val="1"/>
          <w:numId w:val="5"/>
        </w:numPr>
        <w:tabs>
          <w:tab w:val="left" w:pos="900"/>
        </w:tabs>
        <w:ind w:left="900" w:hanging="540"/>
      </w:pPr>
      <w:r>
        <w:t xml:space="preserve">Neither the </w:t>
      </w:r>
      <w:r w:rsidR="00DF6715">
        <w:t>Offering Materials</w:t>
      </w:r>
      <w:r>
        <w:t xml:space="preserve"> nor the Company Information contains any untrue statement of a material fact or omits to state a material fact required to be stated therein or necessary to make the statements therein, in light of the circumstances under which they were made, not misleading.</w:t>
      </w:r>
    </w:p>
    <w:p w14:paraId="3257FD87" w14:textId="1317227B" w:rsidR="00BF741A" w:rsidRDefault="00BF741A" w:rsidP="00BA1872">
      <w:pPr>
        <w:pStyle w:val="SAtext"/>
        <w:numPr>
          <w:ilvl w:val="1"/>
          <w:numId w:val="5"/>
        </w:numPr>
        <w:tabs>
          <w:tab w:val="left" w:pos="900"/>
        </w:tabs>
        <w:ind w:left="900" w:hanging="540"/>
      </w:pPr>
      <w:r>
        <w:t>Neither the Issuer nor any of its subsidiaries nor any director</w:t>
      </w:r>
      <w:r w:rsidR="00C11237">
        <w:t>,</w:t>
      </w:r>
      <w:r>
        <w:t xml:space="preserve"> officer, agent, employee, representative or affiliate or other person associated with or acting on behalf of the Issuer or any of its subsidiaries or affiliates (i) has used any funds for any unlawful contribution, gift, entertainment or other unlawful expense relating to political activity; (ii) has made any direct or indirect unlawful contribution or payment to any official of, or candidate for, or any employee of, any federal, state or foreign office; (iii) has made any bribe, unlawful rebate, payoff, influence payment, kickback or other unlawful payment; or (iv) is aware of or has taken any action, directly or indirectly, that could result in a violation by such persons of the OECD Convention on Combating Bribery of Foreign Public Officials in International Business Transactions</w:t>
      </w:r>
      <w:r w:rsidR="00830979">
        <w:t xml:space="preserve"> (the “OECD Convention”)</w:t>
      </w:r>
      <w:r>
        <w:t>, the Foreign Corrupt Practices Act of 1977, as amended, and the rules and regulations thereunder (collectively, the “FCPA”) or the U.K. Bribery Act 2010 (the “Bribery Act”) or similar law</w:t>
      </w:r>
      <w:r w:rsidR="00D91B82">
        <w:t>, rule</w:t>
      </w:r>
      <w:r>
        <w:t xml:space="preserve"> or regulation of any other relevant jurisdiction; and neither the Issuer nor any of its subsidiaries nor any director</w:t>
      </w:r>
      <w:r w:rsidR="00C11237">
        <w:t>,</w:t>
      </w:r>
      <w:r>
        <w:t xml:space="preserve"> officer</w:t>
      </w:r>
      <w:r w:rsidR="00C11237">
        <w:t>,</w:t>
      </w:r>
      <w:r>
        <w:t xml:space="preserve"> agent, employee, representative or affiliate or other person associated with or acting on behalf of the Issuer or any of its subsidiaries or affiliates is aware of or has taken any action, directly or indirectly, that could result in a sanction for violation by such persons of the OECD Convention on Combating Bribery of Foreign Public Officials in International Business Transactions, the FCPA or the Bribery </w:t>
      </w:r>
      <w:r>
        <w:lastRenderedPageBreak/>
        <w:t>Act or similar law</w:t>
      </w:r>
      <w:r w:rsidR="00D91B82">
        <w:t>, rule</w:t>
      </w:r>
      <w:r>
        <w:t xml:space="preserve"> or regulation of any other relevant jurisdiction; and the Issuer</w:t>
      </w:r>
      <w:r w:rsidR="00830979">
        <w:t xml:space="preserve"> and</w:t>
      </w:r>
      <w:r>
        <w:t xml:space="preserve"> its subsidiaries and affiliates have each conducted their businesses in compliance with the FCPA,</w:t>
      </w:r>
      <w:r w:rsidR="00830979">
        <w:t xml:space="preserve"> the OECD Convention,</w:t>
      </w:r>
      <w:r>
        <w:t xml:space="preserve"> the Bribery Act and any applicable similar law</w:t>
      </w:r>
      <w:r w:rsidR="00D91B82">
        <w:t>, rule</w:t>
      </w:r>
      <w:r>
        <w:t xml:space="preserve"> or regulation and have instituted and maintain policies and procedures designed to ensure, and which are expected to continue to ensure, continued compliance therewith</w:t>
      </w:r>
      <w:r w:rsidR="00D91B82">
        <w:t xml:space="preserve"> by the Issuer, its subsidiaries and their respective directors, officers, agents, employees, representatives or affiliates or other person associated with or acting on behalf of the Issuer or any of its subsidiaries or affiliates</w:t>
      </w:r>
      <w:r>
        <w:t>.</w:t>
      </w:r>
    </w:p>
    <w:p w14:paraId="74A5E7DA" w14:textId="6E47A715" w:rsidR="00BF741A" w:rsidRDefault="00BF741A" w:rsidP="00BA1872">
      <w:pPr>
        <w:pStyle w:val="SAtext"/>
        <w:numPr>
          <w:ilvl w:val="1"/>
          <w:numId w:val="5"/>
        </w:numPr>
        <w:tabs>
          <w:tab w:val="left" w:pos="900"/>
        </w:tabs>
        <w:ind w:left="900" w:hanging="540"/>
      </w:pPr>
      <w:r>
        <w:t>The operations of the Issuer and its subsidiaries are and have been conducted at all times in compliance with applicable financial recordkeeping and reporting requirements, including, without limitation, those of the</w:t>
      </w:r>
      <w:r w:rsidR="00057A77" w:rsidRPr="00057A77">
        <w:t xml:space="preserve"> Currency and Foreign Transactions Reporting Act of 1970</w:t>
      </w:r>
      <w:r>
        <w:t xml:space="preserve">, as amended </w:t>
      </w:r>
      <w:r w:rsidR="00057A77">
        <w:t xml:space="preserve">(including </w:t>
      </w:r>
      <w:r>
        <w:t>by Title III of the Uniting and Strengthening America by Providing Appropriate Tools Required to Intercept and Obstruct Terrorism Act of 2001</w:t>
      </w:r>
      <w:r w:rsidR="00057A77">
        <w:t>)</w:t>
      </w:r>
      <w:r>
        <w:t xml:space="preserve">, and the applicable money laundering </w:t>
      </w:r>
      <w:r w:rsidR="00830979">
        <w:t>laws</w:t>
      </w:r>
      <w:r>
        <w:t xml:space="preserve"> of jurisdictions where the Issuer and its subsidiaries conduct business, and the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Issuer or any of its subsidiaries with respect to the Money Laundering Laws is pending or, to the best knowledge of the Issuer, threatened.</w:t>
      </w:r>
    </w:p>
    <w:p w14:paraId="1BBC7ECC" w14:textId="52562358" w:rsidR="00BF741A" w:rsidRDefault="00BF741A" w:rsidP="00BA1872">
      <w:pPr>
        <w:pStyle w:val="SAtext"/>
        <w:numPr>
          <w:ilvl w:val="1"/>
          <w:numId w:val="5"/>
        </w:numPr>
        <w:tabs>
          <w:tab w:val="left" w:pos="900"/>
        </w:tabs>
        <w:ind w:left="900" w:hanging="540"/>
      </w:pPr>
      <w:r>
        <w:t>Neither the Issuer nor any of its subsidiaries nor</w:t>
      </w:r>
      <w:r w:rsidRPr="003F4A5C">
        <w:t xml:space="preserve"> </w:t>
      </w:r>
      <w:r>
        <w:t>any director</w:t>
      </w:r>
      <w:r w:rsidR="00C11237">
        <w:t>,</w:t>
      </w:r>
      <w:r>
        <w:t xml:space="preserve"> officer, agent, employee, representative or affiliate of the Issuer or any of its subsidiaries (i) is currently the subject</w:t>
      </w:r>
      <w:r w:rsidR="00830979">
        <w:t xml:space="preserve"> or target</w:t>
      </w:r>
      <w:r>
        <w:t xml:space="preserve"> of any sanctions administered or imposed by the United States (including any administered or enforced by the Office of Foreign Assets Control of the U.S. Treasury Department, the U.S. Department of State, or the Bureau of Industry and Security of the U.S. Department of Commerce), the United Nations Security Council, the European Union, or the United Kingdom (including sanctions administered or enforced by H</w:t>
      </w:r>
      <w:r w:rsidR="001D564C">
        <w:t>is</w:t>
      </w:r>
      <w:r>
        <w:t xml:space="preserve"> Majesty’s Treasury) or other relevant sanctions authority (collectively, “Sanctions” and such persons, “Sanctioned Persons”) or (ii) will, directly or indirectly, use the proceeds of the Notes, or lend, contribute or otherwise make available such proceeds to any subsidiary, joint venture partner or other person (x) to fund or facilitate any activities or business </w:t>
      </w:r>
      <w:r w:rsidR="003B77DC">
        <w:t xml:space="preserve">(1) </w:t>
      </w:r>
      <w:r>
        <w:t>of or with</w:t>
      </w:r>
      <w:r w:rsidR="003B77DC">
        <w:t xml:space="preserve"> </w:t>
      </w:r>
      <w:r>
        <w:t>any person</w:t>
      </w:r>
      <w:r w:rsidR="00D84940">
        <w:t xml:space="preserve"> that</w:t>
      </w:r>
      <w:r w:rsidR="003B77DC" w:rsidRPr="003B77DC">
        <w:t xml:space="preserve">, at the time of such funding or facilitation, is the subject or target of </w:t>
      </w:r>
      <w:r w:rsidR="003B77DC" w:rsidRPr="009754D6">
        <w:t xml:space="preserve">Sanctions, </w:t>
      </w:r>
      <w:r w:rsidRPr="009754D6">
        <w:t xml:space="preserve">or </w:t>
      </w:r>
      <w:r w:rsidR="003B77DC" w:rsidRPr="009754D6">
        <w:t xml:space="preserve">(2) </w:t>
      </w:r>
      <w:r w:rsidRPr="009754D6">
        <w:t>in any</w:t>
      </w:r>
      <w:r>
        <w:t xml:space="preserve"> country or territory</w:t>
      </w:r>
      <w:r w:rsidR="00974EDC">
        <w:t xml:space="preserve"> </w:t>
      </w:r>
      <w:r w:rsidR="00974EDC" w:rsidRPr="00974EDC">
        <w:t xml:space="preserve"> </w:t>
      </w:r>
      <w:r>
        <w:t>that, at the time of such funding or facilitation, is</w:t>
      </w:r>
      <w:r w:rsidR="00E35CAE">
        <w:t>, or</w:t>
      </w:r>
      <w:r w:rsidR="00E35CAE" w:rsidRPr="00E35CAE">
        <w:t xml:space="preserve"> whose government is, </w:t>
      </w:r>
      <w:r>
        <w:t xml:space="preserve">the subject </w:t>
      </w:r>
      <w:r w:rsidR="00830979">
        <w:t xml:space="preserve">or target </w:t>
      </w:r>
      <w:r>
        <w:t>of Sanctions</w:t>
      </w:r>
      <w:r w:rsidR="003B77DC">
        <w:t xml:space="preserve"> </w:t>
      </w:r>
      <w:r w:rsidR="003B77DC" w:rsidRPr="003B77DC">
        <w:t>(collectively, “Sanctioned Countries” and each, a “Sanctioned Country”)</w:t>
      </w:r>
      <w:r w:rsidR="003B77DC">
        <w:t xml:space="preserve"> </w:t>
      </w:r>
      <w:r>
        <w:t>, or (y) in any manner that will result in a violation of any Sanctions by, or could result in the imposition of Sanctions against, any person (including any person participating in the offering of Notes, whether as dealer, advisor, investor or otherwise).</w:t>
      </w:r>
    </w:p>
    <w:p w14:paraId="29592177" w14:textId="356DBD72" w:rsidR="00BF741A" w:rsidRDefault="00BF741A" w:rsidP="00BA1872">
      <w:pPr>
        <w:pStyle w:val="SAtext"/>
        <w:numPr>
          <w:ilvl w:val="1"/>
          <w:numId w:val="5"/>
        </w:numPr>
        <w:tabs>
          <w:tab w:val="left" w:pos="900"/>
        </w:tabs>
        <w:ind w:left="900" w:hanging="540"/>
      </w:pPr>
      <w:r>
        <w:t>Neither the Issuer nor any of its subsidiaries nor</w:t>
      </w:r>
      <w:r w:rsidRPr="009A2032">
        <w:t xml:space="preserve"> </w:t>
      </w:r>
      <w:r>
        <w:t>any director</w:t>
      </w:r>
      <w:r w:rsidR="00C11237">
        <w:t>,</w:t>
      </w:r>
      <w:r>
        <w:t xml:space="preserve"> officer, agent, employee, representative or affiliate of the Issuer or any of its subsidiaries, is a person that is, or is 50% or more owned or otherwise controlled by </w:t>
      </w:r>
      <w:r w:rsidR="00A76364">
        <w:t xml:space="preserve">one or more </w:t>
      </w:r>
      <w:r>
        <w:t>person</w:t>
      </w:r>
      <w:r w:rsidR="00A76364">
        <w:t>s</w:t>
      </w:r>
      <w:r>
        <w:t xml:space="preserve"> that </w:t>
      </w:r>
      <w:r w:rsidR="00A76364">
        <w:t>are</w:t>
      </w:r>
      <w:r>
        <w:t xml:space="preserve">: (i) the subject of any Sanctions; or (ii) located, organized or resident in a </w:t>
      </w:r>
      <w:r w:rsidR="007B327F">
        <w:t>Sanctioned C</w:t>
      </w:r>
      <w:r>
        <w:t>ountry</w:t>
      </w:r>
      <w:bookmarkStart w:id="3" w:name="_Hlk80540226"/>
      <w:r>
        <w:t>.</w:t>
      </w:r>
      <w:bookmarkEnd w:id="3"/>
    </w:p>
    <w:p w14:paraId="5B65A566" w14:textId="3864190B" w:rsidR="00720850" w:rsidRDefault="00BF741A" w:rsidP="005B2207">
      <w:pPr>
        <w:pStyle w:val="SAtext"/>
        <w:numPr>
          <w:ilvl w:val="1"/>
          <w:numId w:val="5"/>
        </w:numPr>
        <w:tabs>
          <w:tab w:val="left" w:pos="900"/>
        </w:tabs>
        <w:ind w:left="900" w:hanging="540"/>
      </w:pPr>
      <w:r>
        <w:t xml:space="preserve">Except as has been disclosed to the Dealer </w:t>
      </w:r>
      <w:r w:rsidR="00EC5AEA">
        <w:t>in writing</w:t>
      </w:r>
      <w:r>
        <w:t>, neither the Issuer nor any of its subsidiaries or affiliates has engaged in any dealings or transactions with or for the benefit of a Sanctioned Person, or with or in a Sanctioned Country, in the preceding 3 years, nor does the Issuer or any of its subsidiaries or affiliates have any plans to increase its dealings or transactions, or commence dealings or transaction</w:t>
      </w:r>
      <w:r w:rsidR="00830979">
        <w:t>s</w:t>
      </w:r>
      <w:r>
        <w:t>, with or for the benefit of Sanctioned Persons, or with or in Sanctioned Countries</w:t>
      </w:r>
      <w:r w:rsidR="00F8447C">
        <w:t xml:space="preserve">, or with or in the Russian </w:t>
      </w:r>
      <w:r w:rsidR="00F8447C">
        <w:lastRenderedPageBreak/>
        <w:t>Federation as long as new investments in the Russian Federation remain prohibited or restricted under Sanctions</w:t>
      </w:r>
      <w:r>
        <w:t>.</w:t>
      </w:r>
    </w:p>
    <w:p w14:paraId="25704D0C" w14:textId="12814E11" w:rsidR="006F2E95" w:rsidRDefault="006F2E95" w:rsidP="006F2E95">
      <w:pPr>
        <w:pStyle w:val="SAtext"/>
        <w:numPr>
          <w:ilvl w:val="1"/>
          <w:numId w:val="5"/>
        </w:numPr>
        <w:tabs>
          <w:tab w:val="left" w:pos="900"/>
        </w:tabs>
        <w:ind w:left="900" w:hanging="540"/>
      </w:pPr>
      <w:r>
        <w:t>Neither the Guarantor nor any of its subsidiaries nor any director, officer, agent, employee, representative or affiliate or other person associated with or acting on behalf of the Guarantor or any of its subsidiaries or affiliates (i) has used any funds for any unlawful contribution, gift, entertainment or other unlawful expense relating to political activity; (ii) has made any direct or indirect unlawful contribution or payment to any official of, or candidate for, or any employee of, any federal, state or foreign office; (iii) has made any bribe, unlawful rebate, payoff, influence payment, kickback or other unlawful payment; or (iv) is aware of or has taken any action, directly or indirectly, that could result in a violation by such persons of the OECD Convention, the FCPA or the Bribery Act or similar law, rule or regulation of any other relevant jurisdiction; and neither the Guarantor nor any of its subsidiaries nor any director, officer, agent, employee, representative or affiliate or other person associated with or acting on behalf of the Guarantor or any of its subsidiaries or affiliates is aware of or has taken any action, directly or indirectly, that could result in a sanction for violation by such persons of the OECD Convention on Combating Bribery of Foreign Public Officials in International Business Transactions, the FCPA or the Bribery Act or similar law, rule or regulation of any other relevant jurisdiction; and the Guarantor and its subsidiaries and affiliates have each conducted their businesses in compliance with the FCPA, the OECD Convention, the Bribery Act and any applicable similar law, rule or regulation and have instituted and maintain policies and procedures designed to ensure, and which are expected to continue to ensure, continued compliance therewith by the Guarantor, its subsidiaries and their respective directors, officers, agents, employees, representatives or affiliates or other person associated with or acting on behalf of the Guarantor or any of its subsidiaries or affiliates.</w:t>
      </w:r>
    </w:p>
    <w:p w14:paraId="60489262" w14:textId="09219770" w:rsidR="006F2E95" w:rsidRDefault="006F2E95" w:rsidP="006F2E95">
      <w:pPr>
        <w:pStyle w:val="SAtext"/>
        <w:numPr>
          <w:ilvl w:val="1"/>
          <w:numId w:val="5"/>
        </w:numPr>
        <w:tabs>
          <w:tab w:val="left" w:pos="900"/>
        </w:tabs>
        <w:ind w:left="900" w:hanging="540"/>
      </w:pPr>
      <w:r>
        <w:t>The operations of the Guarantor and its subsidiaries are and have been conducted at all times in compliance with applicable financial recordkeeping and reporting requirements, including, without limitation, those of the</w:t>
      </w:r>
      <w:r w:rsidRPr="00057A77">
        <w:t xml:space="preserve"> Currency and Foreign Transactions Reporting Act of 1970</w:t>
      </w:r>
      <w:r>
        <w:t xml:space="preserve">, as amended (including by Title III of the Uniting and Strengthening America by Providing Appropriate Tools Required to Intercept and Obstruct Terrorism Act of 2001), and the applicable </w:t>
      </w:r>
      <w:r w:rsidR="001D564C">
        <w:t>M</w:t>
      </w:r>
      <w:r>
        <w:t xml:space="preserve">oney </w:t>
      </w:r>
      <w:r w:rsidR="001D564C">
        <w:t>L</w:t>
      </w:r>
      <w:r>
        <w:t xml:space="preserve">aundering </w:t>
      </w:r>
      <w:r w:rsidR="001D564C">
        <w:t>L</w:t>
      </w:r>
      <w:r>
        <w:t>aws of jurisdictions where the Guarantor and its subsidiaries conduct business and no action, suit or proceeding by or before any court or governmental agency, authority or body or any arbitrator involving the Guarantor or any of its subsidiaries with respect to the Money Laundering Laws is pending or, to the best knowledge of the Guarantor, threatened.</w:t>
      </w:r>
    </w:p>
    <w:p w14:paraId="5B24AF50" w14:textId="7AA96B72" w:rsidR="006F2E95" w:rsidRDefault="006F2E95" w:rsidP="006F2E95">
      <w:pPr>
        <w:pStyle w:val="SAtext"/>
        <w:numPr>
          <w:ilvl w:val="1"/>
          <w:numId w:val="5"/>
        </w:numPr>
        <w:tabs>
          <w:tab w:val="left" w:pos="900"/>
        </w:tabs>
        <w:ind w:left="900" w:hanging="540"/>
      </w:pPr>
      <w:r>
        <w:t>Neither the Guarantor nor any of its subsidiaries nor</w:t>
      </w:r>
      <w:r w:rsidRPr="003F4A5C">
        <w:t xml:space="preserve"> </w:t>
      </w:r>
      <w:r>
        <w:t xml:space="preserve">any director, officer, agent, employee, representative or affiliate of the Guarantor or any of its subsidiaries (i) is currently the subject or target of any </w:t>
      </w:r>
      <w:r w:rsidR="001D564C">
        <w:t>S</w:t>
      </w:r>
      <w:r>
        <w:t>anctions or (ii) will, directly or indirectly, use the proceeds of the Notes, or lend, contribute or otherwise make available such proceeds to any subsidiary, joint venture partner or other person (x) to fund or facilitate any activities or business (1) of or with any person that</w:t>
      </w:r>
      <w:r w:rsidRPr="003B77DC">
        <w:t xml:space="preserve">, at the time of such funding or facilitation, is the subject or target of </w:t>
      </w:r>
      <w:r w:rsidRPr="009754D6">
        <w:t>Sanctions, or (2) in any</w:t>
      </w:r>
      <w:r>
        <w:t xml:space="preserve"> </w:t>
      </w:r>
      <w:r w:rsidR="001D564C">
        <w:t>Sanctioned C</w:t>
      </w:r>
      <w:r>
        <w:t>ountry</w:t>
      </w:r>
      <w:r w:rsidR="001D564C">
        <w:t>,</w:t>
      </w:r>
      <w:r>
        <w:t xml:space="preserve"> or (y) in any manner that will result in a violation of any Sanctions by, or could result in the imposition of Sanctions against, any person (including any person participating in the offering of Notes, whether as dealer, advisor, investor or otherwise).</w:t>
      </w:r>
    </w:p>
    <w:p w14:paraId="2966779D" w14:textId="14A87D70" w:rsidR="006F2E95" w:rsidRDefault="006F2E95" w:rsidP="006F2E95">
      <w:pPr>
        <w:pStyle w:val="SAtext"/>
        <w:numPr>
          <w:ilvl w:val="1"/>
          <w:numId w:val="5"/>
        </w:numPr>
        <w:tabs>
          <w:tab w:val="left" w:pos="900"/>
        </w:tabs>
        <w:ind w:left="900" w:hanging="540"/>
      </w:pPr>
      <w:r>
        <w:t>Neither the Guarantor nor any of its subsidiaries nor</w:t>
      </w:r>
      <w:r w:rsidRPr="009A2032">
        <w:t xml:space="preserve"> </w:t>
      </w:r>
      <w:r>
        <w:t>any director, officer, agent, employee, representative or affiliate of the Guarantor or any of its subsidiaries, is a person that is, or is 50% or more owned or otherwise controlled by one or more persons that are: (i) the subject of any Sanctions; or (ii) located, organized or resident in a Sanctioned Country.</w:t>
      </w:r>
    </w:p>
    <w:p w14:paraId="73217FC7" w14:textId="5257852F" w:rsidR="006F2E95" w:rsidRDefault="006F2E95" w:rsidP="006F2E95">
      <w:pPr>
        <w:pStyle w:val="SAtext"/>
        <w:numPr>
          <w:ilvl w:val="1"/>
          <w:numId w:val="5"/>
        </w:numPr>
        <w:tabs>
          <w:tab w:val="left" w:pos="900"/>
        </w:tabs>
        <w:ind w:left="900" w:hanging="540"/>
      </w:pPr>
      <w:r>
        <w:lastRenderedPageBreak/>
        <w:t>Except as has been disclosed to the Dealer in writing, neither the Guarantor nor any of its subsidiaries or affiliates has engaged in any dealings or transactions with or for the benefit of a Sanctioned Person, or with or in a Sanctioned Country, in the preceding 3 years, nor does the Guarantor or any of its subsidiaries or affiliates have any plans to increase its dealings or transactions, or commence dealings or transactions, with or for the benefit of Sanctioned Persons, or with or in Sanctioned Countries, or with or in the Russian Federation as long as new investments in the Russian Federation remain prohibited or restricted under Sanctions.</w:t>
      </w:r>
    </w:p>
    <w:p w14:paraId="1028919F" w14:textId="439787FF" w:rsidR="008B07D4" w:rsidRPr="00426311" w:rsidRDefault="001A26AB" w:rsidP="00D2221C">
      <w:pPr>
        <w:pStyle w:val="SAtext"/>
        <w:numPr>
          <w:ilvl w:val="1"/>
          <w:numId w:val="5"/>
        </w:numPr>
        <w:tabs>
          <w:tab w:val="left" w:pos="900"/>
        </w:tabs>
        <w:ind w:left="900" w:hanging="540"/>
      </w:pPr>
      <w:r>
        <w:rPr>
          <w:lang w:val="en-GB"/>
        </w:rPr>
        <w:t xml:space="preserve">(i) </w:t>
      </w:r>
      <w:r w:rsidR="00D90C79">
        <w:rPr>
          <w:lang w:val="en-GB"/>
        </w:rPr>
        <w:t>There has been no security breach or other compromise of or relating to the Issuer</w:t>
      </w:r>
      <w:r w:rsidR="005E44AD">
        <w:rPr>
          <w:lang w:val="en-GB"/>
        </w:rPr>
        <w:t xml:space="preserve"> or the Guarantor</w:t>
      </w:r>
      <w:r w:rsidR="00D90C79">
        <w:rPr>
          <w:lang w:val="en-GB"/>
        </w:rPr>
        <w:t xml:space="preserve"> or any of </w:t>
      </w:r>
      <w:r w:rsidR="005E44AD">
        <w:rPr>
          <w:lang w:val="en-GB"/>
        </w:rPr>
        <w:t>their respective</w:t>
      </w:r>
      <w:r w:rsidR="00D90C79">
        <w:rPr>
          <w:lang w:val="en-GB"/>
        </w:rPr>
        <w:t xml:space="preserve"> subsidiaries’ information technology and computer systems, networks, hardware, software, data (including the data of its customers, employees, suppliers, vendors and any third-party data maintained by or on behalf of them), equipment or technology (collectively, “IT Systems and Data”) and </w:t>
      </w:r>
      <w:r w:rsidR="005E44AD">
        <w:rPr>
          <w:lang w:val="en-GB"/>
        </w:rPr>
        <w:t xml:space="preserve">none of </w:t>
      </w:r>
      <w:r w:rsidR="00D90C79">
        <w:rPr>
          <w:lang w:val="en-GB"/>
        </w:rPr>
        <w:t>the Issuer</w:t>
      </w:r>
      <w:r w:rsidR="005E44AD">
        <w:rPr>
          <w:lang w:val="en-GB"/>
        </w:rPr>
        <w:t xml:space="preserve">, the Guarantor or their respective </w:t>
      </w:r>
      <w:r w:rsidR="00D90C79">
        <w:rPr>
          <w:lang w:val="en-GB"/>
        </w:rPr>
        <w:t>subsidiaries have been notified of, and have no knowledge of any event or condition that would reasonably be expected to result in, any security breach or other compromise to their IT Systems and Data, (ii) the Issuer</w:t>
      </w:r>
      <w:r w:rsidR="005E44AD">
        <w:rPr>
          <w:lang w:val="en-GB"/>
        </w:rPr>
        <w:t>, the Guarantor</w:t>
      </w:r>
      <w:r w:rsidR="00D90C79">
        <w:rPr>
          <w:lang w:val="en-GB"/>
        </w:rPr>
        <w:t xml:space="preserve"> and </w:t>
      </w:r>
      <w:r w:rsidR="005E44AD">
        <w:rPr>
          <w:lang w:val="en-GB"/>
        </w:rPr>
        <w:t>their respective</w:t>
      </w:r>
      <w:r w:rsidR="00D90C79">
        <w:rPr>
          <w:lang w:val="en-GB"/>
        </w:rPr>
        <w:t xml:space="preserve"> subsidiaries are in compliance with all applicable laws or statutes and all judgments, orders, rules and regulations of any court or arbitrator or governmental or regulatory authority, internal policies and contractual obligations relating to the privacy and security of IT Systems and Data and to the protection of such IT Systems and Data from unauthorized use, access, misappropriation or modification, except as would not, in the case of this clause (ii), individually or in the aggregate, have a material adverse effect</w:t>
      </w:r>
      <w:r w:rsidR="007629B7">
        <w:rPr>
          <w:lang w:val="en-GB"/>
        </w:rPr>
        <w:t xml:space="preserve"> on the condition (financial or otherwise), operations or business prospects of the </w:t>
      </w:r>
      <w:r w:rsidR="007629B7" w:rsidRPr="00D445D1">
        <w:rPr>
          <w:lang w:val="en-GB"/>
        </w:rPr>
        <w:t xml:space="preserve">Issuer </w:t>
      </w:r>
      <w:r w:rsidR="005E44AD">
        <w:rPr>
          <w:lang w:val="en-GB"/>
        </w:rPr>
        <w:t xml:space="preserve">or the Guarantor </w:t>
      </w:r>
      <w:r w:rsidR="00A13491" w:rsidRPr="00D445D1">
        <w:rPr>
          <w:lang w:val="en-GB"/>
        </w:rPr>
        <w:t>or the ability of the Issuer</w:t>
      </w:r>
      <w:r w:rsidR="00A13491" w:rsidRPr="00644BF9">
        <w:rPr>
          <w:lang w:val="en-GB"/>
        </w:rPr>
        <w:t xml:space="preserve"> </w:t>
      </w:r>
      <w:r w:rsidR="005E44AD">
        <w:rPr>
          <w:lang w:val="en-GB"/>
        </w:rPr>
        <w:t xml:space="preserve">or the Guarantor </w:t>
      </w:r>
      <w:r w:rsidR="007629B7" w:rsidRPr="00644BF9">
        <w:rPr>
          <w:lang w:val="en-GB"/>
        </w:rPr>
        <w:t>to perform its obligations under this Agreement, the Notes</w:t>
      </w:r>
      <w:r w:rsidR="005E44AD">
        <w:rPr>
          <w:lang w:val="en-GB"/>
        </w:rPr>
        <w:t>, the Guarantee</w:t>
      </w:r>
      <w:r w:rsidR="007629B7" w:rsidRPr="00644BF9">
        <w:rPr>
          <w:lang w:val="en-GB"/>
        </w:rPr>
        <w:t xml:space="preserve"> or the Issuing and Paying Agency Agreement</w:t>
      </w:r>
      <w:r w:rsidR="00D90C79">
        <w:rPr>
          <w:lang w:val="en-GB"/>
        </w:rPr>
        <w:t>, and (iii) the Issuer</w:t>
      </w:r>
      <w:r w:rsidR="005E44AD">
        <w:rPr>
          <w:lang w:val="en-GB"/>
        </w:rPr>
        <w:t>, the Guarantor</w:t>
      </w:r>
      <w:r w:rsidR="00D90C79">
        <w:rPr>
          <w:lang w:val="en-GB"/>
        </w:rPr>
        <w:t xml:space="preserve"> and </w:t>
      </w:r>
      <w:r w:rsidR="005E44AD">
        <w:rPr>
          <w:lang w:val="en-GB"/>
        </w:rPr>
        <w:t>their respective</w:t>
      </w:r>
      <w:r w:rsidR="00D90C79">
        <w:rPr>
          <w:lang w:val="en-GB"/>
        </w:rPr>
        <w:t xml:space="preserve"> subsidiaries have implemented security, backup and disaster recovery technology consistent with industry standards and practices.</w:t>
      </w:r>
    </w:p>
    <w:p w14:paraId="2F02A4C1" w14:textId="3848790D" w:rsidR="00DE3305" w:rsidRDefault="00DE3305" w:rsidP="00DE3305">
      <w:pPr>
        <w:pStyle w:val="SAtext"/>
        <w:numPr>
          <w:ilvl w:val="1"/>
          <w:numId w:val="5"/>
        </w:numPr>
        <w:tabs>
          <w:tab w:val="left" w:pos="900"/>
        </w:tabs>
        <w:ind w:left="900" w:hanging="540"/>
      </w:pPr>
      <w:r>
        <w:rPr>
          <w:szCs w:val="22"/>
        </w:rPr>
        <w:t xml:space="preserve">[The Guarantor </w:t>
      </w:r>
      <w:r w:rsidRPr="00DE3305">
        <w:rPr>
          <w:lang w:val="en-GB"/>
        </w:rPr>
        <w:t>will</w:t>
      </w:r>
      <w:r>
        <w:rPr>
          <w:szCs w:val="22"/>
        </w:rPr>
        <w:t xml:space="preserve"> receive financial benefits from the issuance of Notes by the Issuer and the issue by the Guarantor of the Guarantee in respect of the Notes.]</w:t>
      </w:r>
      <w:r>
        <w:rPr>
          <w:rStyle w:val="FootnoteReference"/>
          <w:szCs w:val="22"/>
        </w:rPr>
        <w:footnoteReference w:id="2"/>
      </w:r>
    </w:p>
    <w:p w14:paraId="6CCCAF11" w14:textId="77777777" w:rsidR="00426311" w:rsidRDefault="00426311" w:rsidP="00426311">
      <w:pPr>
        <w:pStyle w:val="SAtext"/>
        <w:numPr>
          <w:ilvl w:val="1"/>
          <w:numId w:val="5"/>
        </w:numPr>
        <w:tabs>
          <w:tab w:val="left" w:pos="900"/>
        </w:tabs>
        <w:ind w:left="900" w:hanging="540"/>
      </w:pPr>
      <w:r>
        <w:t xml:space="preserve">Each (a) issuance of Notes by the Issuer hereunder and (b) amendment or supplement of the Offering Materials shall be deemed a representation and warranty by each of the Issuer and the Guarantor to the Dealer, as of the date thereof, that, both before and after giving effect to such issuance and after giving effect to such amendment or supplement, (i) the representations and warranties given by the Issuer and the Guarantor set forth in this Section 2 remain true and correct on and as of such date as if made on and as of such date, (ii) in the case of an issuance of Notes, the Notes being issued on such date have been duly and validly issued and constitute legal, valid and binding obligations of the Issuer, enforceable against the Issuer in accordance with their terms, subject to applicable bankruptcy, insolvency and similar laws affecting creditors’ rights generally and subject, as to enforceability, to general principles of equity (regardless of whether enforcement is sought in a proceeding in equity or at law) and are Guaranteed pursuant to the Guarantee, (iii) in the case of an issuance of Notes, since the date of the most recent Offering Materials, there has been no material adverse change in the condition (financial or otherwise), operations or business prospects of the Issuer or the Guarantor or the ability of the Issuer or the Guarantor to perform its obligations under this Agreement, the Notes, the Guarantee or the Issuing and Paying Agency Agreement which has not been disclosed to the Dealer in writing and (iv) neither the Issuer nor the Guarantor is in default of any of its </w:t>
      </w:r>
      <w:r>
        <w:lastRenderedPageBreak/>
        <w:t>obligations hereunder or under the Notes, the Guarantee or the Issuing and Paying Agency Agreement.</w:t>
      </w:r>
    </w:p>
    <w:p w14:paraId="3A2147BD" w14:textId="24477232" w:rsidR="00BF741A" w:rsidRDefault="00BF741A">
      <w:pPr>
        <w:pStyle w:val="SASubhd1"/>
        <w:numPr>
          <w:ilvl w:val="0"/>
          <w:numId w:val="2"/>
        </w:numPr>
        <w:spacing w:after="0"/>
        <w:rPr>
          <w:bCs/>
          <w:sz w:val="24"/>
        </w:rPr>
      </w:pPr>
      <w:r>
        <w:rPr>
          <w:bCs/>
          <w:sz w:val="24"/>
        </w:rPr>
        <w:t>Covenants and Agreements of Issuer</w:t>
      </w:r>
      <w:r w:rsidR="005E44AD">
        <w:rPr>
          <w:bCs/>
          <w:sz w:val="24"/>
        </w:rPr>
        <w:t xml:space="preserve"> and the Guarantor</w:t>
      </w:r>
      <w:r>
        <w:rPr>
          <w:bCs/>
          <w:sz w:val="24"/>
        </w:rPr>
        <w:t>.</w:t>
      </w:r>
    </w:p>
    <w:p w14:paraId="29C9F328" w14:textId="3B67E0B7" w:rsidR="00BF741A" w:rsidRDefault="005E44AD" w:rsidP="007903A8">
      <w:pPr>
        <w:pStyle w:val="SAtext"/>
        <w:spacing w:before="0"/>
        <w:ind w:left="360"/>
      </w:pPr>
      <w:r>
        <w:t>Each of t</w:t>
      </w:r>
      <w:r w:rsidR="00BF741A">
        <w:t xml:space="preserve">he Issuer </w:t>
      </w:r>
      <w:r>
        <w:t xml:space="preserve">and the Guarantor </w:t>
      </w:r>
      <w:r w:rsidR="00BF741A">
        <w:t xml:space="preserve">covenants and agrees </w:t>
      </w:r>
      <w:r>
        <w:t xml:space="preserve">as to itself </w:t>
      </w:r>
      <w:r w:rsidR="00BF741A">
        <w:t>that:</w:t>
      </w:r>
    </w:p>
    <w:p w14:paraId="438202AC" w14:textId="3771853F" w:rsidR="00BF741A" w:rsidRDefault="00BF741A">
      <w:pPr>
        <w:pStyle w:val="SAtext"/>
        <w:numPr>
          <w:ilvl w:val="1"/>
          <w:numId w:val="2"/>
        </w:numPr>
        <w:tabs>
          <w:tab w:val="clear" w:pos="360"/>
          <w:tab w:val="left" w:pos="900"/>
        </w:tabs>
      </w:pPr>
      <w:r>
        <w:t xml:space="preserve">The Issuer </w:t>
      </w:r>
      <w:r w:rsidR="005E44AD">
        <w:t xml:space="preserve">and the Guarantor </w:t>
      </w:r>
      <w:r>
        <w:t>will give the Dealer prompt notice (but in any event prior to any subsequent issuance of Notes hereunder) of any amendment to, modification of or waiver with respect to, the Notes</w:t>
      </w:r>
      <w:r w:rsidR="005E44AD">
        <w:t>, the Guarantee</w:t>
      </w:r>
      <w:r>
        <w:t xml:space="preserve"> or the Issuing and Paying Agency Agreement, including a complete copy of any such amendment, modification or waiver. </w:t>
      </w:r>
    </w:p>
    <w:p w14:paraId="6DAD62B7" w14:textId="68B421F5" w:rsidR="00BF741A" w:rsidRDefault="00BF741A">
      <w:pPr>
        <w:pStyle w:val="SAtext"/>
        <w:numPr>
          <w:ilvl w:val="1"/>
          <w:numId w:val="2"/>
        </w:numPr>
        <w:tabs>
          <w:tab w:val="clear" w:pos="360"/>
          <w:tab w:val="left" w:pos="900"/>
        </w:tabs>
      </w:pPr>
      <w:r>
        <w:t xml:space="preserve">The Issuer </w:t>
      </w:r>
      <w:r w:rsidR="005E44AD">
        <w:t xml:space="preserve">and the Guarantor </w:t>
      </w:r>
      <w:r>
        <w:t xml:space="preserve">shall, whenever there shall occur any change in the condition (financial or otherwise), operations or business prospects </w:t>
      </w:r>
      <w:r w:rsidR="005E44AD">
        <w:t xml:space="preserve">of the Issuer or the Guarantor </w:t>
      </w:r>
      <w:r>
        <w:t xml:space="preserve">or any development or occurrence in relation to the Issuer </w:t>
      </w:r>
      <w:r w:rsidR="005E44AD">
        <w:t xml:space="preserve">or the Guarantor </w:t>
      </w:r>
      <w:r>
        <w:t xml:space="preserve">that would be material to holders of the Notes or potential holders of the Notes (including any downgrading or receipt of any notice of intended or potential downgrading or any review for potential change in the rating accorded any of the securities </w:t>
      </w:r>
      <w:r w:rsidR="00DB29F3">
        <w:t xml:space="preserve">of the Issuer or the Guarantor </w:t>
      </w:r>
      <w:r>
        <w:t>by any nationally recognized statistical rating organization which has published a rating of the Notes), promptly, and in any event prior to any subsequent issuance of Notes hereunder, notify the Dealer (by telephone, confirmed in writing) of such change, development or occurrence.</w:t>
      </w:r>
    </w:p>
    <w:p w14:paraId="2FB0E557" w14:textId="2CB4B6F7" w:rsidR="00BF741A" w:rsidRDefault="00BF741A">
      <w:pPr>
        <w:pStyle w:val="SAtext"/>
        <w:numPr>
          <w:ilvl w:val="1"/>
          <w:numId w:val="2"/>
        </w:numPr>
        <w:tabs>
          <w:tab w:val="clear" w:pos="360"/>
          <w:tab w:val="left" w:pos="900"/>
        </w:tabs>
      </w:pPr>
      <w:r>
        <w:t xml:space="preserve">The Issuer </w:t>
      </w:r>
      <w:r w:rsidR="00DB29F3">
        <w:t xml:space="preserve">and the Guarantor </w:t>
      </w:r>
      <w:r>
        <w:t xml:space="preserve">shall from time to time furnish to the Dealer such information as the Dealer may reasonably request, including, without limitation, any press releases or material provided by the Issuer </w:t>
      </w:r>
      <w:r w:rsidR="00DB29F3">
        <w:t xml:space="preserve">or the Guarantor </w:t>
      </w:r>
      <w:r>
        <w:t>to any national securities exchange or rating agency, regarding (i) the operations and financial condition</w:t>
      </w:r>
      <w:r w:rsidR="00DB29F3">
        <w:t xml:space="preserve"> of the Issuer or the Guarantor</w:t>
      </w:r>
      <w:r>
        <w:t>, (ii) the due authorization and execution of the Notes</w:t>
      </w:r>
      <w:r w:rsidR="006F2E95">
        <w:t xml:space="preserve"> and the Guarantee</w:t>
      </w:r>
      <w:r w:rsidR="00DB29F3">
        <w:t>,</w:t>
      </w:r>
      <w:r>
        <w:t xml:space="preserve"> (iii) the Issuer’s ability to pay the Notes as they mature</w:t>
      </w:r>
      <w:r w:rsidR="00DB29F3">
        <w:t xml:space="preserve"> and (iv) the Guarantor’s ability to fulfill its obligations under the Guarantee</w:t>
      </w:r>
      <w:r>
        <w:t xml:space="preserve">. </w:t>
      </w:r>
    </w:p>
    <w:p w14:paraId="305B12F2" w14:textId="0CC344F6" w:rsidR="00BF741A" w:rsidRDefault="00BF741A">
      <w:pPr>
        <w:pStyle w:val="SAtext"/>
        <w:numPr>
          <w:ilvl w:val="1"/>
          <w:numId w:val="2"/>
        </w:numPr>
        <w:tabs>
          <w:tab w:val="clear" w:pos="360"/>
          <w:tab w:val="left" w:pos="900"/>
        </w:tabs>
      </w:pPr>
      <w:r>
        <w:t xml:space="preserve">The Issuer </w:t>
      </w:r>
      <w:r w:rsidR="00DB29F3">
        <w:t xml:space="preserve">and the Guarantor </w:t>
      </w:r>
      <w:r>
        <w:t xml:space="preserve">will take all such action as the Dealer may reasonably request to ensure that each offer and each sale of the Notes will comply with any applicable state Blue Sky laws; provided, however, that </w:t>
      </w:r>
      <w:r w:rsidR="00DB29F3">
        <w:t xml:space="preserve">neither </w:t>
      </w:r>
      <w:r>
        <w:t xml:space="preserve">the Issuer </w:t>
      </w:r>
      <w:r w:rsidR="00DB29F3">
        <w:t xml:space="preserve">nor the Guarantor </w:t>
      </w:r>
      <w:r>
        <w:t xml:space="preserve">shall be obligated to file any general consent to service of process or to qualify as a foreign corporation in any jurisdiction in which it is not so qualified or subject itself to taxation in respect of doing business in any jurisdiction in which it is not otherwise so subject. </w:t>
      </w:r>
    </w:p>
    <w:p w14:paraId="3A394033" w14:textId="03C34329" w:rsidR="00E9750B" w:rsidRDefault="00E9750B">
      <w:pPr>
        <w:pStyle w:val="SAtext"/>
        <w:numPr>
          <w:ilvl w:val="1"/>
          <w:numId w:val="2"/>
        </w:numPr>
        <w:tabs>
          <w:tab w:val="clear" w:pos="360"/>
          <w:tab w:val="left" w:pos="900"/>
        </w:tabs>
      </w:pPr>
      <w:r>
        <w:t>The Issuer will use the proceeds of the sale of the Notes for “current transactions” within the meaning of Section 3(a)(3) of the Securities Act.</w:t>
      </w:r>
    </w:p>
    <w:p w14:paraId="30F2ADAC" w14:textId="2FD24DAC" w:rsidR="00BF741A" w:rsidRDefault="00DB29F3">
      <w:pPr>
        <w:pStyle w:val="SAtext"/>
        <w:numPr>
          <w:ilvl w:val="1"/>
          <w:numId w:val="2"/>
        </w:numPr>
        <w:tabs>
          <w:tab w:val="clear" w:pos="360"/>
          <w:tab w:val="left" w:pos="900"/>
        </w:tabs>
      </w:pPr>
      <w:r>
        <w:t>Neither t</w:t>
      </w:r>
      <w:r w:rsidR="00BF741A">
        <w:t xml:space="preserve">he Issuer </w:t>
      </w:r>
      <w:r>
        <w:t xml:space="preserve">nor the Guarantor </w:t>
      </w:r>
      <w:r w:rsidR="00BF741A">
        <w:t>will be in default of any of its obligations hereunder</w:t>
      </w:r>
      <w:r w:rsidR="006F2E95">
        <w:t xml:space="preserve"> or</w:t>
      </w:r>
      <w:r w:rsidR="00BF741A">
        <w:t xml:space="preserve"> under the </w:t>
      </w:r>
      <w:r>
        <w:t>Notes, the Guarantee or</w:t>
      </w:r>
      <w:r w:rsidR="006F2E95">
        <w:t xml:space="preserve"> the</w:t>
      </w:r>
      <w:r>
        <w:t xml:space="preserve"> </w:t>
      </w:r>
      <w:r w:rsidR="00BF741A">
        <w:t>Issuing and Paying Agency Agreement, at any time that any of the Notes are outstanding.</w:t>
      </w:r>
    </w:p>
    <w:p w14:paraId="68FD7E91" w14:textId="1DFACA83" w:rsidR="00BF741A" w:rsidRDefault="00BF741A" w:rsidP="00BC5BC0">
      <w:pPr>
        <w:pStyle w:val="SAtext"/>
        <w:numPr>
          <w:ilvl w:val="1"/>
          <w:numId w:val="2"/>
        </w:numPr>
        <w:tabs>
          <w:tab w:val="clear" w:pos="360"/>
          <w:tab w:val="left" w:pos="900"/>
        </w:tabs>
      </w:pPr>
      <w:r>
        <w:t>The Issuer shall not issue Notes hereunder until the Dealer shall have received (a) opinion</w:t>
      </w:r>
      <w:r w:rsidR="003124D5">
        <w:t>s</w:t>
      </w:r>
      <w:r>
        <w:t xml:space="preserve"> of counsel to the Issuer</w:t>
      </w:r>
      <w:r w:rsidR="003124D5">
        <w:t xml:space="preserve"> and the Guarantor</w:t>
      </w:r>
      <w:r>
        <w:t xml:space="preserve">, addressed to the Dealer, satisfactory in form and substance to the Dealer, (b) a copy of the executed Issuing and Paying Agency Agreement as then in effect, (c) a copy of </w:t>
      </w:r>
      <w:r w:rsidR="003124D5">
        <w:t xml:space="preserve">the executed Guarantee, (d) a copy of </w:t>
      </w:r>
      <w:r>
        <w:t>resolutions adopted by the Board</w:t>
      </w:r>
      <w:r w:rsidR="003124D5">
        <w:t>s</w:t>
      </w:r>
      <w:r>
        <w:t xml:space="preserve"> of Directors of the Issuer</w:t>
      </w:r>
      <w:r w:rsidR="003124D5">
        <w:t xml:space="preserve"> and the Guarantor</w:t>
      </w:r>
      <w:r>
        <w:t>, satisfactory in form and substance to the Dealer and certified by the Secretary or similar officer of the Issuer</w:t>
      </w:r>
      <w:r w:rsidR="003124D5">
        <w:t xml:space="preserve"> or the Guarantor, as the case may be</w:t>
      </w:r>
      <w:r>
        <w:t xml:space="preserve">, authorizing execution and delivery by the Issuer </w:t>
      </w:r>
      <w:r w:rsidR="003124D5">
        <w:t xml:space="preserve">and the Guarantor </w:t>
      </w:r>
      <w:r>
        <w:t>of this Agreement, the Issuing</w:t>
      </w:r>
      <w:r w:rsidR="003124D5">
        <w:t xml:space="preserve"> </w:t>
      </w:r>
      <w:r>
        <w:t>and Paying Agency Agreement</w:t>
      </w:r>
      <w:r w:rsidR="003124D5">
        <w:t>, the Guarantee</w:t>
      </w:r>
      <w:r>
        <w:t xml:space="preserve"> and the Notes</w:t>
      </w:r>
      <w:r w:rsidR="003124D5">
        <w:t>, as applicable,</w:t>
      </w:r>
      <w:r>
        <w:t xml:space="preserve"> and consummation by the Issuer </w:t>
      </w:r>
      <w:r w:rsidR="003124D5">
        <w:t xml:space="preserve">and the Guarantor </w:t>
      </w:r>
      <w:r>
        <w:t>of the transactions contemplated hereby and thereby, (</w:t>
      </w:r>
      <w:r w:rsidR="003124D5">
        <w:t>e</w:t>
      </w:r>
      <w:r>
        <w:t xml:space="preserve">) a certificate of the secretary, assistant secretary or other designated officer of the Issuer </w:t>
      </w:r>
      <w:r w:rsidR="006F2E95">
        <w:t xml:space="preserve">and the Guarantor, </w:t>
      </w:r>
      <w:r>
        <w:t xml:space="preserve">certifying as to (i) the Issuer’s </w:t>
      </w:r>
      <w:r w:rsidR="006F2E95">
        <w:t xml:space="preserve">and </w:t>
      </w:r>
      <w:r w:rsidR="006F2E95">
        <w:lastRenderedPageBreak/>
        <w:t xml:space="preserve">the Guarantor’s </w:t>
      </w:r>
      <w:r>
        <w:t>organizational documents, and attaching true, correct and complete copies thereof, (ii) the Issuer’s</w:t>
      </w:r>
      <w:r w:rsidR="006F2E95">
        <w:t xml:space="preserve"> and the Guarantor’s</w:t>
      </w:r>
      <w:r w:rsidRPr="000115DB">
        <w:t xml:space="preserve"> representations and warranties being true and correct</w:t>
      </w:r>
      <w:r>
        <w:t xml:space="preserve">, and (iii) the incumbency of the officers of the Issuer </w:t>
      </w:r>
      <w:r w:rsidR="00314945">
        <w:t xml:space="preserve">and the Guarantor </w:t>
      </w:r>
      <w:r>
        <w:t xml:space="preserve">authorized to execute and deliver </w:t>
      </w:r>
      <w:r w:rsidRPr="00BC5BC0">
        <w:t>this Agreement, the Issuing and Paying Agency Agreement</w:t>
      </w:r>
      <w:r w:rsidR="006F2E95">
        <w:t>, the Guarantee</w:t>
      </w:r>
      <w:r w:rsidRPr="00BC5BC0">
        <w:t xml:space="preserve"> and the Notes</w:t>
      </w:r>
      <w:r>
        <w:t xml:space="preserve">, and take other action on behalf of the Issuer </w:t>
      </w:r>
      <w:r w:rsidR="00520B1F">
        <w:t xml:space="preserve">and the Guarantor </w:t>
      </w:r>
      <w:r>
        <w:t xml:space="preserve">in connection with the transactions contemplated </w:t>
      </w:r>
      <w:r w:rsidR="00C30D6F">
        <w:t xml:space="preserve">hereby and </w:t>
      </w:r>
      <w:r>
        <w:t>thereby, (</w:t>
      </w:r>
      <w:r w:rsidR="003124D5">
        <w:t>f</w:t>
      </w:r>
      <w:r>
        <w:t xml:space="preserve">) prior to the issuance of any book-entry Notes represented by </w:t>
      </w:r>
      <w:r w:rsidR="006F11B9">
        <w:t>a</w:t>
      </w:r>
      <w:r>
        <w:t xml:space="preserve"> </w:t>
      </w:r>
      <w:r w:rsidR="001203EF">
        <w:t>M</w:t>
      </w:r>
      <w:r>
        <w:t xml:space="preserve">aster </w:t>
      </w:r>
      <w:r w:rsidR="001203EF">
        <w:t>N</w:t>
      </w:r>
      <w:r>
        <w:t xml:space="preserve">ote, a copy of the executed Letter of Representations among the Issuer, </w:t>
      </w:r>
      <w:r w:rsidR="003124D5">
        <w:t xml:space="preserve">the Guarantor, </w:t>
      </w:r>
      <w:r>
        <w:t xml:space="preserve">the Issuing and Paying Agent and DTC and of </w:t>
      </w:r>
      <w:r w:rsidR="00784862">
        <w:t xml:space="preserve">each </w:t>
      </w:r>
      <w:r>
        <w:t xml:space="preserve">executed </w:t>
      </w:r>
      <w:r w:rsidR="003F7A67">
        <w:t>M</w:t>
      </w:r>
      <w:r>
        <w:t xml:space="preserve">aster </w:t>
      </w:r>
      <w:r w:rsidR="003F7A67">
        <w:t>N</w:t>
      </w:r>
      <w:r>
        <w:t>ote, (</w:t>
      </w:r>
      <w:r w:rsidR="003124D5">
        <w:t>g</w:t>
      </w:r>
      <w:r>
        <w:t>) prior to the issuance of any Notes in physical form, a copy of such form (unless attached to this Agreement or the Issuing and Paying Agency Agreement), (</w:t>
      </w:r>
      <w:r w:rsidR="003124D5">
        <w:t>h</w:t>
      </w:r>
      <w:r>
        <w:t xml:space="preserve">) confirmation of the then current rating assigned to the Notes by each nationally recognized statistical rating organization then rating the Notes, </w:t>
      </w:r>
      <w:r w:rsidR="00C30D6F">
        <w:t>(</w:t>
      </w:r>
      <w:r w:rsidR="003124D5">
        <w:t>i</w:t>
      </w:r>
      <w:r w:rsidR="00C30D6F" w:rsidRPr="00122120">
        <w:rPr>
          <w:szCs w:val="22"/>
        </w:rPr>
        <w:t xml:space="preserve">) </w:t>
      </w:r>
      <w:r w:rsidR="00C30D6F" w:rsidRPr="00F22CD5">
        <w:rPr>
          <w:szCs w:val="22"/>
        </w:rPr>
        <w:t xml:space="preserve">a properly completed and signed IRS Form W-8 or W-9, as applicable, for </w:t>
      </w:r>
      <w:r w:rsidR="00C30D6F" w:rsidRPr="009754D6">
        <w:rPr>
          <w:szCs w:val="22"/>
        </w:rPr>
        <w:t xml:space="preserve">the </w:t>
      </w:r>
      <w:r w:rsidR="00C30D6F" w:rsidRPr="00644BF9">
        <w:rPr>
          <w:szCs w:val="22"/>
        </w:rPr>
        <w:t>Issuer</w:t>
      </w:r>
      <w:r w:rsidR="00520B1F">
        <w:rPr>
          <w:szCs w:val="22"/>
        </w:rPr>
        <w:t xml:space="preserve"> and the Guarantor</w:t>
      </w:r>
      <w:r w:rsidR="001833E6" w:rsidRPr="00644BF9">
        <w:rPr>
          <w:szCs w:val="22"/>
        </w:rPr>
        <w:t xml:space="preserve">, </w:t>
      </w:r>
      <w:r w:rsidR="00C30D6F" w:rsidRPr="00644BF9">
        <w:rPr>
          <w:szCs w:val="22"/>
        </w:rPr>
        <w:t>(</w:t>
      </w:r>
      <w:r w:rsidR="003124D5">
        <w:rPr>
          <w:szCs w:val="22"/>
        </w:rPr>
        <w:t>j</w:t>
      </w:r>
      <w:r w:rsidR="00C30D6F" w:rsidRPr="00644BF9">
        <w:rPr>
          <w:szCs w:val="22"/>
        </w:rPr>
        <w:t xml:space="preserve">) </w:t>
      </w:r>
      <w:r w:rsidR="006649B6" w:rsidRPr="00644BF9">
        <w:rPr>
          <w:szCs w:val="22"/>
        </w:rPr>
        <w:t>all</w:t>
      </w:r>
      <w:r w:rsidR="006649B6" w:rsidRPr="006649B6">
        <w:rPr>
          <w:szCs w:val="22"/>
        </w:rPr>
        <w:t xml:space="preserve"> information regarding beneficial ownership required by 31 C.F.R. §1010.230</w:t>
      </w:r>
      <w:r w:rsidR="006649B6">
        <w:rPr>
          <w:szCs w:val="22"/>
        </w:rPr>
        <w:t>,</w:t>
      </w:r>
      <w:r w:rsidR="00A30AF6">
        <w:rPr>
          <w:szCs w:val="22"/>
        </w:rPr>
        <w:t xml:space="preserve"> </w:t>
      </w:r>
      <w:r w:rsidR="006649B6">
        <w:rPr>
          <w:szCs w:val="22"/>
        </w:rPr>
        <w:t xml:space="preserve">including a </w:t>
      </w:r>
      <w:r w:rsidR="00A30AF6">
        <w:rPr>
          <w:szCs w:val="22"/>
        </w:rPr>
        <w:t>completed form promulgated by the Securities Industry and Financial Markets Association to facilitate compliance with the requirements of the Financial Crimes Enforcement Network</w:t>
      </w:r>
      <w:r w:rsidR="006649B6">
        <w:rPr>
          <w:szCs w:val="22"/>
        </w:rPr>
        <w:t>,</w:t>
      </w:r>
      <w:r w:rsidR="006649B6" w:rsidRPr="006649B6">
        <w:rPr>
          <w:szCs w:val="22"/>
        </w:rPr>
        <w:t xml:space="preserve"> </w:t>
      </w:r>
      <w:r>
        <w:t>and (</w:t>
      </w:r>
      <w:r w:rsidR="003124D5">
        <w:t>k</w:t>
      </w:r>
      <w:r>
        <w:t>) such other certificates, opinions, letters and documents as the Dealer shall have reasonably requested.</w:t>
      </w:r>
    </w:p>
    <w:p w14:paraId="5FED6DC5" w14:textId="1AB94327" w:rsidR="00BF741A" w:rsidRDefault="00BF741A">
      <w:pPr>
        <w:pStyle w:val="SAtext"/>
        <w:numPr>
          <w:ilvl w:val="1"/>
          <w:numId w:val="2"/>
        </w:numPr>
        <w:tabs>
          <w:tab w:val="clear" w:pos="360"/>
          <w:tab w:val="left" w:pos="900"/>
        </w:tabs>
      </w:pPr>
      <w:r>
        <w:t xml:space="preserve">The Issuer </w:t>
      </w:r>
      <w:r w:rsidR="003124D5">
        <w:t xml:space="preserve">and the Guarantor, jointly and severally, </w:t>
      </w:r>
      <w:r>
        <w:t xml:space="preserve">shall reimburse the Dealer for all of the Dealer’s out-of-pocket expenses related to this Agreement, including expenses incurred in connection with its preparation and negotiation, and the transactions contemplated hereby (including, but not limited to, the printing and distribution of the </w:t>
      </w:r>
      <w:r w:rsidR="00E9750B">
        <w:t>Offering Materials and any advertising expense</w:t>
      </w:r>
      <w:r>
        <w:t>), and for the reasonable fees and out-of-pocket expenses of the Dealer’s counsel.</w:t>
      </w:r>
    </w:p>
    <w:p w14:paraId="3430606A" w14:textId="3E3AB83B" w:rsidR="00A4068F" w:rsidRDefault="00A4068F" w:rsidP="008019FE">
      <w:pPr>
        <w:pStyle w:val="SAtext"/>
        <w:numPr>
          <w:ilvl w:val="1"/>
          <w:numId w:val="2"/>
        </w:numPr>
        <w:tabs>
          <w:tab w:val="clear" w:pos="360"/>
          <w:tab w:val="left" w:pos="792"/>
          <w:tab w:val="left" w:pos="900"/>
        </w:tabs>
        <w:rPr>
          <w:szCs w:val="24"/>
        </w:rPr>
      </w:pPr>
      <w:r w:rsidRPr="00A4068F">
        <w:rPr>
          <w:szCs w:val="24"/>
        </w:rPr>
        <w:t xml:space="preserve">Without limiting any obligation of the Issuer </w:t>
      </w:r>
      <w:r w:rsidR="003124D5">
        <w:rPr>
          <w:szCs w:val="24"/>
        </w:rPr>
        <w:t xml:space="preserve">or the Guarantor </w:t>
      </w:r>
      <w:r w:rsidRPr="00A4068F">
        <w:rPr>
          <w:szCs w:val="24"/>
        </w:rPr>
        <w:t xml:space="preserve">pursuant to this Agreement to provide the Dealer with credit and financial information, </w:t>
      </w:r>
      <w:r w:rsidR="003124D5">
        <w:rPr>
          <w:szCs w:val="24"/>
        </w:rPr>
        <w:t xml:space="preserve">each of </w:t>
      </w:r>
      <w:r w:rsidRPr="00A4068F">
        <w:rPr>
          <w:szCs w:val="24"/>
        </w:rPr>
        <w:t xml:space="preserve">the Issuer </w:t>
      </w:r>
      <w:r w:rsidR="003124D5">
        <w:rPr>
          <w:szCs w:val="24"/>
        </w:rPr>
        <w:t xml:space="preserve">and the Guarantor </w:t>
      </w:r>
      <w:r w:rsidRPr="00A4068F">
        <w:rPr>
          <w:szCs w:val="24"/>
        </w:rPr>
        <w:t>hereby acknowledges and agrees that the Dealer may share the Company Information and any other information or matters relating to the Issuer</w:t>
      </w:r>
      <w:r w:rsidR="003124D5">
        <w:rPr>
          <w:szCs w:val="24"/>
        </w:rPr>
        <w:t xml:space="preserve"> or the Guarantor</w:t>
      </w:r>
      <w:r w:rsidRPr="00A4068F">
        <w:rPr>
          <w:szCs w:val="24"/>
        </w:rPr>
        <w:t xml:space="preserve"> or the transactions contemplated hereby with affiliates of the Dealer, and that such affiliates may likewise share information relating to the Issuer </w:t>
      </w:r>
      <w:r w:rsidR="003124D5">
        <w:rPr>
          <w:szCs w:val="24"/>
        </w:rPr>
        <w:t xml:space="preserve">or the Guarantor </w:t>
      </w:r>
      <w:r w:rsidRPr="00A4068F">
        <w:rPr>
          <w:szCs w:val="24"/>
        </w:rPr>
        <w:t>or such transactions with the Dealer.</w:t>
      </w:r>
    </w:p>
    <w:p w14:paraId="3EEFA44A" w14:textId="77777777" w:rsidR="00BF741A" w:rsidRDefault="00BF741A">
      <w:pPr>
        <w:pStyle w:val="SASubhd1"/>
        <w:numPr>
          <w:ilvl w:val="0"/>
          <w:numId w:val="2"/>
        </w:numPr>
        <w:spacing w:after="0"/>
        <w:rPr>
          <w:bCs/>
          <w:sz w:val="24"/>
        </w:rPr>
      </w:pPr>
      <w:r>
        <w:rPr>
          <w:bCs/>
          <w:sz w:val="24"/>
        </w:rPr>
        <w:t>Disclosure.</w:t>
      </w:r>
    </w:p>
    <w:p w14:paraId="0A7E864D" w14:textId="17748E77" w:rsidR="00BF741A" w:rsidRDefault="00E9750B" w:rsidP="00D2221C">
      <w:pPr>
        <w:pStyle w:val="SAtext"/>
        <w:numPr>
          <w:ilvl w:val="1"/>
          <w:numId w:val="2"/>
        </w:numPr>
        <w:tabs>
          <w:tab w:val="clear" w:pos="360"/>
        </w:tabs>
        <w:spacing w:before="0"/>
        <w:ind w:left="810" w:hanging="450"/>
        <w:rPr>
          <w:szCs w:val="22"/>
        </w:rPr>
      </w:pPr>
      <w:r>
        <w:t>Offering Materials which may be provided to purchasers and prospective purchasers of the Notes shall be prepared for use in connection with the transactions contemplated by this Agreement. The Offering Materials and their</w:t>
      </w:r>
      <w:r w:rsidR="00BF741A">
        <w:t xml:space="preserve"> contents (other than the Dealer Information) shall be the sole responsibility of the Issuer</w:t>
      </w:r>
      <w:r w:rsidR="003124D5">
        <w:t xml:space="preserve"> and the Guarantor</w:t>
      </w:r>
      <w:r w:rsidR="00BF741A">
        <w:t xml:space="preserve">.  </w:t>
      </w:r>
      <w:r w:rsidR="00C74BBE">
        <w:t>Each of t</w:t>
      </w:r>
      <w:r w:rsidR="00BF741A">
        <w:t xml:space="preserve">he </w:t>
      </w:r>
      <w:r w:rsidR="00C74BBE">
        <w:t>Issuer and the Guarantor authorize the Dealer to distribute the Offering Materials as determined by the Dealer</w:t>
      </w:r>
      <w:r w:rsidR="00BF741A">
        <w:rPr>
          <w:szCs w:val="22"/>
        </w:rPr>
        <w:t>.</w:t>
      </w:r>
    </w:p>
    <w:p w14:paraId="32F2DC2A" w14:textId="008A9636" w:rsidR="00BF741A" w:rsidRDefault="00984418" w:rsidP="00D2221C">
      <w:pPr>
        <w:pStyle w:val="SAtext"/>
        <w:numPr>
          <w:ilvl w:val="1"/>
          <w:numId w:val="2"/>
        </w:numPr>
        <w:tabs>
          <w:tab w:val="clear" w:pos="360"/>
        </w:tabs>
        <w:ind w:left="810" w:hanging="450"/>
        <w:rPr>
          <w:szCs w:val="22"/>
        </w:rPr>
      </w:pPr>
      <w:r>
        <w:rPr>
          <w:szCs w:val="22"/>
        </w:rPr>
        <w:t>Each of t</w:t>
      </w:r>
      <w:r w:rsidR="00BF741A">
        <w:rPr>
          <w:szCs w:val="22"/>
        </w:rPr>
        <w:t xml:space="preserve">he Issuer </w:t>
      </w:r>
      <w:r>
        <w:t>and the Guarantor</w:t>
      </w:r>
      <w:r>
        <w:rPr>
          <w:szCs w:val="22"/>
        </w:rPr>
        <w:t xml:space="preserve"> </w:t>
      </w:r>
      <w:r w:rsidR="00BF741A">
        <w:rPr>
          <w:szCs w:val="22"/>
        </w:rPr>
        <w:t xml:space="preserve">agrees to promptly furnish the Dealer the Company Information as it becomes available. </w:t>
      </w:r>
    </w:p>
    <w:p w14:paraId="29F506D5" w14:textId="5FB15215" w:rsidR="00BF741A" w:rsidRDefault="00BF741A" w:rsidP="00D2221C">
      <w:pPr>
        <w:pStyle w:val="SAtext"/>
        <w:numPr>
          <w:ilvl w:val="1"/>
          <w:numId w:val="2"/>
        </w:numPr>
        <w:tabs>
          <w:tab w:val="clear" w:pos="360"/>
        </w:tabs>
        <w:ind w:left="810" w:hanging="450"/>
        <w:rPr>
          <w:szCs w:val="22"/>
        </w:rPr>
      </w:pPr>
      <w:r>
        <w:t xml:space="preserve">(a)  </w:t>
      </w:r>
      <w:r w:rsidR="00984418">
        <w:t>Each of t</w:t>
      </w:r>
      <w:r>
        <w:t xml:space="preserve">he Issuer </w:t>
      </w:r>
      <w:r w:rsidR="00984418">
        <w:t xml:space="preserve">and the Guarantor </w:t>
      </w:r>
      <w:r>
        <w:t xml:space="preserve">further agrees to notify the Dealer promptly upon the occurrence of any event relating to or affecting the Issuer </w:t>
      </w:r>
      <w:r w:rsidR="00984418">
        <w:t xml:space="preserve">or the Guarantor </w:t>
      </w:r>
      <w:r>
        <w:t xml:space="preserve">that would cause the Company Information then in existence to include an untrue statement of a material fact or to omit to state a material fact necessary in order to make the statements contained therein, in light of the circumstances under which they are made, not misleading.  </w:t>
      </w:r>
    </w:p>
    <w:p w14:paraId="3813EF79" w14:textId="67D9EB23" w:rsidR="00BF741A" w:rsidRDefault="00BF741A" w:rsidP="00D2221C">
      <w:pPr>
        <w:pStyle w:val="CG-SingleSp05"/>
        <w:numPr>
          <w:ilvl w:val="0"/>
          <w:numId w:val="7"/>
        </w:numPr>
        <w:tabs>
          <w:tab w:val="left" w:pos="810"/>
          <w:tab w:val="left" w:pos="1170"/>
        </w:tabs>
        <w:ind w:left="810" w:firstLine="0"/>
        <w:rPr>
          <w:sz w:val="22"/>
          <w:szCs w:val="22"/>
        </w:rPr>
      </w:pPr>
      <w:r>
        <w:rPr>
          <w:sz w:val="22"/>
          <w:szCs w:val="22"/>
        </w:rPr>
        <w:t xml:space="preserve">In the event that the Issuer </w:t>
      </w:r>
      <w:r w:rsidR="00984418">
        <w:rPr>
          <w:sz w:val="22"/>
          <w:szCs w:val="22"/>
        </w:rPr>
        <w:t xml:space="preserve">or the Guarantor </w:t>
      </w:r>
      <w:r>
        <w:rPr>
          <w:sz w:val="22"/>
          <w:szCs w:val="22"/>
        </w:rPr>
        <w:t xml:space="preserve">gives the Dealer notice pursuant to Section 4.3(a) and (i) the Issuer is selling Notes in accordance with Section 1, (ii) the Dealer notifies the Issuer that it then has Notes it is holding in inventory, or (iii) any Notes are </w:t>
      </w:r>
      <w:r>
        <w:rPr>
          <w:sz w:val="22"/>
          <w:szCs w:val="22"/>
        </w:rPr>
        <w:lastRenderedPageBreak/>
        <w:t xml:space="preserve">otherwise outstanding, the Issuer </w:t>
      </w:r>
      <w:r w:rsidR="00984418" w:rsidRPr="00984418">
        <w:rPr>
          <w:sz w:val="22"/>
          <w:szCs w:val="22"/>
        </w:rPr>
        <w:t xml:space="preserve">and the Guarantor </w:t>
      </w:r>
      <w:r>
        <w:rPr>
          <w:sz w:val="22"/>
          <w:szCs w:val="22"/>
        </w:rPr>
        <w:t xml:space="preserve">agree promptly to supplement or amend the </w:t>
      </w:r>
      <w:r w:rsidR="00C74BBE">
        <w:rPr>
          <w:sz w:val="22"/>
          <w:szCs w:val="22"/>
        </w:rPr>
        <w:t>Offering Materials</w:t>
      </w:r>
      <w:r>
        <w:rPr>
          <w:sz w:val="22"/>
          <w:szCs w:val="22"/>
        </w:rPr>
        <w:t xml:space="preserve"> so that the </w:t>
      </w:r>
      <w:r w:rsidR="00C74BBE">
        <w:rPr>
          <w:sz w:val="22"/>
          <w:szCs w:val="22"/>
        </w:rPr>
        <w:t>Offering Materials</w:t>
      </w:r>
      <w:r>
        <w:rPr>
          <w:sz w:val="22"/>
          <w:szCs w:val="22"/>
        </w:rPr>
        <w:t xml:space="preserve">, as amended or supplemented, shall not contain an untrue statement of a material fact or omit to state a material fact necessary in order to make the statements therein, in light of the circumstances under which they were made, not misleading, and the Issuer </w:t>
      </w:r>
      <w:r w:rsidR="00984418" w:rsidRPr="00984418">
        <w:rPr>
          <w:sz w:val="22"/>
          <w:szCs w:val="22"/>
        </w:rPr>
        <w:t xml:space="preserve">and the Guarantor </w:t>
      </w:r>
      <w:r>
        <w:rPr>
          <w:sz w:val="22"/>
          <w:szCs w:val="22"/>
        </w:rPr>
        <w:t>shall make such supplement or amendment available to the Dealer.</w:t>
      </w:r>
    </w:p>
    <w:p w14:paraId="6FD6C37B" w14:textId="6660E044" w:rsidR="00BF741A" w:rsidRDefault="00BF741A" w:rsidP="00D2221C">
      <w:pPr>
        <w:pStyle w:val="CG-SingleSp05"/>
        <w:numPr>
          <w:ilvl w:val="0"/>
          <w:numId w:val="7"/>
        </w:numPr>
        <w:tabs>
          <w:tab w:val="left" w:pos="810"/>
          <w:tab w:val="left" w:pos="1170"/>
        </w:tabs>
        <w:ind w:left="810" w:firstLine="0"/>
        <w:rPr>
          <w:sz w:val="22"/>
          <w:szCs w:val="22"/>
        </w:rPr>
      </w:pPr>
      <w:r>
        <w:rPr>
          <w:sz w:val="22"/>
          <w:szCs w:val="22"/>
        </w:rPr>
        <w:t xml:space="preserve">In the event that (i) the Issuer </w:t>
      </w:r>
      <w:r w:rsidR="00984418">
        <w:rPr>
          <w:sz w:val="22"/>
          <w:szCs w:val="22"/>
        </w:rPr>
        <w:t xml:space="preserve">or the Guarantor </w:t>
      </w:r>
      <w:r>
        <w:rPr>
          <w:sz w:val="22"/>
          <w:szCs w:val="22"/>
        </w:rPr>
        <w:t xml:space="preserve">gives the Dealer notice pursuant to Section 4.3(a), (ii) (A) the Issuer is not selling Notes in accordance with Section 1, (B) the Dealer does not notify the Issuer </w:t>
      </w:r>
      <w:r w:rsidR="00737B90">
        <w:rPr>
          <w:sz w:val="22"/>
          <w:szCs w:val="22"/>
        </w:rPr>
        <w:t xml:space="preserve">or the Guarantor </w:t>
      </w:r>
      <w:r>
        <w:rPr>
          <w:sz w:val="22"/>
          <w:szCs w:val="22"/>
        </w:rPr>
        <w:t xml:space="preserve">that it is then holding Notes in inventory and (C) no Notes are otherwise outstanding, and (iii) the Issuer </w:t>
      </w:r>
      <w:r w:rsidR="00984418">
        <w:rPr>
          <w:sz w:val="22"/>
          <w:szCs w:val="22"/>
        </w:rPr>
        <w:t xml:space="preserve">or the Guarantor </w:t>
      </w:r>
      <w:r>
        <w:rPr>
          <w:sz w:val="22"/>
          <w:szCs w:val="22"/>
        </w:rPr>
        <w:t xml:space="preserve">chooses not to promptly amend or supplement the </w:t>
      </w:r>
      <w:r w:rsidR="00C74BBE">
        <w:rPr>
          <w:sz w:val="22"/>
          <w:szCs w:val="22"/>
        </w:rPr>
        <w:t>Offering Materials</w:t>
      </w:r>
      <w:r>
        <w:rPr>
          <w:sz w:val="22"/>
          <w:szCs w:val="22"/>
        </w:rPr>
        <w:t xml:space="preserve"> in the manner described in clause (b) above, then all solicitations and sales of Notes shall be suspended until such time as the Issuer</w:t>
      </w:r>
      <w:r w:rsidR="00984418">
        <w:rPr>
          <w:sz w:val="22"/>
          <w:szCs w:val="22"/>
        </w:rPr>
        <w:t xml:space="preserve"> and the Guarantor</w:t>
      </w:r>
      <w:r>
        <w:rPr>
          <w:sz w:val="22"/>
          <w:szCs w:val="22"/>
        </w:rPr>
        <w:t xml:space="preserve"> ha</w:t>
      </w:r>
      <w:r w:rsidR="00984418">
        <w:rPr>
          <w:sz w:val="22"/>
          <w:szCs w:val="22"/>
        </w:rPr>
        <w:t>ve</w:t>
      </w:r>
      <w:r>
        <w:rPr>
          <w:sz w:val="22"/>
          <w:szCs w:val="22"/>
        </w:rPr>
        <w:t xml:space="preserve"> so amended or supplemented the </w:t>
      </w:r>
      <w:r w:rsidR="00C74BBE">
        <w:rPr>
          <w:sz w:val="22"/>
          <w:szCs w:val="22"/>
        </w:rPr>
        <w:t>Offering Materials</w:t>
      </w:r>
      <w:r>
        <w:rPr>
          <w:sz w:val="22"/>
          <w:szCs w:val="22"/>
        </w:rPr>
        <w:t>, and made such amendment or supplement available to the Dealer.</w:t>
      </w:r>
    </w:p>
    <w:p w14:paraId="1D162D50" w14:textId="730565F6" w:rsidR="00BF741A" w:rsidRDefault="00116E78" w:rsidP="00D2221C">
      <w:pPr>
        <w:pStyle w:val="CG-SingleSp05"/>
        <w:numPr>
          <w:ilvl w:val="0"/>
          <w:numId w:val="7"/>
        </w:numPr>
        <w:tabs>
          <w:tab w:val="left" w:pos="810"/>
          <w:tab w:val="num" w:pos="1095"/>
          <w:tab w:val="num" w:pos="1170"/>
        </w:tabs>
        <w:ind w:left="810" w:firstLine="0"/>
      </w:pPr>
      <w:r>
        <w:rPr>
          <w:sz w:val="22"/>
          <w:szCs w:val="22"/>
        </w:rPr>
        <w:t xml:space="preserve"> </w:t>
      </w:r>
      <w:r w:rsidR="00BF741A">
        <w:rPr>
          <w:sz w:val="22"/>
          <w:szCs w:val="22"/>
        </w:rPr>
        <w:t>Without limiting the generality of Section 4.3(a),</w:t>
      </w:r>
      <w:r w:rsidR="00BF741A" w:rsidRPr="00927C0A">
        <w:t xml:space="preserve"> </w:t>
      </w:r>
      <w:r w:rsidR="00BF741A" w:rsidRPr="00927C0A">
        <w:rPr>
          <w:sz w:val="22"/>
          <w:szCs w:val="22"/>
        </w:rPr>
        <w:t xml:space="preserve">to the extent that the </w:t>
      </w:r>
      <w:r w:rsidR="00C74BBE">
        <w:rPr>
          <w:sz w:val="22"/>
          <w:szCs w:val="22"/>
        </w:rPr>
        <w:t xml:space="preserve">Offering Materials </w:t>
      </w:r>
      <w:r w:rsidR="00BF741A" w:rsidRPr="00927C0A">
        <w:rPr>
          <w:sz w:val="22"/>
          <w:szCs w:val="22"/>
        </w:rPr>
        <w:t xml:space="preserve">set forth financial information of the Issuer (other than financial information included in a report described in clause (i) of the definition of "Company Information" that (i) is incorporated by reference in the </w:t>
      </w:r>
      <w:r w:rsidR="00C74BBE">
        <w:rPr>
          <w:sz w:val="22"/>
          <w:szCs w:val="22"/>
        </w:rPr>
        <w:t>Offering Materials</w:t>
      </w:r>
      <w:r w:rsidR="00BF741A" w:rsidRPr="00927C0A">
        <w:rPr>
          <w:sz w:val="22"/>
          <w:szCs w:val="22"/>
        </w:rPr>
        <w:t xml:space="preserve"> or (ii) the </w:t>
      </w:r>
      <w:r w:rsidR="00C74BBE">
        <w:rPr>
          <w:sz w:val="22"/>
          <w:szCs w:val="22"/>
        </w:rPr>
        <w:t>Offering Materials</w:t>
      </w:r>
      <w:r w:rsidR="00BF741A" w:rsidRPr="00927C0A">
        <w:rPr>
          <w:sz w:val="22"/>
          <w:szCs w:val="22"/>
        </w:rPr>
        <w:t xml:space="preserve"> expressly state is being made available to holders and prospective purchasers of the Notes but is not otherwise set forth therein),</w:t>
      </w:r>
      <w:r w:rsidR="00BF741A">
        <w:rPr>
          <w:sz w:val="22"/>
          <w:szCs w:val="22"/>
        </w:rPr>
        <w:t xml:space="preserve"> the Issuer </w:t>
      </w:r>
      <w:r w:rsidR="00984418" w:rsidRPr="00984418">
        <w:rPr>
          <w:sz w:val="22"/>
          <w:szCs w:val="22"/>
        </w:rPr>
        <w:t xml:space="preserve">and the Guarantor </w:t>
      </w:r>
      <w:r w:rsidR="00BF741A">
        <w:rPr>
          <w:sz w:val="22"/>
          <w:szCs w:val="22"/>
        </w:rPr>
        <w:t xml:space="preserve">shall review, amend and supplement the </w:t>
      </w:r>
      <w:r w:rsidR="00D67C10">
        <w:rPr>
          <w:sz w:val="22"/>
          <w:szCs w:val="22"/>
        </w:rPr>
        <w:t>Offering Materials</w:t>
      </w:r>
      <w:r w:rsidR="00BF741A">
        <w:rPr>
          <w:sz w:val="22"/>
          <w:szCs w:val="22"/>
        </w:rPr>
        <w:t xml:space="preserve"> on a periodic basis, but no less than at least once annually, to incorporate </w:t>
      </w:r>
      <w:r w:rsidR="00BF741A">
        <w:rPr>
          <w:color w:val="000000"/>
          <w:sz w:val="22"/>
          <w:szCs w:val="22"/>
        </w:rPr>
        <w:t xml:space="preserve">current financial information of the Issuer </w:t>
      </w:r>
      <w:r w:rsidR="00984418" w:rsidRPr="00984418">
        <w:rPr>
          <w:color w:val="000000"/>
          <w:sz w:val="22"/>
          <w:szCs w:val="22"/>
        </w:rPr>
        <w:t xml:space="preserve">and the Guarantor </w:t>
      </w:r>
      <w:r w:rsidR="00BF741A">
        <w:rPr>
          <w:sz w:val="22"/>
          <w:szCs w:val="22"/>
        </w:rPr>
        <w:t xml:space="preserve">to the extent necessary to ensure that the information provided in the </w:t>
      </w:r>
      <w:r w:rsidR="00D67C10">
        <w:rPr>
          <w:sz w:val="22"/>
          <w:szCs w:val="22"/>
        </w:rPr>
        <w:t>Offering Materials</w:t>
      </w:r>
      <w:r w:rsidR="00BF741A">
        <w:rPr>
          <w:sz w:val="22"/>
          <w:szCs w:val="22"/>
        </w:rPr>
        <w:t xml:space="preserve"> is accurate and complete</w:t>
      </w:r>
      <w:r w:rsidR="00BF741A">
        <w:t>.</w:t>
      </w:r>
    </w:p>
    <w:p w14:paraId="76D511A1" w14:textId="77777777" w:rsidR="00BF741A" w:rsidRDefault="00BF741A">
      <w:pPr>
        <w:pStyle w:val="SASubhd1"/>
        <w:spacing w:after="0"/>
        <w:rPr>
          <w:bCs/>
          <w:sz w:val="24"/>
        </w:rPr>
      </w:pPr>
      <w:r>
        <w:rPr>
          <w:bCs/>
          <w:sz w:val="24"/>
        </w:rPr>
        <w:t>5.</w:t>
      </w:r>
      <w:r>
        <w:rPr>
          <w:bCs/>
          <w:sz w:val="24"/>
        </w:rPr>
        <w:tab/>
        <w:t>Indemnification and Contribution.</w:t>
      </w:r>
    </w:p>
    <w:p w14:paraId="671236D6" w14:textId="31257C83" w:rsidR="00BF741A" w:rsidRDefault="00BF741A" w:rsidP="00D2221C">
      <w:pPr>
        <w:pStyle w:val="SAtext"/>
        <w:numPr>
          <w:ilvl w:val="1"/>
          <w:numId w:val="8"/>
        </w:numPr>
        <w:tabs>
          <w:tab w:val="left" w:pos="810"/>
        </w:tabs>
        <w:spacing w:before="0"/>
        <w:ind w:left="806" w:hanging="446"/>
      </w:pPr>
      <w:r>
        <w:t xml:space="preserve">The Issuer </w:t>
      </w:r>
      <w:r w:rsidR="00984418" w:rsidRPr="00984418">
        <w:t>and the Guarantor</w:t>
      </w:r>
      <w:r w:rsidR="00984418">
        <w:t xml:space="preserve">, jointly and severally, </w:t>
      </w:r>
      <w:r>
        <w:t xml:space="preserve">will indemnify and hold harmless the Dealer, each individual, corporation, partnership, trust, association or other entity controlling the Dealer, any affiliate of the Dealer or any such controlling entity and their respective directors, officers, employees, partners, incorporators, shareholders, servants, trustees and agents (hereinafter the “Indemnitees”) against any and all liabilities, penalties, suits, causes of action, losses, damages, claims, costs and expenses (including, without limitation, fees and disbursements of counsel) or judgments of whatever kind or nature (each a “Claim”), imposed upon, incurred by or asserted against the Indemnitees arising out of or based upon (i) any allegation that the </w:t>
      </w:r>
      <w:r w:rsidR="00D67C10">
        <w:t>Offering Materials</w:t>
      </w:r>
      <w:r>
        <w:t xml:space="preserve">, the Company Information or any information provided by the Issuer </w:t>
      </w:r>
      <w:r w:rsidR="00984418">
        <w:t xml:space="preserve">or the Guarantor </w:t>
      </w:r>
      <w:r>
        <w:t xml:space="preserve">to the Dealer included (as of any relevant time) or includes an untrue statement of a material fact or omitted (as of any relevant time) or omits to state any material fact necessary to make the statements therein, in light of the circumstances under which they were made, not misleading or (ii) the breach by the Issuer </w:t>
      </w:r>
      <w:r w:rsidR="00984418">
        <w:t xml:space="preserve">or the Guarantor </w:t>
      </w:r>
      <w:r>
        <w:t xml:space="preserve">of any agreement, covenant or representation made in or pursuant to this Agreement.  This indemnification shall not apply to the extent that the Claim arises out of or is based upon Dealer Information. </w:t>
      </w:r>
    </w:p>
    <w:p w14:paraId="40CE9891" w14:textId="2203CD9E" w:rsidR="002A25FD" w:rsidRDefault="002A25FD" w:rsidP="00041B42">
      <w:pPr>
        <w:pStyle w:val="SAtext"/>
        <w:numPr>
          <w:ilvl w:val="1"/>
          <w:numId w:val="8"/>
        </w:numPr>
        <w:tabs>
          <w:tab w:val="left" w:pos="810"/>
        </w:tabs>
        <w:spacing w:before="0"/>
        <w:ind w:left="806" w:hanging="446"/>
      </w:pPr>
      <w:r>
        <w:t xml:space="preserve">The Issuer </w:t>
      </w:r>
      <w:r w:rsidR="00984418">
        <w:t>and the Guarantor</w:t>
      </w:r>
      <w:r w:rsidR="00720DEE">
        <w:t>, jointly and severally,</w:t>
      </w:r>
      <w:r w:rsidR="00984418">
        <w:t xml:space="preserve"> </w:t>
      </w:r>
      <w:r>
        <w:t xml:space="preserve">agree to reimburse each Indemnitee for all expenses (including reasonable fees and disbursements of internal and external counsel) as they are incurred by it in connection with investigating or defending any loss, claim, damage, liability or action in respect of which indemnification may be sought under </w:t>
      </w:r>
      <w:r w:rsidR="00D04379">
        <w:t xml:space="preserve">this </w:t>
      </w:r>
      <w:r>
        <w:t>Section 5 (whether or not it is a party to any such proceedings).</w:t>
      </w:r>
    </w:p>
    <w:p w14:paraId="50BFD0EF" w14:textId="5D9C4D15" w:rsidR="00BF741A" w:rsidRDefault="002A25FD" w:rsidP="00041B42">
      <w:pPr>
        <w:pStyle w:val="SAtext"/>
        <w:numPr>
          <w:ilvl w:val="1"/>
          <w:numId w:val="8"/>
        </w:numPr>
        <w:tabs>
          <w:tab w:val="left" w:pos="810"/>
        </w:tabs>
        <w:spacing w:before="0"/>
        <w:ind w:left="806" w:hanging="446"/>
      </w:pPr>
      <w:r>
        <w:t>Promptly after receipt by an Indemnitee of notice of the existence of a Claim, such Indemnitee will, if a claim in respect thereof is to be made against the Issuer</w:t>
      </w:r>
      <w:r w:rsidR="00984418">
        <w:t xml:space="preserve"> or the Guarantor</w:t>
      </w:r>
      <w:r>
        <w:t>, notify the Issuer</w:t>
      </w:r>
      <w:r w:rsidR="00984418">
        <w:t xml:space="preserve"> or the Guarantor</w:t>
      </w:r>
      <w:r w:rsidR="00720DEE">
        <w:t xml:space="preserve"> </w:t>
      </w:r>
      <w:r>
        <w:t xml:space="preserve">in writing of the existence thereof; provided that (i) the omission </w:t>
      </w:r>
      <w:r w:rsidR="00A71166">
        <w:t xml:space="preserve">to </w:t>
      </w:r>
      <w:r>
        <w:t xml:space="preserve">so notify the Issuer </w:t>
      </w:r>
      <w:r w:rsidR="00984418">
        <w:t>or the Guarantor</w:t>
      </w:r>
      <w:r w:rsidR="00720DEE">
        <w:t xml:space="preserve"> </w:t>
      </w:r>
      <w:r>
        <w:t xml:space="preserve">will not relieve </w:t>
      </w:r>
      <w:r w:rsidR="00720DEE">
        <w:t>it</w:t>
      </w:r>
      <w:r w:rsidR="00984418">
        <w:t xml:space="preserve"> </w:t>
      </w:r>
      <w:r>
        <w:t xml:space="preserve">from any </w:t>
      </w:r>
      <w:r>
        <w:lastRenderedPageBreak/>
        <w:t xml:space="preserve">liability which it may have hereunder unless and except to the extent it did not otherwise learn of such Claim and such failure results in the forfeiture by </w:t>
      </w:r>
      <w:r w:rsidR="00720DEE">
        <w:t xml:space="preserve">it </w:t>
      </w:r>
      <w:r>
        <w:t xml:space="preserve"> of substantial rights and defenses, and (ii) the omission to </w:t>
      </w:r>
      <w:r w:rsidR="00520B1F">
        <w:t xml:space="preserve">so </w:t>
      </w:r>
      <w:r>
        <w:t xml:space="preserve">notify the Issuer </w:t>
      </w:r>
      <w:r w:rsidR="00720DEE">
        <w:t xml:space="preserve">or the Guarantor </w:t>
      </w:r>
      <w:r>
        <w:t xml:space="preserve">will not relieve </w:t>
      </w:r>
      <w:r w:rsidR="00720DEE">
        <w:t xml:space="preserve">it </w:t>
      </w:r>
      <w:r>
        <w:t xml:space="preserve">from liability which it may have to an Indemnitee otherwise than on account of this indemnity agreement.  In case any such Claim is made against any Indemnitee and it notifies the Issuer </w:t>
      </w:r>
      <w:r w:rsidR="00720DEE">
        <w:t xml:space="preserve">or the Guarantor </w:t>
      </w:r>
      <w:r>
        <w:t xml:space="preserve">of the existence thereof, the Issuer </w:t>
      </w:r>
      <w:r w:rsidR="00720DEE">
        <w:t xml:space="preserve">and the Guarantor </w:t>
      </w:r>
      <w:r>
        <w:t xml:space="preserve">will be entitled to participate therein, and to the extent that it may elect by written notice delivered to the Indemnitee, to assume the defense thereof, with counsel reasonably satisfactory to such Indemnitee; provided that if the defendants in any such Claim include both the Indemnitee and </w:t>
      </w:r>
      <w:r w:rsidR="00720DEE">
        <w:t xml:space="preserve">either </w:t>
      </w:r>
      <w:r>
        <w:t>the Issuer</w:t>
      </w:r>
      <w:r w:rsidR="00720DEE">
        <w:t xml:space="preserve"> or the Guarantor</w:t>
      </w:r>
      <w:r>
        <w:t>, and the Indemnitee shall have concluded that there may be legal defenses available to it which are different from or additional to those available to the Issuer</w:t>
      </w:r>
      <w:r w:rsidR="00720DEE">
        <w:t xml:space="preserve"> or the Guarantor</w:t>
      </w:r>
      <w:r>
        <w:t xml:space="preserve">, </w:t>
      </w:r>
      <w:r w:rsidR="00720DEE">
        <w:t xml:space="preserve">neither </w:t>
      </w:r>
      <w:r>
        <w:t xml:space="preserve">the Issuer </w:t>
      </w:r>
      <w:r w:rsidR="00720DEE">
        <w:t xml:space="preserve">nor the Guarantor </w:t>
      </w:r>
      <w:r>
        <w:t xml:space="preserve">shall have the right to direct the defense of such Claim on behalf of such Indemnitee, and the Indemnitee shall have the right to select separate counsel to assert such legal defenses on behalf of such Indemnitee.  Upon receipt of notice from the Issuer to such Indemnitee of the election </w:t>
      </w:r>
      <w:r w:rsidR="00520B1F">
        <w:t xml:space="preserve">of the Issuer and the Guarantor </w:t>
      </w:r>
      <w:r w:rsidR="00A71166">
        <w:t xml:space="preserve">to </w:t>
      </w:r>
      <w:r>
        <w:t xml:space="preserve">so assume the defense of such Claim and approval by the Indemnitee of counsel, the Issuer </w:t>
      </w:r>
      <w:r w:rsidR="00520B1F">
        <w:t xml:space="preserve">and the Guarantor </w:t>
      </w:r>
      <w:r>
        <w:t>will not be liable to such Indemnitee for expenses incurred thereafter by the Indemnitee in connection with the defense thereof (other than reasonable costs of investigation) unless (i) the Indemnitee shall have employed separate counsel in connection with the assertion of legal defenses in accordance with the proviso to the next preceding sentence (it being understood, however, that</w:t>
      </w:r>
      <w:r w:rsidR="00F04B02">
        <w:t xml:space="preserve"> neither</w:t>
      </w:r>
      <w:r>
        <w:t xml:space="preserve"> the Issuer </w:t>
      </w:r>
      <w:r w:rsidR="00F04B02">
        <w:t xml:space="preserve">nor the Guarantor </w:t>
      </w:r>
      <w:r>
        <w:t xml:space="preserve">shall be liable for the expenses of more than one separate counsel (in addition to any local counsel in the jurisdiction in which any Claim is brought), approved by the Dealer, representing the Indemnitee who is party to such Claim), (ii) the Issuer </w:t>
      </w:r>
      <w:r w:rsidR="00F04B02">
        <w:t xml:space="preserve">and the Guarantor </w:t>
      </w:r>
      <w:r>
        <w:t xml:space="preserve">shall </w:t>
      </w:r>
      <w:r w:rsidR="00F04B02">
        <w:t xml:space="preserve">not </w:t>
      </w:r>
      <w:r>
        <w:t xml:space="preserve">have employed counsel reasonably satisfactory to the Indemnitee to represent the Indemnitee within a reasonable time after notice of existence of the Claim or (iii) the Issuer </w:t>
      </w:r>
      <w:r w:rsidR="00F04B02">
        <w:t xml:space="preserve">or the Guarantor </w:t>
      </w:r>
      <w:r>
        <w:t xml:space="preserve">has authorized in writing the employment of counsel for the Indemnitee.  The indemnity, reimbursement and contribution obligations of the Issuer </w:t>
      </w:r>
      <w:r w:rsidR="00F04B02">
        <w:t xml:space="preserve">and the Guarantor </w:t>
      </w:r>
      <w:r>
        <w:t xml:space="preserve">hereunder shall be in addition to any other liability the Issuer </w:t>
      </w:r>
      <w:r w:rsidR="00520B1F">
        <w:t xml:space="preserve">or the Guarantor </w:t>
      </w:r>
      <w:r>
        <w:t>may otherwise have to an Indemnitee and shall be binding upon and inure to the benefit of any successors, assigns, heirs and personal representatives of the Issuer</w:t>
      </w:r>
      <w:r w:rsidR="00F04B02">
        <w:t xml:space="preserve">, the Guarantor </w:t>
      </w:r>
      <w:r>
        <w:t xml:space="preserve">and any Indemnitee.  </w:t>
      </w:r>
      <w:r w:rsidR="00F04B02">
        <w:t>Each of t</w:t>
      </w:r>
      <w:r>
        <w:t>he Issuer</w:t>
      </w:r>
      <w:r w:rsidR="00F04B02">
        <w:t xml:space="preserve"> and the Guarantor</w:t>
      </w:r>
      <w:r>
        <w:t xml:space="preserve"> agrees that without the Dealer’s prior written consent, it will not settle, compromise or consent to the entry of any judgment in any Claim in respect of which indemnification may be sought under the indemnification provision of the Agreement (whether or not the Dealer or any other Indemnitee is an actual or potential party to such Claim), unless such settlement, compromise or consent (i) includes an unconditional release of each Indemnitee from all liability arising out of such Claim and (ii) does not include a statement as to or an admission of fault, culpability or failure to act, by or on behalf of any Indemnitee.</w:t>
      </w:r>
    </w:p>
    <w:p w14:paraId="69BF4DFE" w14:textId="71EDA03E" w:rsidR="00BF741A" w:rsidRDefault="00BF741A" w:rsidP="00041B42">
      <w:pPr>
        <w:pStyle w:val="SAtext"/>
        <w:numPr>
          <w:ilvl w:val="1"/>
          <w:numId w:val="8"/>
        </w:numPr>
        <w:tabs>
          <w:tab w:val="left" w:pos="810"/>
        </w:tabs>
        <w:spacing w:before="0"/>
        <w:ind w:left="806" w:hanging="446"/>
      </w:pPr>
      <w:r>
        <w:t xml:space="preserve">In order to provide for just and equitable contribution in circumstances in which the indemnification provided for in this Section 5 is held to be unavailable or insufficient to hold harmless the Indemnitees, although applicable in accordance with the terms of this Section 5, the Issuer </w:t>
      </w:r>
      <w:r w:rsidR="00F04B02">
        <w:t xml:space="preserve">and the Guarantor, jointly and severally, </w:t>
      </w:r>
      <w:r>
        <w:t xml:space="preserve">shall contribute to the aggregate costs incurred by the Dealer </w:t>
      </w:r>
      <w:r w:rsidR="00F001EF" w:rsidRPr="00620316">
        <w:rPr>
          <w:szCs w:val="22"/>
        </w:rPr>
        <w:t>and its related Indemnitees</w:t>
      </w:r>
      <w:r w:rsidR="00F001EF">
        <w:rPr>
          <w:rFonts w:ascii="Arial" w:hAnsi="Arial" w:cs="Arial"/>
          <w:sz w:val="20"/>
        </w:rPr>
        <w:t xml:space="preserve"> </w:t>
      </w:r>
      <w:r>
        <w:t>in connection with any Claim in the proportion of the respective economic interests of the Issuer</w:t>
      </w:r>
      <w:r w:rsidR="00F04B02">
        <w:t>, the Guarantor</w:t>
      </w:r>
      <w:r>
        <w:t xml:space="preserve"> and the Dealer</w:t>
      </w:r>
      <w:r w:rsidR="00F001EF">
        <w:t xml:space="preserve"> </w:t>
      </w:r>
      <w:r w:rsidR="00F001EF" w:rsidRPr="00620316">
        <w:rPr>
          <w:szCs w:val="22"/>
        </w:rPr>
        <w:t>and its related Indemnitees</w:t>
      </w:r>
      <w:r w:rsidRPr="004017F8">
        <w:rPr>
          <w:szCs w:val="22"/>
        </w:rPr>
        <w:t>;</w:t>
      </w:r>
      <w:r>
        <w:t xml:space="preserve"> provided, however, that such contribution by the Issuer</w:t>
      </w:r>
      <w:r w:rsidR="00F04B02">
        <w:t xml:space="preserve"> and the Guarantor</w:t>
      </w:r>
      <w:r>
        <w:t xml:space="preserve"> shall be in an amount such that the aggregate costs incurred by </w:t>
      </w:r>
      <w:r w:rsidR="009E6C4E">
        <w:t>the</w:t>
      </w:r>
      <w:r w:rsidR="007475CA">
        <w:t xml:space="preserve"> </w:t>
      </w:r>
      <w:r>
        <w:t xml:space="preserve">Dealer </w:t>
      </w:r>
      <w:r w:rsidR="007475CA">
        <w:t xml:space="preserve">and its related </w:t>
      </w:r>
      <w:r w:rsidR="009E6C4E">
        <w:t>I</w:t>
      </w:r>
      <w:r w:rsidR="007475CA">
        <w:t xml:space="preserve">ndemnitees </w:t>
      </w:r>
      <w:r>
        <w:t xml:space="preserve">do not exceed the aggregate of the commissions and fees </w:t>
      </w:r>
      <w:r w:rsidR="00F30F7A">
        <w:t xml:space="preserve">actually received </w:t>
      </w:r>
      <w:r>
        <w:t xml:space="preserve">by </w:t>
      </w:r>
      <w:r w:rsidR="0067604D">
        <w:t>the</w:t>
      </w:r>
      <w:r w:rsidR="007475CA">
        <w:t xml:space="preserve"> </w:t>
      </w:r>
      <w:r>
        <w:t xml:space="preserve">Dealer hereunder with respect to the issue or issues of Notes to which such Claim relates.  The respective economic interests shall be calculated by </w:t>
      </w:r>
      <w:r>
        <w:lastRenderedPageBreak/>
        <w:t>reference to the aggregate proceeds to the Issuer of the Notes issued hereunder and the aggregate commissions and fees earned by the Dealer hereunder.</w:t>
      </w:r>
    </w:p>
    <w:p w14:paraId="6B1FFC10" w14:textId="77777777" w:rsidR="00BF741A" w:rsidRDefault="00BF741A">
      <w:pPr>
        <w:pStyle w:val="SASubhd1"/>
        <w:spacing w:after="0"/>
        <w:rPr>
          <w:bCs/>
          <w:sz w:val="24"/>
        </w:rPr>
      </w:pPr>
      <w:r>
        <w:rPr>
          <w:bCs/>
          <w:sz w:val="24"/>
        </w:rPr>
        <w:t>6.</w:t>
      </w:r>
      <w:r>
        <w:rPr>
          <w:bCs/>
          <w:sz w:val="24"/>
        </w:rPr>
        <w:tab/>
        <w:t>Definitions.</w:t>
      </w:r>
    </w:p>
    <w:p w14:paraId="4515D624" w14:textId="7F4693BE" w:rsidR="009E6C6D" w:rsidRDefault="009E6C6D" w:rsidP="001B3727">
      <w:pPr>
        <w:pStyle w:val="SAtext"/>
        <w:numPr>
          <w:ilvl w:val="1"/>
          <w:numId w:val="9"/>
        </w:numPr>
        <w:tabs>
          <w:tab w:val="clear" w:pos="360"/>
          <w:tab w:val="left" w:pos="810"/>
        </w:tabs>
        <w:spacing w:before="0"/>
        <w:ind w:left="810" w:hanging="450"/>
      </w:pPr>
      <w:r>
        <w:t>“</w:t>
      </w:r>
      <w:r w:rsidRPr="009E6C6D">
        <w:t xml:space="preserve">BHC Act Affiliate” </w:t>
      </w:r>
      <w:r w:rsidR="00D04379">
        <w:t>shall have</w:t>
      </w:r>
      <w:r w:rsidRPr="009E6C6D">
        <w:t xml:space="preserve"> the meaning assigned to the term “affiliate” in, and shall be interpreted in accordance with, 12 U.S.C. § 1841(k)</w:t>
      </w:r>
      <w:r w:rsidR="00D10A91">
        <w:t>.</w:t>
      </w:r>
    </w:p>
    <w:p w14:paraId="71C5054E" w14:textId="38246C0B" w:rsidR="00BF741A" w:rsidRDefault="00BF741A" w:rsidP="00D2221C">
      <w:pPr>
        <w:pStyle w:val="SAtext"/>
        <w:numPr>
          <w:ilvl w:val="1"/>
          <w:numId w:val="9"/>
        </w:numPr>
        <w:tabs>
          <w:tab w:val="left" w:pos="810"/>
        </w:tabs>
        <w:spacing w:before="0"/>
        <w:ind w:left="806" w:hanging="446"/>
      </w:pPr>
      <w:r>
        <w:t>“Bribery Act” shall have the meaning set forth in Section 2.1</w:t>
      </w:r>
      <w:r w:rsidR="00232F7E">
        <w:t>3</w:t>
      </w:r>
      <w:r>
        <w:t>.</w:t>
      </w:r>
    </w:p>
    <w:p w14:paraId="2E69868F" w14:textId="77777777" w:rsidR="00BF741A" w:rsidRDefault="00BF741A" w:rsidP="00D2221C">
      <w:pPr>
        <w:pStyle w:val="SAtext"/>
        <w:numPr>
          <w:ilvl w:val="1"/>
          <w:numId w:val="9"/>
        </w:numPr>
        <w:tabs>
          <w:tab w:val="left" w:pos="810"/>
        </w:tabs>
        <w:spacing w:before="0"/>
        <w:ind w:left="806" w:hanging="446"/>
      </w:pPr>
      <w:r>
        <w:t>“Claim” shall have the meaning set forth in Section 5.1.</w:t>
      </w:r>
    </w:p>
    <w:p w14:paraId="215BF44B" w14:textId="60F45DF7" w:rsidR="00BF741A" w:rsidRDefault="00BF741A" w:rsidP="00D2221C">
      <w:pPr>
        <w:pStyle w:val="SAtext"/>
        <w:numPr>
          <w:ilvl w:val="1"/>
          <w:numId w:val="9"/>
        </w:numPr>
        <w:tabs>
          <w:tab w:val="left" w:pos="810"/>
        </w:tabs>
        <w:ind w:left="810" w:hanging="450"/>
      </w:pPr>
      <w:r>
        <w:t xml:space="preserve">“Company Information” at any given time shall mean the </w:t>
      </w:r>
      <w:r w:rsidR="00D67C10">
        <w:t xml:space="preserve">Offering Materials </w:t>
      </w:r>
      <w:r>
        <w:t xml:space="preserve">together with, to the extent applicable, (i) the Issuer’s most recent report on Form 10-K filed with the SEC and each report on Form 10-Q or 8-K filed by the Issuer with the SEC since the </w:t>
      </w:r>
      <w:r w:rsidR="00F545D0">
        <w:t xml:space="preserve">end of the </w:t>
      </w:r>
      <w:r w:rsidR="007F528E">
        <w:t>fiscal</w:t>
      </w:r>
      <w:r w:rsidR="00F545D0">
        <w:t xml:space="preserve"> year covered by the </w:t>
      </w:r>
      <w:r>
        <w:t xml:space="preserve">most recent Form 10-K, (ii) </w:t>
      </w:r>
      <w:r w:rsidR="0078799A">
        <w:t xml:space="preserve">Guarantor’s most recent report on Form 10-K filed with the SEC and each report on Form 10-Q or 8-K filed by the Guarantor with the SEC since the </w:t>
      </w:r>
      <w:r w:rsidR="007F528E">
        <w:t>end of the fiscal year cover</w:t>
      </w:r>
      <w:r w:rsidR="0059192A">
        <w:t>ed by t</w:t>
      </w:r>
      <w:r w:rsidR="007F528E">
        <w:t xml:space="preserve">he </w:t>
      </w:r>
      <w:r w:rsidR="0078799A">
        <w:t xml:space="preserve">most recent form 10-K, (iii) </w:t>
      </w:r>
      <w:r>
        <w:t xml:space="preserve">the Issuer’s </w:t>
      </w:r>
      <w:r w:rsidR="00520B1F">
        <w:t xml:space="preserve">and the Guarantor’s </w:t>
      </w:r>
      <w:r>
        <w:t xml:space="preserve">most recent annual audited financial statements and each interim financial statement or report prepared subsequent thereto, if not included in item (i) </w:t>
      </w:r>
      <w:r w:rsidR="0078799A">
        <w:t xml:space="preserve">or (ii) </w:t>
      </w:r>
      <w:r>
        <w:t>above, (i</w:t>
      </w:r>
      <w:r w:rsidR="0078799A">
        <w:t>v</w:t>
      </w:r>
      <w:r>
        <w:t xml:space="preserve">) the Issuer’s and </w:t>
      </w:r>
      <w:r w:rsidR="0078799A">
        <w:t>the Guarantor’s and their</w:t>
      </w:r>
      <w:r>
        <w:t xml:space="preserve"> affiliates’ other publicly available recent reports, including, but not limited to, any publicly available filings or reports provided to their respective shareholders, (v) any other information or disclosure prepared pursuant to Section 4.3 hereof and (v</w:t>
      </w:r>
      <w:r w:rsidR="0078799A">
        <w:t>i</w:t>
      </w:r>
      <w:r>
        <w:t xml:space="preserve">) any information prepared or approved by the Issuer </w:t>
      </w:r>
      <w:r w:rsidR="0078799A">
        <w:t xml:space="preserve">or the Guarantor </w:t>
      </w:r>
      <w:r>
        <w:t>for dissemination to investors or potential investors in the Notes.</w:t>
      </w:r>
    </w:p>
    <w:p w14:paraId="5FB79AA4" w14:textId="6D68F675" w:rsidR="00437C06" w:rsidRDefault="0071688A" w:rsidP="00A71166">
      <w:pPr>
        <w:pStyle w:val="SAtext"/>
        <w:numPr>
          <w:ilvl w:val="1"/>
          <w:numId w:val="9"/>
        </w:numPr>
        <w:tabs>
          <w:tab w:val="clear" w:pos="1530"/>
          <w:tab w:val="left" w:pos="810"/>
          <w:tab w:val="num" w:pos="1440"/>
        </w:tabs>
        <w:ind w:left="810" w:hanging="450"/>
      </w:pPr>
      <w:r>
        <w:t>“</w:t>
      </w:r>
      <w:r w:rsidR="00437C06">
        <w:t>Covered Entity</w:t>
      </w:r>
      <w:r>
        <w:t>”</w:t>
      </w:r>
      <w:r w:rsidR="00437C06">
        <w:t xml:space="preserve"> </w:t>
      </w:r>
      <w:r w:rsidR="00D04379">
        <w:t xml:space="preserve">shall </w:t>
      </w:r>
      <w:r w:rsidR="00437C06">
        <w:t>mean any of the following:</w:t>
      </w:r>
    </w:p>
    <w:p w14:paraId="21B464AA" w14:textId="6D177842" w:rsidR="00437C06" w:rsidRPr="00A71166" w:rsidRDefault="00437C06" w:rsidP="001B3727">
      <w:pPr>
        <w:pStyle w:val="Legal3L4"/>
        <w:ind w:left="1620"/>
        <w:rPr>
          <w:sz w:val="22"/>
          <w:szCs w:val="22"/>
        </w:rPr>
      </w:pPr>
      <w:r w:rsidRPr="00A71166">
        <w:rPr>
          <w:sz w:val="22"/>
          <w:szCs w:val="22"/>
        </w:rPr>
        <w:t xml:space="preserve">a </w:t>
      </w:r>
      <w:r w:rsidR="0071688A" w:rsidRPr="00A71166">
        <w:rPr>
          <w:sz w:val="22"/>
          <w:szCs w:val="22"/>
        </w:rPr>
        <w:t>“</w:t>
      </w:r>
      <w:r w:rsidRPr="00A71166">
        <w:rPr>
          <w:sz w:val="22"/>
          <w:szCs w:val="22"/>
        </w:rPr>
        <w:t>covered entity</w:t>
      </w:r>
      <w:r w:rsidR="0071688A" w:rsidRPr="00A71166">
        <w:rPr>
          <w:sz w:val="22"/>
          <w:szCs w:val="22"/>
        </w:rPr>
        <w:t>”</w:t>
      </w:r>
      <w:r w:rsidRPr="00A71166">
        <w:rPr>
          <w:sz w:val="22"/>
          <w:szCs w:val="22"/>
        </w:rPr>
        <w:t xml:space="preserve"> as that term is defined in, and interpreted in accordance with, 12 C.F.R. § 252.82(b);</w:t>
      </w:r>
    </w:p>
    <w:p w14:paraId="2086947E" w14:textId="5667FA53" w:rsidR="00437C06" w:rsidRPr="00A71166" w:rsidRDefault="00437C06" w:rsidP="001B3727">
      <w:pPr>
        <w:pStyle w:val="Legal3L4"/>
        <w:ind w:left="1620"/>
        <w:rPr>
          <w:sz w:val="22"/>
          <w:szCs w:val="22"/>
        </w:rPr>
      </w:pPr>
      <w:r w:rsidRPr="00A71166">
        <w:rPr>
          <w:sz w:val="22"/>
          <w:szCs w:val="22"/>
        </w:rPr>
        <w:t xml:space="preserve">a </w:t>
      </w:r>
      <w:r w:rsidR="0071688A" w:rsidRPr="00A71166">
        <w:rPr>
          <w:sz w:val="22"/>
          <w:szCs w:val="22"/>
        </w:rPr>
        <w:t>“</w:t>
      </w:r>
      <w:r w:rsidRPr="00A71166">
        <w:rPr>
          <w:sz w:val="22"/>
          <w:szCs w:val="22"/>
        </w:rPr>
        <w:t>covered bank</w:t>
      </w:r>
      <w:r w:rsidR="0071688A" w:rsidRPr="00A71166">
        <w:rPr>
          <w:sz w:val="22"/>
          <w:szCs w:val="22"/>
        </w:rPr>
        <w:t>”</w:t>
      </w:r>
      <w:r w:rsidRPr="00A71166">
        <w:rPr>
          <w:sz w:val="22"/>
          <w:szCs w:val="22"/>
        </w:rPr>
        <w:t xml:space="preserve"> as that term is defined in, and interpreted in accordance with, 12 C.F.R. § 47.3(b); or</w:t>
      </w:r>
    </w:p>
    <w:p w14:paraId="65FB6B3B" w14:textId="58BDAACB" w:rsidR="00437C06" w:rsidRPr="00A71166" w:rsidRDefault="00437C06" w:rsidP="001B3727">
      <w:pPr>
        <w:pStyle w:val="Legal3L4"/>
        <w:ind w:left="1620"/>
        <w:rPr>
          <w:sz w:val="22"/>
          <w:szCs w:val="22"/>
        </w:rPr>
      </w:pPr>
      <w:r w:rsidRPr="00A71166">
        <w:rPr>
          <w:sz w:val="22"/>
          <w:szCs w:val="22"/>
        </w:rPr>
        <w:t xml:space="preserve">a </w:t>
      </w:r>
      <w:r w:rsidR="0071688A" w:rsidRPr="00A71166">
        <w:rPr>
          <w:sz w:val="22"/>
          <w:szCs w:val="22"/>
        </w:rPr>
        <w:t>“</w:t>
      </w:r>
      <w:r w:rsidRPr="00A71166">
        <w:rPr>
          <w:sz w:val="22"/>
          <w:szCs w:val="22"/>
        </w:rPr>
        <w:t>covered FSI</w:t>
      </w:r>
      <w:r w:rsidR="0071688A" w:rsidRPr="00A71166">
        <w:rPr>
          <w:sz w:val="22"/>
          <w:szCs w:val="22"/>
        </w:rPr>
        <w:t>”</w:t>
      </w:r>
      <w:r w:rsidRPr="00A71166">
        <w:rPr>
          <w:sz w:val="22"/>
          <w:szCs w:val="22"/>
        </w:rPr>
        <w:t xml:space="preserve"> as that term is defined in, and interpreted in accordance with, 12 C.F.R. § 382.2(b).</w:t>
      </w:r>
    </w:p>
    <w:p w14:paraId="794D9EE1" w14:textId="56C7E5EB" w:rsidR="00BF741A" w:rsidRDefault="00BF741A" w:rsidP="008751D3">
      <w:pPr>
        <w:pStyle w:val="SAtext"/>
        <w:numPr>
          <w:ilvl w:val="1"/>
          <w:numId w:val="9"/>
        </w:numPr>
        <w:tabs>
          <w:tab w:val="left" w:pos="810"/>
        </w:tabs>
        <w:ind w:left="810" w:hanging="450"/>
        <w:jc w:val="both"/>
        <w:rPr>
          <w:szCs w:val="22"/>
        </w:rPr>
      </w:pPr>
      <w:r w:rsidRPr="00D955D3">
        <w:rPr>
          <w:szCs w:val="22"/>
        </w:rPr>
        <w:t>“Current Issuing and Paying Agent” shall have the meaning set forth in Section 7.9(</w:t>
      </w:r>
      <w:r w:rsidR="00D10A91">
        <w:rPr>
          <w:szCs w:val="22"/>
        </w:rPr>
        <w:t>a</w:t>
      </w:r>
      <w:r w:rsidRPr="00D955D3">
        <w:rPr>
          <w:szCs w:val="22"/>
        </w:rPr>
        <w:t>).</w:t>
      </w:r>
    </w:p>
    <w:p w14:paraId="31D525E2" w14:textId="77777777" w:rsidR="0060150B" w:rsidRPr="00D955D3" w:rsidRDefault="0060150B" w:rsidP="008751D3">
      <w:pPr>
        <w:pStyle w:val="SAtext"/>
        <w:numPr>
          <w:ilvl w:val="1"/>
          <w:numId w:val="9"/>
        </w:numPr>
        <w:tabs>
          <w:tab w:val="left" w:pos="810"/>
        </w:tabs>
        <w:ind w:left="810" w:hanging="450"/>
        <w:jc w:val="both"/>
        <w:rPr>
          <w:szCs w:val="22"/>
        </w:rPr>
      </w:pPr>
      <w:r w:rsidRPr="0060150B">
        <w:rPr>
          <w:szCs w:val="22"/>
        </w:rPr>
        <w:t>“Dealer” shall mean the institution designated as “Dealer” on the cover page of this Agreement.</w:t>
      </w:r>
    </w:p>
    <w:p w14:paraId="591B2A96" w14:textId="0F3D579A" w:rsidR="00BF741A" w:rsidRDefault="00BF741A" w:rsidP="00D2221C">
      <w:pPr>
        <w:pStyle w:val="SAtext"/>
        <w:numPr>
          <w:ilvl w:val="1"/>
          <w:numId w:val="9"/>
        </w:numPr>
        <w:tabs>
          <w:tab w:val="left" w:pos="810"/>
        </w:tabs>
        <w:ind w:left="810" w:hanging="450"/>
      </w:pPr>
      <w:r w:rsidRPr="00D955D3">
        <w:t>“Dealer</w:t>
      </w:r>
      <w:r>
        <w:t xml:space="preserve"> Information” shall mean material concerning the Dealer provided by the Dealer in writing expressly for inclusion in the </w:t>
      </w:r>
      <w:r w:rsidR="00E76B74">
        <w:t>Offering Materials</w:t>
      </w:r>
      <w:r>
        <w:t>.</w:t>
      </w:r>
    </w:p>
    <w:p w14:paraId="023DB462" w14:textId="7F4E131F" w:rsidR="00461594" w:rsidRDefault="00461594" w:rsidP="001B3727">
      <w:pPr>
        <w:pStyle w:val="SAtext"/>
        <w:numPr>
          <w:ilvl w:val="1"/>
          <w:numId w:val="9"/>
        </w:numPr>
        <w:tabs>
          <w:tab w:val="clear" w:pos="360"/>
          <w:tab w:val="left" w:pos="810"/>
        </w:tabs>
        <w:ind w:left="810" w:hanging="450"/>
      </w:pPr>
      <w:r w:rsidRPr="00461594">
        <w:t xml:space="preserve">“Default Right” </w:t>
      </w:r>
      <w:r w:rsidR="00D04379">
        <w:t>shall have</w:t>
      </w:r>
      <w:r w:rsidRPr="00461594">
        <w:t xml:space="preserve"> the meaning assigned to that term in, and shall be interpreted in accordance with, 12 C.F.R. §§ 252.81, 47.2 or 382.1, as applicable.</w:t>
      </w:r>
    </w:p>
    <w:p w14:paraId="1B8A20A7" w14:textId="7140833F" w:rsidR="00F673C7" w:rsidRDefault="00F673C7" w:rsidP="00D2221C">
      <w:pPr>
        <w:pStyle w:val="SAtext"/>
        <w:numPr>
          <w:ilvl w:val="1"/>
          <w:numId w:val="9"/>
        </w:numPr>
        <w:tabs>
          <w:tab w:val="left" w:pos="810"/>
        </w:tabs>
        <w:ind w:left="810" w:hanging="450"/>
      </w:pPr>
      <w:r>
        <w:t>Face Amount</w:t>
      </w:r>
      <w:r w:rsidRPr="00644BF9">
        <w:t>” s</w:t>
      </w:r>
      <w:r>
        <w:t>hall mean (i) with respect to any interest</w:t>
      </w:r>
      <w:r w:rsidR="00C11237">
        <w:t>-</w:t>
      </w:r>
      <w:r>
        <w:t xml:space="preserve">bearing Note, the principal amount of such Note, and (ii) with respect to any Note sold at a discount, the amount payable with respect to such Note at the maturity thereof. </w:t>
      </w:r>
    </w:p>
    <w:p w14:paraId="1EE334C6" w14:textId="29E8110C" w:rsidR="00BF741A" w:rsidRDefault="00F673C7" w:rsidP="00D2221C">
      <w:pPr>
        <w:pStyle w:val="SAtext"/>
        <w:numPr>
          <w:ilvl w:val="1"/>
          <w:numId w:val="9"/>
        </w:numPr>
        <w:tabs>
          <w:tab w:val="left" w:pos="810"/>
        </w:tabs>
        <w:ind w:left="810" w:hanging="450"/>
      </w:pPr>
      <w:r>
        <w:t xml:space="preserve"> </w:t>
      </w:r>
      <w:r w:rsidR="00BF741A">
        <w:t>“FCPA” shall have the meaning set forth in Section 2.1</w:t>
      </w:r>
      <w:r w:rsidR="0078799A">
        <w:t>3</w:t>
      </w:r>
    </w:p>
    <w:p w14:paraId="0D6C4B93" w14:textId="77777777" w:rsidR="00BF741A" w:rsidRDefault="00BF741A" w:rsidP="00D2221C">
      <w:pPr>
        <w:pStyle w:val="SAtext"/>
        <w:numPr>
          <w:ilvl w:val="1"/>
          <w:numId w:val="9"/>
        </w:numPr>
        <w:tabs>
          <w:tab w:val="left" w:pos="810"/>
        </w:tabs>
        <w:ind w:left="810" w:hanging="450"/>
      </w:pPr>
      <w:r>
        <w:t>“Indemnitee” shall have the meaning set forth in Section 5.1.</w:t>
      </w:r>
    </w:p>
    <w:p w14:paraId="142C579E" w14:textId="77777777" w:rsidR="0060150B" w:rsidRPr="0060150B" w:rsidRDefault="0060150B" w:rsidP="00041B42">
      <w:pPr>
        <w:pStyle w:val="ListParagraph"/>
        <w:numPr>
          <w:ilvl w:val="1"/>
          <w:numId w:val="9"/>
        </w:numPr>
        <w:tabs>
          <w:tab w:val="left" w:pos="450"/>
          <w:tab w:val="num" w:pos="630"/>
        </w:tabs>
        <w:ind w:left="810" w:hanging="450"/>
        <w:rPr>
          <w:rFonts w:ascii="Times New Roman" w:hAnsi="Times New Roman"/>
          <w:sz w:val="22"/>
        </w:rPr>
      </w:pPr>
      <w:r w:rsidRPr="0060150B">
        <w:rPr>
          <w:rFonts w:ascii="Times New Roman" w:hAnsi="Times New Roman"/>
          <w:sz w:val="22"/>
        </w:rPr>
        <w:t>“Issuer” shall mean the entity designated as the “Issuer” on the cover page of this Agreement.</w:t>
      </w:r>
    </w:p>
    <w:p w14:paraId="5851E1D3" w14:textId="77777777" w:rsidR="00BF741A" w:rsidRDefault="00BF741A" w:rsidP="00D2221C">
      <w:pPr>
        <w:pStyle w:val="SAtext"/>
        <w:numPr>
          <w:ilvl w:val="1"/>
          <w:numId w:val="9"/>
        </w:numPr>
        <w:tabs>
          <w:tab w:val="left" w:pos="810"/>
        </w:tabs>
        <w:ind w:left="810" w:hanging="450"/>
      </w:pPr>
      <w:r>
        <w:lastRenderedPageBreak/>
        <w:t>“Issuing and Paying Agency Agreement” shall mean the issuing and paying agency agreement described on the cover page of this Agreement, or any replacement thereof, as such agreement may be amended or supplemented from time to time.</w:t>
      </w:r>
    </w:p>
    <w:p w14:paraId="58513916" w14:textId="77777777" w:rsidR="00BF741A" w:rsidRDefault="00BF741A" w:rsidP="00D2221C">
      <w:pPr>
        <w:pStyle w:val="SAtext"/>
        <w:numPr>
          <w:ilvl w:val="1"/>
          <w:numId w:val="9"/>
        </w:numPr>
        <w:tabs>
          <w:tab w:val="left" w:pos="810"/>
        </w:tabs>
        <w:ind w:left="810" w:hanging="450"/>
      </w:pPr>
      <w:r>
        <w:t>“Issuing and Paying Agent” shall mean the party designated as such on the cover page of this Agreement, or any successor thereto or replacement thereof, as issuing and paying agent under the Issuing and Paying Agency Agreement.</w:t>
      </w:r>
    </w:p>
    <w:p w14:paraId="3F07EE3D" w14:textId="77777777" w:rsidR="007C207F" w:rsidRDefault="007C207F" w:rsidP="00D2221C">
      <w:pPr>
        <w:pStyle w:val="SAtext"/>
        <w:numPr>
          <w:ilvl w:val="1"/>
          <w:numId w:val="9"/>
        </w:numPr>
        <w:tabs>
          <w:tab w:val="left" w:pos="810"/>
        </w:tabs>
        <w:ind w:left="810" w:hanging="450"/>
      </w:pPr>
      <w:r>
        <w:t>“Master Note” shall have the meaning set forth in Section 1.4.</w:t>
      </w:r>
    </w:p>
    <w:p w14:paraId="2E4B6D8F" w14:textId="33235063" w:rsidR="00294548" w:rsidRPr="00294548" w:rsidRDefault="00294548" w:rsidP="00041B42">
      <w:pPr>
        <w:pStyle w:val="SAtext"/>
        <w:numPr>
          <w:ilvl w:val="1"/>
          <w:numId w:val="9"/>
        </w:numPr>
        <w:tabs>
          <w:tab w:val="left" w:pos="810"/>
        </w:tabs>
        <w:ind w:left="810" w:hanging="450"/>
      </w:pPr>
      <w:r w:rsidRPr="00294548">
        <w:t xml:space="preserve">“Maximum Amount” shall mean the </w:t>
      </w:r>
      <w:r w:rsidR="00FC7F28">
        <w:t xml:space="preserve">maximum of the </w:t>
      </w:r>
      <w:r w:rsidRPr="00294548">
        <w:t xml:space="preserve">aggregate </w:t>
      </w:r>
      <w:r w:rsidR="0084264D">
        <w:t>F</w:t>
      </w:r>
      <w:r w:rsidR="0084264D" w:rsidRPr="00294548">
        <w:t>ace</w:t>
      </w:r>
      <w:r w:rsidR="0084264D">
        <w:t xml:space="preserve"> Amount </w:t>
      </w:r>
      <w:r w:rsidRPr="00294548">
        <w:t xml:space="preserve">of the </w:t>
      </w:r>
      <w:r w:rsidR="00141A7C">
        <w:t xml:space="preserve">Issuer’s </w:t>
      </w:r>
      <w:r w:rsidRPr="00294548">
        <w:t xml:space="preserve">Notes permitted to be outstanding </w:t>
      </w:r>
      <w:r w:rsidR="00BB7858">
        <w:t xml:space="preserve">under the Program </w:t>
      </w:r>
      <w:r w:rsidRPr="00294548">
        <w:t>at any time</w:t>
      </w:r>
      <w:r w:rsidR="00141A7C">
        <w:t xml:space="preserve"> (whether sold through the Dealer or Other Dealers</w:t>
      </w:r>
      <w:r w:rsidR="00BB7858">
        <w:t>)</w:t>
      </w:r>
      <w:r w:rsidRPr="00294548">
        <w:t xml:space="preserve">, which such </w:t>
      </w:r>
      <w:r w:rsidR="00141A7C">
        <w:t xml:space="preserve">aggregate </w:t>
      </w:r>
      <w:r w:rsidR="00B06F0E">
        <w:t>F</w:t>
      </w:r>
      <w:r w:rsidRPr="00294548">
        <w:t>ace</w:t>
      </w:r>
      <w:r w:rsidR="00141A7C">
        <w:t xml:space="preserve"> </w:t>
      </w:r>
      <w:r w:rsidR="00B06F0E">
        <w:t>A</w:t>
      </w:r>
      <w:r w:rsidR="00141A7C">
        <w:t>mount</w:t>
      </w:r>
      <w:r w:rsidRPr="00294548">
        <w:t xml:space="preserve"> shall </w:t>
      </w:r>
      <w:r w:rsidR="00C70615">
        <w:t>equal</w:t>
      </w:r>
      <w:r w:rsidRPr="00294548">
        <w:t xml:space="preserve"> $</w:t>
      </w:r>
      <w:r w:rsidR="00463B53">
        <w:t>[</w:t>
      </w:r>
      <w:r w:rsidR="00FF100F">
        <w:t>____________</w:t>
      </w:r>
      <w:r w:rsidR="00463B53">
        <w:t>]</w:t>
      </w:r>
      <w:r w:rsidRPr="00294548">
        <w:t>, unless such amount is increased by the Issuer in accordance with Section 1.8 hereof.</w:t>
      </w:r>
    </w:p>
    <w:p w14:paraId="640F0E46" w14:textId="46E2D1A0" w:rsidR="00BF741A" w:rsidRDefault="00BF741A" w:rsidP="00D2221C">
      <w:pPr>
        <w:pStyle w:val="SAtext"/>
        <w:numPr>
          <w:ilvl w:val="1"/>
          <w:numId w:val="9"/>
        </w:numPr>
        <w:tabs>
          <w:tab w:val="left" w:pos="810"/>
        </w:tabs>
        <w:ind w:left="810" w:hanging="450"/>
      </w:pPr>
      <w:r>
        <w:t>“Money Laundering Laws” shall have the meaning set forth in Section 2.1</w:t>
      </w:r>
      <w:r w:rsidR="0078799A">
        <w:t>4</w:t>
      </w:r>
      <w:r w:rsidR="0071688A">
        <w:t>.</w:t>
      </w:r>
    </w:p>
    <w:p w14:paraId="37A89A05" w14:textId="280F9192" w:rsidR="00BF741A" w:rsidRDefault="00BF741A" w:rsidP="00D2221C">
      <w:pPr>
        <w:pStyle w:val="SAtext"/>
        <w:numPr>
          <w:ilvl w:val="1"/>
          <w:numId w:val="9"/>
        </w:numPr>
        <w:tabs>
          <w:tab w:val="left" w:pos="810"/>
        </w:tabs>
        <w:ind w:left="810" w:hanging="450"/>
      </w:pPr>
      <w:r w:rsidRPr="00D955D3">
        <w:t>“</w:t>
      </w:r>
      <w:r w:rsidR="00983DC3">
        <w:t>Offering Materials</w:t>
      </w:r>
      <w:r w:rsidRPr="00D955D3">
        <w:t>” shall mean offering materials prepared in accordance with</w:t>
      </w:r>
      <w:r>
        <w:t xml:space="preserve"> Section 4 (including materials referred to therein or incorporated by reference therein, if any) </w:t>
      </w:r>
      <w:r w:rsidR="00671127">
        <w:t xml:space="preserve">which may be </w:t>
      </w:r>
      <w:r>
        <w:t>provided to purchasers and prospective purchasers of the Notes, and shall include amendments and supplements thereto which may be prepared from time to time in accordance with this Agreement (other than any amendment or supplement that has been completely superseded by a later amendment or supplement).</w:t>
      </w:r>
    </w:p>
    <w:p w14:paraId="3044E658" w14:textId="77777777" w:rsidR="00983DC3" w:rsidRPr="00294548" w:rsidRDefault="00983DC3" w:rsidP="00983DC3">
      <w:pPr>
        <w:pStyle w:val="SAtext"/>
        <w:numPr>
          <w:ilvl w:val="1"/>
          <w:numId w:val="9"/>
        </w:numPr>
        <w:tabs>
          <w:tab w:val="left" w:pos="810"/>
        </w:tabs>
        <w:ind w:left="810" w:hanging="450"/>
      </w:pPr>
      <w:r>
        <w:t xml:space="preserve">“Other Dealer” and </w:t>
      </w:r>
      <w:r w:rsidRPr="00294548">
        <w:t>“Other Dealers” shall have the meaning</w:t>
      </w:r>
      <w:r>
        <w:t>s</w:t>
      </w:r>
      <w:r w:rsidRPr="00294548">
        <w:t xml:space="preserve"> set forth in Section 1.</w:t>
      </w:r>
      <w:r>
        <w:t>2</w:t>
      </w:r>
      <w:r w:rsidRPr="00294548">
        <w:t>.</w:t>
      </w:r>
    </w:p>
    <w:p w14:paraId="7E220EEA" w14:textId="785064BA" w:rsidR="00983DC3" w:rsidRDefault="00983DC3" w:rsidP="00983DC3">
      <w:pPr>
        <w:pStyle w:val="SAtext"/>
        <w:numPr>
          <w:ilvl w:val="1"/>
          <w:numId w:val="9"/>
        </w:numPr>
        <w:tabs>
          <w:tab w:val="left" w:pos="810"/>
        </w:tabs>
        <w:ind w:left="810" w:hanging="450"/>
      </w:pPr>
      <w:r w:rsidRPr="00D955D3">
        <w:t>“Outstanding Notes” shall have the meaning set forth in Section 7.9(</w:t>
      </w:r>
      <w:r>
        <w:t>b</w:t>
      </w:r>
      <w:r w:rsidRPr="00D955D3">
        <w:t>).</w:t>
      </w:r>
    </w:p>
    <w:p w14:paraId="5A2985CF" w14:textId="0F2C98B0" w:rsidR="00F565BD" w:rsidRDefault="00F565BD" w:rsidP="00D2221C">
      <w:pPr>
        <w:pStyle w:val="SAtext"/>
        <w:numPr>
          <w:ilvl w:val="1"/>
          <w:numId w:val="9"/>
        </w:numPr>
        <w:tabs>
          <w:tab w:val="left" w:pos="810"/>
        </w:tabs>
        <w:ind w:left="810" w:hanging="450"/>
      </w:pPr>
      <w:r>
        <w:t>“Program” shall mean the commercial paper program of the Issuer as contemplated by this Agreement</w:t>
      </w:r>
      <w:r w:rsidR="00BB7858">
        <w:t xml:space="preserve"> and the Issuing and Paying Agency Agreement</w:t>
      </w:r>
      <w:r>
        <w:t>.</w:t>
      </w:r>
    </w:p>
    <w:p w14:paraId="2D71F84F" w14:textId="3E9A48DB" w:rsidR="00BF741A" w:rsidRPr="009969BA" w:rsidRDefault="00BF741A" w:rsidP="008751D3">
      <w:pPr>
        <w:pStyle w:val="SAtext"/>
        <w:numPr>
          <w:ilvl w:val="1"/>
          <w:numId w:val="9"/>
        </w:numPr>
        <w:tabs>
          <w:tab w:val="left" w:pos="810"/>
        </w:tabs>
        <w:ind w:left="810" w:hanging="450"/>
        <w:jc w:val="both"/>
        <w:rPr>
          <w:szCs w:val="22"/>
        </w:rPr>
      </w:pPr>
      <w:r>
        <w:rPr>
          <w:szCs w:val="22"/>
        </w:rPr>
        <w:t xml:space="preserve">“Replacement” </w:t>
      </w:r>
      <w:r w:rsidRPr="0004496F">
        <w:rPr>
          <w:szCs w:val="22"/>
        </w:rPr>
        <w:t>shall have the meaning set forth in Section 7.9(</w:t>
      </w:r>
      <w:r w:rsidR="0071688A">
        <w:rPr>
          <w:szCs w:val="22"/>
        </w:rPr>
        <w:t>a</w:t>
      </w:r>
      <w:r w:rsidRPr="0004496F">
        <w:rPr>
          <w:szCs w:val="22"/>
        </w:rPr>
        <w:t>).</w:t>
      </w:r>
    </w:p>
    <w:p w14:paraId="084FC612" w14:textId="3FE9CC5B" w:rsidR="00BF741A" w:rsidRPr="00D955D3" w:rsidRDefault="00BF741A" w:rsidP="008751D3">
      <w:pPr>
        <w:pStyle w:val="SAtext"/>
        <w:numPr>
          <w:ilvl w:val="1"/>
          <w:numId w:val="9"/>
        </w:numPr>
        <w:tabs>
          <w:tab w:val="left" w:pos="810"/>
        </w:tabs>
        <w:ind w:left="810" w:hanging="450"/>
        <w:jc w:val="both"/>
        <w:rPr>
          <w:szCs w:val="22"/>
        </w:rPr>
      </w:pPr>
      <w:r>
        <w:rPr>
          <w:szCs w:val="22"/>
        </w:rPr>
        <w:t>“</w:t>
      </w:r>
      <w:r w:rsidRPr="00D955D3">
        <w:rPr>
          <w:szCs w:val="22"/>
        </w:rPr>
        <w:t>Replacement Issuing and Paying Agent” shall have the meaning set forth in Section 7.9(</w:t>
      </w:r>
      <w:r w:rsidR="0071688A">
        <w:rPr>
          <w:szCs w:val="22"/>
        </w:rPr>
        <w:t>a</w:t>
      </w:r>
      <w:r w:rsidRPr="00D955D3">
        <w:rPr>
          <w:szCs w:val="22"/>
        </w:rPr>
        <w:t>).</w:t>
      </w:r>
    </w:p>
    <w:p w14:paraId="776E4C12" w14:textId="07518DE3" w:rsidR="00BF741A" w:rsidRPr="00D955D3" w:rsidRDefault="00BF741A" w:rsidP="003F1290">
      <w:pPr>
        <w:pStyle w:val="SAtext"/>
        <w:numPr>
          <w:ilvl w:val="1"/>
          <w:numId w:val="9"/>
        </w:numPr>
        <w:tabs>
          <w:tab w:val="clear" w:pos="360"/>
          <w:tab w:val="left" w:pos="810"/>
        </w:tabs>
        <w:ind w:left="810" w:hanging="450"/>
        <w:jc w:val="both"/>
        <w:rPr>
          <w:szCs w:val="22"/>
        </w:rPr>
      </w:pPr>
      <w:r w:rsidRPr="00D955D3">
        <w:rPr>
          <w:szCs w:val="22"/>
        </w:rPr>
        <w:t>“Replacement Issuing and Paying Agency Agreement” shall have the meaning set forth in Section 7.9(</w:t>
      </w:r>
      <w:r w:rsidR="0071688A">
        <w:rPr>
          <w:szCs w:val="22"/>
        </w:rPr>
        <w:t>a</w:t>
      </w:r>
      <w:r w:rsidRPr="00D955D3">
        <w:rPr>
          <w:szCs w:val="22"/>
        </w:rPr>
        <w:t>).</w:t>
      </w:r>
    </w:p>
    <w:p w14:paraId="294F9F9B" w14:textId="184E4834" w:rsidR="00BF741A" w:rsidRDefault="00BF741A" w:rsidP="00D2221C">
      <w:pPr>
        <w:pStyle w:val="SAtext"/>
        <w:numPr>
          <w:ilvl w:val="1"/>
          <w:numId w:val="9"/>
        </w:numPr>
        <w:tabs>
          <w:tab w:val="left" w:pos="900"/>
        </w:tabs>
        <w:ind w:left="900" w:hanging="540"/>
      </w:pPr>
      <w:r>
        <w:t>“Sanctioned Countries” and “Sanctioned Country” shall have the meanings set forth in Section 2.1</w:t>
      </w:r>
      <w:r w:rsidR="000B2316">
        <w:t>3</w:t>
      </w:r>
      <w:r>
        <w:t>.</w:t>
      </w:r>
    </w:p>
    <w:p w14:paraId="6EAACA2F" w14:textId="0690BFEB" w:rsidR="00BF741A" w:rsidRDefault="00BF741A" w:rsidP="00D2221C">
      <w:pPr>
        <w:pStyle w:val="SAtext"/>
        <w:numPr>
          <w:ilvl w:val="1"/>
          <w:numId w:val="9"/>
        </w:numPr>
        <w:tabs>
          <w:tab w:val="left" w:pos="900"/>
        </w:tabs>
        <w:ind w:left="900" w:hanging="540"/>
      </w:pPr>
      <w:r>
        <w:t>“Sanctioned Persons” shall have the meaning set forth in Section 2.1</w:t>
      </w:r>
      <w:r w:rsidR="0078799A">
        <w:t>5</w:t>
      </w:r>
      <w:r>
        <w:t>.</w:t>
      </w:r>
    </w:p>
    <w:p w14:paraId="291B54DA" w14:textId="7A1F5736" w:rsidR="00BF741A" w:rsidRDefault="00BF741A" w:rsidP="00D2221C">
      <w:pPr>
        <w:pStyle w:val="SAtext"/>
        <w:numPr>
          <w:ilvl w:val="1"/>
          <w:numId w:val="9"/>
        </w:numPr>
        <w:tabs>
          <w:tab w:val="left" w:pos="900"/>
        </w:tabs>
        <w:ind w:left="900" w:hanging="540"/>
      </w:pPr>
      <w:r>
        <w:t>“Sanctions” shall have the meaning set forth in Section 2.1</w:t>
      </w:r>
      <w:r w:rsidR="0078799A">
        <w:t>5</w:t>
      </w:r>
      <w:r>
        <w:t>.</w:t>
      </w:r>
    </w:p>
    <w:p w14:paraId="1892F8B4" w14:textId="77777777" w:rsidR="00BF741A" w:rsidRDefault="00BF741A" w:rsidP="00D2221C">
      <w:pPr>
        <w:pStyle w:val="SAtext"/>
        <w:numPr>
          <w:ilvl w:val="1"/>
          <w:numId w:val="9"/>
        </w:numPr>
        <w:tabs>
          <w:tab w:val="left" w:pos="900"/>
        </w:tabs>
        <w:ind w:left="900" w:hanging="540"/>
      </w:pPr>
      <w:r>
        <w:t>“SEC” shall mean the U.S. Securities and Exchange Commission.</w:t>
      </w:r>
    </w:p>
    <w:p w14:paraId="595BCC22" w14:textId="77777777" w:rsidR="00BF741A" w:rsidRDefault="00BF741A" w:rsidP="00D2221C">
      <w:pPr>
        <w:pStyle w:val="SAtext"/>
        <w:numPr>
          <w:ilvl w:val="1"/>
          <w:numId w:val="9"/>
        </w:numPr>
        <w:tabs>
          <w:tab w:val="left" w:pos="900"/>
        </w:tabs>
        <w:ind w:left="900" w:hanging="540"/>
      </w:pPr>
      <w:r>
        <w:t>“Securities Act” shall mean the U.S. Securities Act of 1933, as amended.</w:t>
      </w:r>
    </w:p>
    <w:p w14:paraId="31B31DC7" w14:textId="0E7C8703" w:rsidR="00461594" w:rsidRDefault="00461594" w:rsidP="001B3727">
      <w:pPr>
        <w:pStyle w:val="SAtext"/>
        <w:numPr>
          <w:ilvl w:val="1"/>
          <w:numId w:val="9"/>
        </w:numPr>
        <w:tabs>
          <w:tab w:val="clear" w:pos="360"/>
          <w:tab w:val="left" w:pos="900"/>
        </w:tabs>
        <w:ind w:left="900" w:hanging="540"/>
      </w:pPr>
      <w:r w:rsidRPr="00461594">
        <w:t xml:space="preserve">“U.S. Special Resolution Regime” </w:t>
      </w:r>
      <w:r w:rsidR="00D04379">
        <w:t xml:space="preserve">shall </w:t>
      </w:r>
      <w:r w:rsidRPr="00461594">
        <w:t>mean each of (i) the Federal Deposit Insurance Act and the regulations promulgated thereunder and (ii) Title II of the Dodd-Frank Wall Street Reform and Consumer Protection Act and the regulations promulgated thereunder.</w:t>
      </w:r>
    </w:p>
    <w:p w14:paraId="5A542739" w14:textId="77777777" w:rsidR="00840C57" w:rsidRDefault="00840C57" w:rsidP="00A71166">
      <w:pPr>
        <w:pStyle w:val="SAtext"/>
        <w:tabs>
          <w:tab w:val="clear" w:pos="360"/>
          <w:tab w:val="left" w:pos="900"/>
        </w:tabs>
        <w:ind w:left="900"/>
      </w:pPr>
    </w:p>
    <w:p w14:paraId="3F8A2493" w14:textId="77777777" w:rsidR="00BF741A" w:rsidRDefault="00BF741A" w:rsidP="00990D3E">
      <w:pPr>
        <w:pStyle w:val="SAtext"/>
        <w:tabs>
          <w:tab w:val="left" w:pos="900"/>
        </w:tabs>
      </w:pPr>
      <w:r>
        <w:t>7.</w:t>
      </w:r>
      <w:r>
        <w:tab/>
      </w:r>
      <w:r w:rsidRPr="00990D3E">
        <w:rPr>
          <w:b/>
        </w:rPr>
        <w:t xml:space="preserve">General </w:t>
      </w:r>
    </w:p>
    <w:p w14:paraId="31A9E79B" w14:textId="77777777" w:rsidR="00BF741A" w:rsidRDefault="00BF741A" w:rsidP="00D2221C">
      <w:pPr>
        <w:pStyle w:val="SAtext"/>
        <w:numPr>
          <w:ilvl w:val="1"/>
          <w:numId w:val="10"/>
        </w:numPr>
        <w:spacing w:before="0"/>
        <w:ind w:left="900" w:hanging="454"/>
      </w:pPr>
      <w:r>
        <w:lastRenderedPageBreak/>
        <w:t>Unless otherwise expressly provided herein, all notices under this Agreement to parties hereto shall be in writing and shall be effective when received at the address of the respective party set forth in the Addendum to this Agreement.</w:t>
      </w:r>
    </w:p>
    <w:p w14:paraId="5E26F4BB" w14:textId="77777777" w:rsidR="00BF741A" w:rsidRDefault="00BF741A" w:rsidP="00D2221C">
      <w:pPr>
        <w:pStyle w:val="SAtext"/>
        <w:numPr>
          <w:ilvl w:val="1"/>
          <w:numId w:val="10"/>
        </w:numPr>
        <w:ind w:left="900" w:hanging="454"/>
      </w:pPr>
      <w:r>
        <w:t>This Agreement shall be governed by and construed in accordance with the laws of the State of New York, without regard to its conflict of laws provisions.</w:t>
      </w:r>
    </w:p>
    <w:p w14:paraId="17879875" w14:textId="7F2A95A8" w:rsidR="00BF741A" w:rsidRDefault="00BF741A" w:rsidP="00D2221C">
      <w:pPr>
        <w:pStyle w:val="SAtext"/>
        <w:numPr>
          <w:ilvl w:val="1"/>
          <w:numId w:val="10"/>
        </w:numPr>
        <w:ind w:left="900" w:hanging="454"/>
      </w:pPr>
      <w:r>
        <w:t xml:space="preserve">(a) </w:t>
      </w:r>
      <w:r w:rsidR="00641BB1">
        <w:t>Each of t</w:t>
      </w:r>
      <w:r>
        <w:t xml:space="preserve">he Issuer </w:t>
      </w:r>
      <w:r w:rsidR="00641BB1" w:rsidRPr="00641BB1">
        <w:t xml:space="preserve">and the Guarantor </w:t>
      </w:r>
      <w:r>
        <w:t xml:space="preserve">agrees that any suit, action or proceeding brought by the Issuer </w:t>
      </w:r>
      <w:r w:rsidR="00520B1F">
        <w:t xml:space="preserve">or the Guarantor </w:t>
      </w:r>
      <w:r>
        <w:t>against the Dealer in connection with or arising out of this Agreement</w:t>
      </w:r>
      <w:r w:rsidR="00641BB1">
        <w:t>, the Guarantee</w:t>
      </w:r>
      <w:r>
        <w:t xml:space="preserve"> or the Notes or the offer and sale of the Notes shall be brought solely in the United States federal courts located in the Borough of Manhattan or the courts of the State of New York located in the Borough of Manhattan.  EACH OF THE DEALER</w:t>
      </w:r>
      <w:r w:rsidR="00641BB1">
        <w:t>,</w:t>
      </w:r>
      <w:r>
        <w:t xml:space="preserve"> THE ISSUER </w:t>
      </w:r>
      <w:r w:rsidR="00641BB1">
        <w:t xml:space="preserve">AND THE GUARANTOR </w:t>
      </w:r>
      <w:r>
        <w:t>WAIVES ITS RIGHT TO TRIAL BY JURY IN ANY SUIT, ACTION OR PROCEEDING WITH RESPECT TO THIS AGREEMENT OR THE TRANSACTIONS CONTEMPLATED HEREBY.</w:t>
      </w:r>
    </w:p>
    <w:p w14:paraId="47F070E8" w14:textId="4EC7AB83" w:rsidR="00DC5640" w:rsidRDefault="00BF741A" w:rsidP="00DC5640">
      <w:pPr>
        <w:pStyle w:val="SAtext"/>
        <w:ind w:left="900"/>
      </w:pPr>
      <w:r w:rsidRPr="00B3319D">
        <w:t xml:space="preserve">(b) </w:t>
      </w:r>
      <w:r w:rsidR="00641BB1">
        <w:t>Eac</w:t>
      </w:r>
      <w:r w:rsidR="00737B90">
        <w:t>h</w:t>
      </w:r>
      <w:r w:rsidR="00641BB1">
        <w:t xml:space="preserve"> of t</w:t>
      </w:r>
      <w:r w:rsidRPr="003F1290">
        <w:t xml:space="preserve">he Issuer </w:t>
      </w:r>
      <w:r w:rsidR="00641BB1" w:rsidRPr="00641BB1">
        <w:t xml:space="preserve">and the Guarantor </w:t>
      </w:r>
      <w:r w:rsidRPr="003F1290">
        <w:t>hereby irrevocably accept</w:t>
      </w:r>
      <w:r w:rsidR="00641BB1">
        <w:t>s</w:t>
      </w:r>
      <w:r w:rsidRPr="003F1290">
        <w:t xml:space="preserve"> and submit</w:t>
      </w:r>
      <w:r w:rsidR="00641BB1">
        <w:t>s</w:t>
      </w:r>
      <w:r w:rsidRPr="003F1290">
        <w:t xml:space="preserve"> to the non-exclusive jurisdiction of each of the aforesaid courts in personam, generally and unconditionally, for itself and in respect of its properties, assets and revenues, with respect to any suit, action or proceeding in connection with or arising out of this Agreement</w:t>
      </w:r>
      <w:r w:rsidR="00641BB1">
        <w:t>, the Guarantee</w:t>
      </w:r>
      <w:r w:rsidRPr="003F1290">
        <w:t xml:space="preserve"> or the Notes or the offer and sale of the Notes.</w:t>
      </w:r>
      <w:r w:rsidR="00DC5640" w:rsidRPr="00DC5640">
        <w:t xml:space="preserve"> </w:t>
      </w:r>
    </w:p>
    <w:p w14:paraId="6D23BF30" w14:textId="3894E2FF" w:rsidR="00BF741A" w:rsidRDefault="00BF741A" w:rsidP="00D2221C">
      <w:pPr>
        <w:pStyle w:val="SAtext"/>
        <w:numPr>
          <w:ilvl w:val="1"/>
          <w:numId w:val="10"/>
        </w:numPr>
        <w:ind w:left="900" w:hanging="454"/>
      </w:pPr>
      <w:r>
        <w:t>This Agreement may be terminated, at any time, by the Issuer, upon one business day’s prior notice to such effect to the Dealer, or by the Dealer upon one business day’s prior notice to such effect to the Issuer.  Any such termination, however, shall not affect the obligations of the Issuer</w:t>
      </w:r>
      <w:r w:rsidR="00641BB1">
        <w:t xml:space="preserve"> and the Guarantor</w:t>
      </w:r>
      <w:r>
        <w:t xml:space="preserve"> under Sections 3.</w:t>
      </w:r>
      <w:r w:rsidR="00237EC9">
        <w:t>8</w:t>
      </w:r>
      <w:r>
        <w:t xml:space="preserve">, 5 and 7.3 hereof or the respective representations, warranties, agreements, covenants, rights or responsibilities of the parties made or arising prior to the termination of this Agreement. </w:t>
      </w:r>
    </w:p>
    <w:p w14:paraId="0F6A7D7E" w14:textId="2AADD9E8" w:rsidR="00BF741A" w:rsidRDefault="00BF741A" w:rsidP="00D2221C">
      <w:pPr>
        <w:pStyle w:val="SAtext"/>
        <w:numPr>
          <w:ilvl w:val="1"/>
          <w:numId w:val="10"/>
        </w:numPr>
        <w:ind w:left="900" w:hanging="454"/>
      </w:pPr>
      <w:r>
        <w:t xml:space="preserve">This Agreement is not assignable by </w:t>
      </w:r>
      <w:r w:rsidR="00641BB1">
        <w:t xml:space="preserve">any </w:t>
      </w:r>
      <w:r>
        <w:t xml:space="preserve">party hereto without the written consent of the other </w:t>
      </w:r>
      <w:r w:rsidR="00641BB1">
        <w:t>parties</w:t>
      </w:r>
      <w:r>
        <w:t>; provided, however, that the Dealer may assign its rights and obligations under this Agreement to any affiliate of the Dealer.</w:t>
      </w:r>
    </w:p>
    <w:p w14:paraId="035CF15E" w14:textId="4FE239CB" w:rsidR="00BF741A" w:rsidRDefault="00BF741A" w:rsidP="00122120">
      <w:pPr>
        <w:pStyle w:val="SAtext"/>
        <w:numPr>
          <w:ilvl w:val="1"/>
          <w:numId w:val="10"/>
        </w:numPr>
        <w:ind w:left="900" w:hanging="454"/>
      </w:pPr>
      <w:r>
        <w:t>This Agreement may be signed in any number of counterparts, each of which shall be an original, with the same effect as if the signatures thereto and hereto were upon the same instrument.</w:t>
      </w:r>
      <w:r w:rsidR="00F735A6">
        <w:t xml:space="preserve">  </w:t>
      </w:r>
      <w:r w:rsidR="00F735A6" w:rsidRPr="00F735A6">
        <w:t>Each party to this Agreement agrees that the other part</w:t>
      </w:r>
      <w:r w:rsidR="00641BB1">
        <w:t>ies</w:t>
      </w:r>
      <w:r w:rsidR="00F735A6" w:rsidRPr="00F735A6">
        <w:t xml:space="preserve"> may execute </w:t>
      </w:r>
      <w:r w:rsidR="00641BB1">
        <w:t>their</w:t>
      </w:r>
      <w:r w:rsidR="00641BB1" w:rsidRPr="00F735A6">
        <w:t xml:space="preserve"> </w:t>
      </w:r>
      <w:r w:rsidR="00F735A6" w:rsidRPr="00F735A6">
        <w:t>counterpart</w:t>
      </w:r>
      <w:r w:rsidR="00641BB1">
        <w:t>s</w:t>
      </w:r>
      <w:r w:rsidR="00F735A6" w:rsidRPr="00F735A6">
        <w:t xml:space="preserve"> of this Agreement by (i) an “electronic signature”, whether digital or encrypted, to the maximum extent permitted by applicable law, including the Federal Electronic Signatures in Global and National Commerce Act, the Electronic Signatures and Records Act of New York, or any similar state laws based on the Uniform Electronic Transactions Act or (ii) </w:t>
      </w:r>
      <w:r w:rsidR="00D04379">
        <w:t>an</w:t>
      </w:r>
      <w:r w:rsidR="00F735A6" w:rsidRPr="00F735A6">
        <w:t xml:space="preserve"> electronic transmission (including electronic mail in portable document format (pdf.) </w:t>
      </w:r>
      <w:r w:rsidR="00F735A6" w:rsidRPr="00644BF9">
        <w:t>form</w:t>
      </w:r>
      <w:r w:rsidR="003F7BE1" w:rsidRPr="00644BF9">
        <w:t>)</w:t>
      </w:r>
      <w:r w:rsidR="00F735A6" w:rsidRPr="00644BF9">
        <w:t>,</w:t>
      </w:r>
      <w:r w:rsidR="00F735A6" w:rsidRPr="00F735A6">
        <w:t xml:space="preserve"> or other electronic means that reproduces an image of a manually-signed counterpart or (iii) a digital signature transmitted through DocuSign, Adobe Sign or any other secure portal for digitized signature of documents that complies with </w:t>
      </w:r>
      <w:r w:rsidR="00B72573">
        <w:t xml:space="preserve">the </w:t>
      </w:r>
      <w:r w:rsidR="00F735A6" w:rsidRPr="00F735A6">
        <w:t xml:space="preserve">U.S. federal ESIGN Act of 2000.  Any such counterpart shall be effective </w:t>
      </w:r>
      <w:r w:rsidR="007629B7">
        <w:t xml:space="preserve">to the same extent </w:t>
      </w:r>
      <w:r w:rsidR="00F735A6" w:rsidRPr="00F735A6">
        <w:t>as delivery of a manually executed counterpart of this Agreement and treated as an original manually executed counterpart for all purposes of this Agreement.</w:t>
      </w:r>
    </w:p>
    <w:p w14:paraId="1FA4452B" w14:textId="4746BC61" w:rsidR="00BF741A" w:rsidRPr="00BF7237" w:rsidRDefault="00BF741A" w:rsidP="00D2221C">
      <w:pPr>
        <w:pStyle w:val="SAtext"/>
        <w:numPr>
          <w:ilvl w:val="1"/>
          <w:numId w:val="10"/>
        </w:numPr>
        <w:ind w:left="900" w:hanging="454"/>
      </w:pPr>
      <w:r w:rsidRPr="001A10B7">
        <w:t>Except as provided in Section 5 with respect to non-party Indemnitees,</w:t>
      </w:r>
      <w:r>
        <w:t xml:space="preserve"> this Agreement is for the exclusive benefit of the parties hereto, and their respective permitted successors and assigns hereunder, and shall not be deemed to give any legal or equitable right, remedy or claim to any other person whatsoever</w:t>
      </w:r>
      <w:r w:rsidR="00776C87" w:rsidRPr="00776C87">
        <w:t>; provided, however, that Section 7.3(b)</w:t>
      </w:r>
      <w:r w:rsidR="002E45CF">
        <w:t xml:space="preserve"> is</w:t>
      </w:r>
      <w:r w:rsidR="00776C87" w:rsidRPr="00776C87">
        <w:t xml:space="preserve"> hereby specifically and </w:t>
      </w:r>
      <w:r w:rsidR="00776C87">
        <w:t>expressly</w:t>
      </w:r>
      <w:r w:rsidR="00776C87" w:rsidRPr="00776C87">
        <w:t xml:space="preserve"> acknowledged to also be for the benefit of the holders from time to time of the Notes, as third-party </w:t>
      </w:r>
      <w:r w:rsidR="00776C87" w:rsidRPr="00BF7237">
        <w:t>beneficiaries</w:t>
      </w:r>
      <w:r w:rsidR="00776C87" w:rsidRPr="00644BF9">
        <w:t>.</w:t>
      </w:r>
    </w:p>
    <w:p w14:paraId="7BFE47ED" w14:textId="0F85FDFD" w:rsidR="00BF741A" w:rsidRPr="003F1290" w:rsidRDefault="00BF741A" w:rsidP="00D2221C">
      <w:pPr>
        <w:pStyle w:val="SAtext"/>
        <w:numPr>
          <w:ilvl w:val="1"/>
          <w:numId w:val="10"/>
        </w:numPr>
        <w:ind w:left="900" w:hanging="454"/>
      </w:pPr>
      <w:r>
        <w:rPr>
          <w:snapToGrid w:val="0"/>
        </w:rPr>
        <w:lastRenderedPageBreak/>
        <w:t xml:space="preserve">The Issuer </w:t>
      </w:r>
      <w:r w:rsidR="00641BB1">
        <w:rPr>
          <w:snapToGrid w:val="0"/>
        </w:rPr>
        <w:t xml:space="preserve">and the Guarantor </w:t>
      </w:r>
      <w:r>
        <w:rPr>
          <w:snapToGrid w:val="0"/>
        </w:rPr>
        <w:t>acknowledge and agree that (i) purchases and sales, or placements, of the Notes pursuant to this Agreement, including the determination of any prices for the Notes and Dealer compensation, are arm's-length commercial transactions between the Issuer</w:t>
      </w:r>
      <w:r w:rsidR="000906F9">
        <w:rPr>
          <w:snapToGrid w:val="0"/>
        </w:rPr>
        <w:t>, the Guarantor</w:t>
      </w:r>
      <w:r>
        <w:rPr>
          <w:snapToGrid w:val="0"/>
        </w:rPr>
        <w:t xml:space="preserve"> and the Dealer, (ii) in connection therewith and with the process leading to such transactions, the Dealer is acting solely as a principal and not the agent (except to the extent explicitly set forth herein) or fiduciary of the Issuer</w:t>
      </w:r>
      <w:r w:rsidR="000906F9">
        <w:rPr>
          <w:snapToGrid w:val="0"/>
        </w:rPr>
        <w:t xml:space="preserve">, the Guarantor </w:t>
      </w:r>
      <w:r>
        <w:rPr>
          <w:snapToGrid w:val="0"/>
        </w:rPr>
        <w:t xml:space="preserve">or any of </w:t>
      </w:r>
      <w:r w:rsidR="000906F9">
        <w:rPr>
          <w:snapToGrid w:val="0"/>
        </w:rPr>
        <w:t xml:space="preserve">their </w:t>
      </w:r>
      <w:r>
        <w:rPr>
          <w:snapToGrid w:val="0"/>
        </w:rPr>
        <w:t>affiliates, (iii) the Dealer has not assumed an advisory or fiduciary responsibility in favor of the Issuer</w:t>
      </w:r>
      <w:r w:rsidR="000906F9">
        <w:rPr>
          <w:snapToGrid w:val="0"/>
        </w:rPr>
        <w:t>, the Guarantor</w:t>
      </w:r>
      <w:r>
        <w:rPr>
          <w:snapToGrid w:val="0"/>
        </w:rPr>
        <w:t xml:space="preserve"> or any of </w:t>
      </w:r>
      <w:r w:rsidR="000906F9">
        <w:rPr>
          <w:snapToGrid w:val="0"/>
        </w:rPr>
        <w:t>their</w:t>
      </w:r>
      <w:r>
        <w:rPr>
          <w:snapToGrid w:val="0"/>
        </w:rPr>
        <w:t xml:space="preserve"> affiliates with respect to the offering contemplated hereby or the process leading thereto (irrespective of whether the Dealer has advised or is currently advising the Issuer</w:t>
      </w:r>
      <w:r w:rsidR="000906F9">
        <w:rPr>
          <w:snapToGrid w:val="0"/>
        </w:rPr>
        <w:t>, the Guarantor</w:t>
      </w:r>
      <w:r>
        <w:rPr>
          <w:snapToGrid w:val="0"/>
        </w:rPr>
        <w:t xml:space="preserve"> or any of </w:t>
      </w:r>
      <w:r w:rsidR="000906F9">
        <w:rPr>
          <w:snapToGrid w:val="0"/>
        </w:rPr>
        <w:t>their</w:t>
      </w:r>
      <w:r>
        <w:rPr>
          <w:snapToGrid w:val="0"/>
        </w:rPr>
        <w:t xml:space="preserve"> affiliates on other matters) or any other obligation to the Issuer</w:t>
      </w:r>
      <w:r w:rsidR="000906F9">
        <w:rPr>
          <w:snapToGrid w:val="0"/>
        </w:rPr>
        <w:t>, the Guarantor</w:t>
      </w:r>
      <w:r>
        <w:rPr>
          <w:snapToGrid w:val="0"/>
        </w:rPr>
        <w:t xml:space="preserve"> or any of </w:t>
      </w:r>
      <w:r w:rsidR="000906F9">
        <w:rPr>
          <w:snapToGrid w:val="0"/>
        </w:rPr>
        <w:t>their</w:t>
      </w:r>
      <w:r>
        <w:rPr>
          <w:snapToGrid w:val="0"/>
        </w:rPr>
        <w:t xml:space="preserve"> affiliates except the obligations expressly set forth in this Agreement</w:t>
      </w:r>
      <w:r w:rsidR="00314945">
        <w:rPr>
          <w:snapToGrid w:val="0"/>
        </w:rPr>
        <w:t>,</w:t>
      </w:r>
      <w:r>
        <w:rPr>
          <w:snapToGrid w:val="0"/>
        </w:rPr>
        <w:t xml:space="preserve"> (iv) </w:t>
      </w:r>
      <w:r w:rsidR="000906F9">
        <w:rPr>
          <w:snapToGrid w:val="0"/>
        </w:rPr>
        <w:t xml:space="preserve">each of </w:t>
      </w:r>
      <w:r>
        <w:rPr>
          <w:snapToGrid w:val="0"/>
        </w:rPr>
        <w:t xml:space="preserve">the Issuer </w:t>
      </w:r>
      <w:r w:rsidR="000906F9">
        <w:rPr>
          <w:snapToGrid w:val="0"/>
        </w:rPr>
        <w:t xml:space="preserve">and the Guarantor </w:t>
      </w:r>
      <w:r>
        <w:rPr>
          <w:snapToGrid w:val="0"/>
        </w:rPr>
        <w:t>is capable of evaluating and understanding and understands and accepts the terms, risks and conditions of the transactions contemplated by this Agreement</w:t>
      </w:r>
      <w:r w:rsidR="00314945">
        <w:rPr>
          <w:snapToGrid w:val="0"/>
        </w:rPr>
        <w:t xml:space="preserve"> and the Guarantee</w:t>
      </w:r>
      <w:r>
        <w:rPr>
          <w:snapToGrid w:val="0"/>
        </w:rPr>
        <w:t>, (v) the Dealer and its affiliates may be engaged in a broad range of transactions that involve interests that differ from those of the Issuer</w:t>
      </w:r>
      <w:r w:rsidR="000906F9">
        <w:rPr>
          <w:snapToGrid w:val="0"/>
        </w:rPr>
        <w:t xml:space="preserve"> and the Guarantor</w:t>
      </w:r>
      <w:r>
        <w:rPr>
          <w:snapToGrid w:val="0"/>
        </w:rPr>
        <w:t xml:space="preserve"> and that the Dealer has no obligation to disclose any of those interests by virtue of any advisory or fiduciary relationship, (vi) the Dealer has not provided any legal, accounting, regulatory or tax advice with respect to the transactions contemplated hereby</w:t>
      </w:r>
      <w:r w:rsidR="00584CFD">
        <w:rPr>
          <w:snapToGrid w:val="0"/>
        </w:rPr>
        <w:t xml:space="preserve"> or </w:t>
      </w:r>
      <w:r w:rsidR="00314945">
        <w:rPr>
          <w:snapToGrid w:val="0"/>
        </w:rPr>
        <w:t>by</w:t>
      </w:r>
      <w:r w:rsidR="00584CFD">
        <w:rPr>
          <w:snapToGrid w:val="0"/>
        </w:rPr>
        <w:t xml:space="preserve"> the Guarantee</w:t>
      </w:r>
      <w:r>
        <w:rPr>
          <w:snapToGrid w:val="0"/>
        </w:rPr>
        <w:t xml:space="preserve">, and (vii) </w:t>
      </w:r>
      <w:r w:rsidR="000906F9">
        <w:rPr>
          <w:snapToGrid w:val="0"/>
        </w:rPr>
        <w:t xml:space="preserve">each of </w:t>
      </w:r>
      <w:r>
        <w:rPr>
          <w:snapToGrid w:val="0"/>
        </w:rPr>
        <w:t xml:space="preserve">the Issuer </w:t>
      </w:r>
      <w:r w:rsidR="000906F9">
        <w:rPr>
          <w:snapToGrid w:val="0"/>
        </w:rPr>
        <w:t xml:space="preserve">and the Guarantor </w:t>
      </w:r>
      <w:r>
        <w:rPr>
          <w:snapToGrid w:val="0"/>
        </w:rPr>
        <w:t xml:space="preserve">has consulted its own legal and financial advisors to the extent it deemed appropriate. </w:t>
      </w:r>
      <w:r w:rsidR="000906F9">
        <w:rPr>
          <w:snapToGrid w:val="0"/>
        </w:rPr>
        <w:t>Each of t</w:t>
      </w:r>
      <w:r>
        <w:rPr>
          <w:snapToGrid w:val="0"/>
        </w:rPr>
        <w:t xml:space="preserve">he Issuer </w:t>
      </w:r>
      <w:r w:rsidR="000906F9">
        <w:rPr>
          <w:snapToGrid w:val="0"/>
        </w:rPr>
        <w:t xml:space="preserve">and the Guarantor </w:t>
      </w:r>
      <w:r>
        <w:rPr>
          <w:snapToGrid w:val="0"/>
        </w:rPr>
        <w:t>agrees that it will not claim that the Dealer has rendered advisory services of any nature or respect, or owes a fiduciary or similar duty to the Issuer</w:t>
      </w:r>
      <w:r w:rsidR="000906F9">
        <w:rPr>
          <w:snapToGrid w:val="0"/>
        </w:rPr>
        <w:t xml:space="preserve"> or the Guarantor</w:t>
      </w:r>
      <w:r w:rsidR="000B2316">
        <w:rPr>
          <w:snapToGrid w:val="0"/>
        </w:rPr>
        <w:t>,</w:t>
      </w:r>
      <w:r>
        <w:rPr>
          <w:snapToGrid w:val="0"/>
        </w:rPr>
        <w:t xml:space="preserve"> in connection with such transactions or the process leading thereto.  Any review by the Dealer of the Issuer,</w:t>
      </w:r>
      <w:r w:rsidR="000906F9">
        <w:rPr>
          <w:snapToGrid w:val="0"/>
        </w:rPr>
        <w:t xml:space="preserve"> the Guarantor,</w:t>
      </w:r>
      <w:r>
        <w:rPr>
          <w:snapToGrid w:val="0"/>
        </w:rPr>
        <w:t xml:space="preserve"> the transactions contemplated hereby or other matters relating to such transactions shall be performed solely for the benefit of the Dealer and shall not be on behalf of the Issuer</w:t>
      </w:r>
      <w:r w:rsidR="000906F9">
        <w:rPr>
          <w:snapToGrid w:val="0"/>
        </w:rPr>
        <w:t xml:space="preserve"> or the Guarantor</w:t>
      </w:r>
      <w:r>
        <w:rPr>
          <w:snapToGrid w:val="0"/>
        </w:rPr>
        <w:t>.  This Agreement supersedes all prior agreements and understandings (whether written or oral) between the Issuer</w:t>
      </w:r>
      <w:r w:rsidR="000906F9">
        <w:rPr>
          <w:snapToGrid w:val="0"/>
        </w:rPr>
        <w:t>, the Guarantor</w:t>
      </w:r>
      <w:r>
        <w:rPr>
          <w:snapToGrid w:val="0"/>
        </w:rPr>
        <w:t xml:space="preserve"> and the Dealer with respect to the subject matter hereof. </w:t>
      </w:r>
      <w:r w:rsidR="000906F9">
        <w:rPr>
          <w:snapToGrid w:val="0"/>
        </w:rPr>
        <w:t>Each of t</w:t>
      </w:r>
      <w:r>
        <w:rPr>
          <w:snapToGrid w:val="0"/>
        </w:rPr>
        <w:t xml:space="preserve">he Issuer </w:t>
      </w:r>
      <w:r w:rsidR="000906F9">
        <w:rPr>
          <w:snapToGrid w:val="0"/>
        </w:rPr>
        <w:t xml:space="preserve">and the Guarantor </w:t>
      </w:r>
      <w:r>
        <w:rPr>
          <w:snapToGrid w:val="0"/>
        </w:rPr>
        <w:t xml:space="preserve">hereby waives and releases, to the fullest extent permitted by law, any claims the Issuer </w:t>
      </w:r>
      <w:r w:rsidR="000906F9">
        <w:rPr>
          <w:snapToGrid w:val="0"/>
        </w:rPr>
        <w:t xml:space="preserve">or the Guarantor </w:t>
      </w:r>
      <w:r>
        <w:rPr>
          <w:snapToGrid w:val="0"/>
        </w:rPr>
        <w:t>may have against the Dealer with respect to any breach or alleged breach of fiduciary duty.</w:t>
      </w:r>
    </w:p>
    <w:p w14:paraId="651A4FF9" w14:textId="3FDB013B" w:rsidR="00BF741A" w:rsidRPr="004849FA" w:rsidRDefault="00BF741A" w:rsidP="00A10CEC">
      <w:pPr>
        <w:pStyle w:val="SAtext"/>
        <w:numPr>
          <w:ilvl w:val="1"/>
          <w:numId w:val="10"/>
        </w:numPr>
        <w:ind w:left="900" w:hanging="454"/>
        <w:jc w:val="both"/>
        <w:rPr>
          <w:szCs w:val="22"/>
        </w:rPr>
      </w:pPr>
      <w:r>
        <w:rPr>
          <w:snapToGrid w:val="0"/>
          <w:szCs w:val="22"/>
        </w:rPr>
        <w:t>(</w:t>
      </w:r>
      <w:r w:rsidR="0071688A">
        <w:rPr>
          <w:snapToGrid w:val="0"/>
          <w:szCs w:val="22"/>
        </w:rPr>
        <w:t>a</w:t>
      </w:r>
      <w:r>
        <w:rPr>
          <w:snapToGrid w:val="0"/>
          <w:szCs w:val="22"/>
        </w:rPr>
        <w:t xml:space="preserve">) </w:t>
      </w:r>
      <w:r w:rsidRPr="00676601">
        <w:rPr>
          <w:snapToGrid w:val="0"/>
          <w:szCs w:val="22"/>
        </w:rPr>
        <w:t>The</w:t>
      </w:r>
      <w:r w:rsidRPr="004849FA">
        <w:rPr>
          <w:szCs w:val="22"/>
        </w:rPr>
        <w:t xml:space="preserve"> parties hereto agree that the Issuer may, in accordance with the terms of this Section </w:t>
      </w:r>
      <w:r>
        <w:rPr>
          <w:szCs w:val="22"/>
        </w:rPr>
        <w:t>7.9</w:t>
      </w:r>
      <w:r w:rsidRPr="004849FA">
        <w:rPr>
          <w:szCs w:val="22"/>
        </w:rPr>
        <w:t>, from time to time replace the party which is then acting as Issuing and Paying Agent (the “Current Issuing and Paying Agent”) with another party (such other party, the “Replacement Issuing and Paying Agent”), and enter into an agreement with the Replacement Issuing and Paying Agent covering the provision of issuing and paying agency functions in respect of the Notes by the Replacement Issuing and Paying Agent (the “Replacement Issuing and Paying Agency Agreement”) (any such replacement, a “Replacement”).</w:t>
      </w:r>
    </w:p>
    <w:p w14:paraId="3D7AED7B" w14:textId="15A52401" w:rsidR="00BF741A" w:rsidRPr="004849FA" w:rsidRDefault="00BF741A" w:rsidP="00A10CEC">
      <w:pPr>
        <w:pStyle w:val="SAtext"/>
        <w:ind w:left="900"/>
        <w:jc w:val="both"/>
        <w:rPr>
          <w:szCs w:val="22"/>
        </w:rPr>
      </w:pPr>
      <w:r>
        <w:rPr>
          <w:szCs w:val="22"/>
        </w:rPr>
        <w:t>(</w:t>
      </w:r>
      <w:r w:rsidR="0071688A">
        <w:rPr>
          <w:szCs w:val="22"/>
        </w:rPr>
        <w:t>b</w:t>
      </w:r>
      <w:r>
        <w:rPr>
          <w:szCs w:val="22"/>
        </w:rPr>
        <w:t xml:space="preserve">) </w:t>
      </w:r>
      <w:r w:rsidRPr="004849FA">
        <w:rPr>
          <w:szCs w:val="22"/>
        </w:rPr>
        <w:t xml:space="preserve">From and after the effective date of any Replacement, </w:t>
      </w:r>
      <w:r>
        <w:rPr>
          <w:szCs w:val="22"/>
        </w:rPr>
        <w:t>(</w:t>
      </w:r>
      <w:r w:rsidR="0071688A">
        <w:rPr>
          <w:szCs w:val="22"/>
        </w:rPr>
        <w:t>i</w:t>
      </w:r>
      <w:r>
        <w:rPr>
          <w:szCs w:val="22"/>
        </w:rPr>
        <w:t xml:space="preserve">) </w:t>
      </w:r>
      <w:r w:rsidRPr="004849FA">
        <w:rPr>
          <w:szCs w:val="22"/>
        </w:rPr>
        <w:t>to the extent that the Issuing and Paying Agency Agreement provides that the Current Issuing and Paying Agent will continue to act in respect of Notes outstanding as of the effective date of such Replacement</w:t>
      </w:r>
      <w:r>
        <w:rPr>
          <w:szCs w:val="22"/>
        </w:rPr>
        <w:t xml:space="preserve"> (the “Outstanding Notes”)</w:t>
      </w:r>
      <w:r w:rsidRPr="004849FA">
        <w:rPr>
          <w:szCs w:val="22"/>
        </w:rPr>
        <w:t xml:space="preserve">, </w:t>
      </w:r>
      <w:r>
        <w:rPr>
          <w:szCs w:val="22"/>
        </w:rPr>
        <w:t>then (</w:t>
      </w:r>
      <w:r w:rsidR="0071688A">
        <w:rPr>
          <w:szCs w:val="22"/>
        </w:rPr>
        <w:t>A</w:t>
      </w:r>
      <w:r>
        <w:rPr>
          <w:szCs w:val="22"/>
        </w:rPr>
        <w:t xml:space="preserve">) </w:t>
      </w:r>
      <w:r w:rsidRPr="004849FA">
        <w:rPr>
          <w:szCs w:val="22"/>
        </w:rPr>
        <w:t xml:space="preserve">the “Issuing and Paying Agent” for the Notes shall be deemed to be </w:t>
      </w:r>
      <w:r>
        <w:rPr>
          <w:szCs w:val="22"/>
        </w:rPr>
        <w:t xml:space="preserve">the Current Issuing and Paying Agent, in respect of the Outstanding Notes, and </w:t>
      </w:r>
      <w:r w:rsidRPr="004849FA">
        <w:rPr>
          <w:szCs w:val="22"/>
        </w:rPr>
        <w:t>the Replacement Issuing and Paying Agent</w:t>
      </w:r>
      <w:r>
        <w:rPr>
          <w:szCs w:val="22"/>
        </w:rPr>
        <w:t>, in respect of Notes issued on or after the Replacement</w:t>
      </w:r>
      <w:r w:rsidRPr="004849FA">
        <w:rPr>
          <w:szCs w:val="22"/>
        </w:rPr>
        <w:t xml:space="preserve">, </w:t>
      </w:r>
      <w:r>
        <w:rPr>
          <w:szCs w:val="22"/>
        </w:rPr>
        <w:t>(</w:t>
      </w:r>
      <w:r w:rsidR="0071688A">
        <w:rPr>
          <w:szCs w:val="22"/>
        </w:rPr>
        <w:t>B</w:t>
      </w:r>
      <w:r>
        <w:rPr>
          <w:szCs w:val="22"/>
        </w:rPr>
        <w:t xml:space="preserve">) </w:t>
      </w:r>
      <w:r w:rsidRPr="004849FA">
        <w:rPr>
          <w:szCs w:val="22"/>
        </w:rPr>
        <w:t xml:space="preserve">all references to the “Issuing and Paying Agent” hereunder shall be deemed to refer to the </w:t>
      </w:r>
      <w:r>
        <w:rPr>
          <w:szCs w:val="22"/>
        </w:rPr>
        <w:t xml:space="preserve">Current Issuing and Paying Agent in respect of the Outstanding Notes, and the </w:t>
      </w:r>
      <w:r w:rsidRPr="004849FA">
        <w:rPr>
          <w:szCs w:val="22"/>
        </w:rPr>
        <w:t>Replacement Issuing and Paying Agent</w:t>
      </w:r>
      <w:r>
        <w:rPr>
          <w:szCs w:val="22"/>
        </w:rPr>
        <w:t xml:space="preserve"> in respect of Notes</w:t>
      </w:r>
      <w:r w:rsidRPr="005E5934">
        <w:rPr>
          <w:szCs w:val="22"/>
        </w:rPr>
        <w:t xml:space="preserve"> </w:t>
      </w:r>
      <w:r>
        <w:rPr>
          <w:szCs w:val="22"/>
        </w:rPr>
        <w:t>issued on or after the Replacement</w:t>
      </w:r>
      <w:r w:rsidRPr="004849FA">
        <w:rPr>
          <w:szCs w:val="22"/>
        </w:rPr>
        <w:t xml:space="preserve">, and </w:t>
      </w:r>
      <w:r>
        <w:rPr>
          <w:szCs w:val="22"/>
        </w:rPr>
        <w:t>(</w:t>
      </w:r>
      <w:r w:rsidR="0071688A">
        <w:rPr>
          <w:szCs w:val="22"/>
        </w:rPr>
        <w:t>C</w:t>
      </w:r>
      <w:r>
        <w:rPr>
          <w:szCs w:val="22"/>
        </w:rPr>
        <w:t xml:space="preserve">) </w:t>
      </w:r>
      <w:r w:rsidRPr="004849FA">
        <w:rPr>
          <w:szCs w:val="22"/>
        </w:rPr>
        <w:t xml:space="preserve">all references to the “Issuing and Paying Agency Agreement” </w:t>
      </w:r>
      <w:r w:rsidRPr="004849FA">
        <w:rPr>
          <w:szCs w:val="22"/>
        </w:rPr>
        <w:lastRenderedPageBreak/>
        <w:t xml:space="preserve">hereunder shall be deemed to refer to the </w:t>
      </w:r>
      <w:r>
        <w:rPr>
          <w:szCs w:val="22"/>
        </w:rPr>
        <w:t xml:space="preserve">existing Issuing and Paying Agency Agreement, in respect of the Outstanding Notes, and the </w:t>
      </w:r>
      <w:r w:rsidRPr="004849FA">
        <w:rPr>
          <w:szCs w:val="22"/>
        </w:rPr>
        <w:t>Replacement Issuing and Paying Agency Agreement</w:t>
      </w:r>
      <w:r>
        <w:rPr>
          <w:szCs w:val="22"/>
        </w:rPr>
        <w:t>, in respect of Notes issued on or after the Replacement; and (</w:t>
      </w:r>
      <w:r w:rsidR="0071688A">
        <w:rPr>
          <w:szCs w:val="22"/>
        </w:rPr>
        <w:t>ii</w:t>
      </w:r>
      <w:r>
        <w:rPr>
          <w:szCs w:val="22"/>
        </w:rPr>
        <w:t>) to the extent that the Issuing and Paying Agency Agreement does not provide that the Current Issuing and Paying Agent will continue to act in respect of the Outstanding Notes, then (</w:t>
      </w:r>
      <w:r w:rsidR="002B1A14">
        <w:rPr>
          <w:szCs w:val="22"/>
        </w:rPr>
        <w:t>A</w:t>
      </w:r>
      <w:r>
        <w:rPr>
          <w:szCs w:val="22"/>
        </w:rPr>
        <w:t xml:space="preserve">) </w:t>
      </w:r>
      <w:r w:rsidRPr="004849FA">
        <w:rPr>
          <w:szCs w:val="22"/>
        </w:rPr>
        <w:t xml:space="preserve">the “Issuing and Paying Agent” for the Notes shall be deemed to be the Replacement Issuing and Paying Agent, </w:t>
      </w:r>
      <w:r>
        <w:rPr>
          <w:szCs w:val="22"/>
        </w:rPr>
        <w:t>(</w:t>
      </w:r>
      <w:r w:rsidR="002B1A14">
        <w:rPr>
          <w:szCs w:val="22"/>
        </w:rPr>
        <w:t>B</w:t>
      </w:r>
      <w:r>
        <w:rPr>
          <w:szCs w:val="22"/>
        </w:rPr>
        <w:t xml:space="preserve">) </w:t>
      </w:r>
      <w:r w:rsidRPr="004849FA">
        <w:rPr>
          <w:szCs w:val="22"/>
        </w:rPr>
        <w:t xml:space="preserve">all references to the “Issuing and Paying Agent” hereunder shall be deemed to refer to </w:t>
      </w:r>
      <w:r>
        <w:rPr>
          <w:szCs w:val="22"/>
        </w:rPr>
        <w:t xml:space="preserve">the </w:t>
      </w:r>
      <w:r w:rsidRPr="004849FA">
        <w:rPr>
          <w:szCs w:val="22"/>
        </w:rPr>
        <w:t xml:space="preserve">Replacement Issuing and Paying Agent, and </w:t>
      </w:r>
      <w:r>
        <w:rPr>
          <w:szCs w:val="22"/>
        </w:rPr>
        <w:t>(</w:t>
      </w:r>
      <w:r w:rsidR="002B1A14">
        <w:rPr>
          <w:szCs w:val="22"/>
        </w:rPr>
        <w:t>C</w:t>
      </w:r>
      <w:r>
        <w:rPr>
          <w:szCs w:val="22"/>
        </w:rPr>
        <w:t xml:space="preserve">) </w:t>
      </w:r>
      <w:r w:rsidRPr="004849FA">
        <w:rPr>
          <w:szCs w:val="22"/>
        </w:rPr>
        <w:t xml:space="preserve">all references to the “Issuing and Paying Agency Agreement” hereunder shall be deemed to refer to </w:t>
      </w:r>
      <w:r>
        <w:rPr>
          <w:szCs w:val="22"/>
        </w:rPr>
        <w:t xml:space="preserve">the </w:t>
      </w:r>
      <w:r w:rsidRPr="004849FA">
        <w:rPr>
          <w:szCs w:val="22"/>
        </w:rPr>
        <w:t xml:space="preserve">Replacement Issuing and Paying Agency Agreement.  </w:t>
      </w:r>
    </w:p>
    <w:p w14:paraId="552A404C" w14:textId="0C5323A5" w:rsidR="005D0C9A" w:rsidRPr="00952A79" w:rsidRDefault="00BF741A" w:rsidP="00237EC9">
      <w:pPr>
        <w:pStyle w:val="SAtext"/>
        <w:tabs>
          <w:tab w:val="clear" w:pos="360"/>
        </w:tabs>
        <w:ind w:left="900"/>
        <w:jc w:val="both"/>
        <w:rPr>
          <w:szCs w:val="22"/>
        </w:rPr>
      </w:pPr>
      <w:r>
        <w:rPr>
          <w:szCs w:val="22"/>
        </w:rPr>
        <w:t>(</w:t>
      </w:r>
      <w:r w:rsidR="002B1A14">
        <w:rPr>
          <w:szCs w:val="22"/>
        </w:rPr>
        <w:t>c</w:t>
      </w:r>
      <w:r>
        <w:rPr>
          <w:szCs w:val="22"/>
        </w:rPr>
        <w:t xml:space="preserve">) </w:t>
      </w:r>
      <w:r w:rsidRPr="004849FA">
        <w:rPr>
          <w:szCs w:val="22"/>
        </w:rPr>
        <w:t>From and after the effective date of any Replacement, the Issuer shall not issue any Notes hereunder unless and until th</w:t>
      </w:r>
      <w:r>
        <w:rPr>
          <w:szCs w:val="22"/>
        </w:rPr>
        <w:t>e Dealer shall have received: (</w:t>
      </w:r>
      <w:r w:rsidR="002B1A14">
        <w:rPr>
          <w:szCs w:val="22"/>
        </w:rPr>
        <w:t>i</w:t>
      </w:r>
      <w:r w:rsidRPr="004849FA">
        <w:rPr>
          <w:szCs w:val="22"/>
        </w:rPr>
        <w:t xml:space="preserve">) a copy of the executed Replacement Issuing </w:t>
      </w:r>
      <w:r>
        <w:rPr>
          <w:szCs w:val="22"/>
        </w:rPr>
        <w:t>and Paying Agency Agreement, (</w:t>
      </w:r>
      <w:r w:rsidR="002B1A14">
        <w:rPr>
          <w:szCs w:val="22"/>
        </w:rPr>
        <w:t>ii</w:t>
      </w:r>
      <w:r w:rsidRPr="004849FA">
        <w:rPr>
          <w:szCs w:val="22"/>
        </w:rPr>
        <w:t>) a copy of the executed Letter of Representations among the Issuer, the Replacement Issuing and Paying Agent and DTC</w:t>
      </w:r>
      <w:r w:rsidR="002A7DB9">
        <w:rPr>
          <w:szCs w:val="22"/>
        </w:rPr>
        <w:t xml:space="preserve"> or a copy of the executed Swing Letter </w:t>
      </w:r>
      <w:r w:rsidR="002B1A14">
        <w:rPr>
          <w:szCs w:val="22"/>
        </w:rPr>
        <w:t>from</w:t>
      </w:r>
      <w:r w:rsidR="002A7DB9">
        <w:rPr>
          <w:szCs w:val="22"/>
        </w:rPr>
        <w:t xml:space="preserve"> the Replacement Issuing and Paying Agen</w:t>
      </w:r>
      <w:r w:rsidR="002B1A14">
        <w:rPr>
          <w:szCs w:val="22"/>
        </w:rPr>
        <w:t>t</w:t>
      </w:r>
      <w:r w:rsidR="002A7DB9">
        <w:rPr>
          <w:szCs w:val="22"/>
        </w:rPr>
        <w:t xml:space="preserve"> </w:t>
      </w:r>
      <w:r w:rsidR="002B1A14">
        <w:rPr>
          <w:szCs w:val="22"/>
        </w:rPr>
        <w:t>to</w:t>
      </w:r>
      <w:r w:rsidR="002A7DB9">
        <w:rPr>
          <w:szCs w:val="22"/>
        </w:rPr>
        <w:t xml:space="preserve"> DTC, as applicable, as required by DTC</w:t>
      </w:r>
      <w:r w:rsidRPr="004849FA">
        <w:rPr>
          <w:szCs w:val="22"/>
        </w:rPr>
        <w:t>, (</w:t>
      </w:r>
      <w:r w:rsidR="002B1A14">
        <w:rPr>
          <w:szCs w:val="22"/>
        </w:rPr>
        <w:t>iii</w:t>
      </w:r>
      <w:r w:rsidRPr="004849FA">
        <w:rPr>
          <w:szCs w:val="22"/>
        </w:rPr>
        <w:t xml:space="preserve">) a copy of </w:t>
      </w:r>
      <w:r w:rsidR="006F11B9">
        <w:rPr>
          <w:szCs w:val="22"/>
        </w:rPr>
        <w:t>each</w:t>
      </w:r>
      <w:r w:rsidRPr="004849FA">
        <w:rPr>
          <w:szCs w:val="22"/>
        </w:rPr>
        <w:t xml:space="preserve"> executed Master Note authenticated by the Replacement Issuing and Paying Agent and registered in the</w:t>
      </w:r>
      <w:r>
        <w:rPr>
          <w:szCs w:val="22"/>
        </w:rPr>
        <w:t xml:space="preserve"> name of DTC or its nominee, (</w:t>
      </w:r>
      <w:r w:rsidR="002B1A14">
        <w:rPr>
          <w:szCs w:val="22"/>
        </w:rPr>
        <w:t>iv</w:t>
      </w:r>
      <w:r w:rsidRPr="004849FA">
        <w:rPr>
          <w:szCs w:val="22"/>
        </w:rPr>
        <w:t xml:space="preserve">) an amendment or supplement to </w:t>
      </w:r>
      <w:bookmarkStart w:id="4" w:name="_Hlk141278608"/>
      <w:r w:rsidR="002E45CF">
        <w:rPr>
          <w:szCs w:val="22"/>
        </w:rPr>
        <w:t xml:space="preserve">or replacement of </w:t>
      </w:r>
      <w:bookmarkEnd w:id="4"/>
      <w:r w:rsidRPr="004849FA">
        <w:rPr>
          <w:szCs w:val="22"/>
        </w:rPr>
        <w:t xml:space="preserve">the </w:t>
      </w:r>
      <w:r w:rsidR="00237EC9">
        <w:rPr>
          <w:szCs w:val="22"/>
        </w:rPr>
        <w:t>Offering Materials</w:t>
      </w:r>
      <w:r w:rsidRPr="004849FA">
        <w:rPr>
          <w:szCs w:val="22"/>
        </w:rPr>
        <w:t xml:space="preserve"> describing the Replacement Issuing and Paying Agent as the Issuing and Paying Agent for the Notes, and reflecting any other changes thereto necessary in light of the Replacement so that the </w:t>
      </w:r>
      <w:r w:rsidR="00237EC9">
        <w:rPr>
          <w:szCs w:val="22"/>
        </w:rPr>
        <w:t>Offering Materials</w:t>
      </w:r>
      <w:r w:rsidRPr="004849FA">
        <w:rPr>
          <w:szCs w:val="22"/>
        </w:rPr>
        <w:t>, as amended</w:t>
      </w:r>
      <w:r w:rsidR="002B1A14">
        <w:rPr>
          <w:szCs w:val="22"/>
        </w:rPr>
        <w:t>,</w:t>
      </w:r>
      <w:r w:rsidRPr="004849FA">
        <w:rPr>
          <w:szCs w:val="22"/>
        </w:rPr>
        <w:t xml:space="preserve"> supplemented</w:t>
      </w:r>
      <w:r w:rsidR="002B1A14">
        <w:rPr>
          <w:szCs w:val="22"/>
        </w:rPr>
        <w:t xml:space="preserve"> or replaced</w:t>
      </w:r>
      <w:r w:rsidRPr="004849FA">
        <w:rPr>
          <w:szCs w:val="22"/>
        </w:rPr>
        <w:t>, satisf</w:t>
      </w:r>
      <w:r w:rsidR="00237EC9">
        <w:rPr>
          <w:szCs w:val="22"/>
        </w:rPr>
        <w:t>y</w:t>
      </w:r>
      <w:r w:rsidRPr="004849FA">
        <w:rPr>
          <w:szCs w:val="22"/>
        </w:rPr>
        <w:t xml:space="preserve"> the requirements of this Agreement, </w:t>
      </w:r>
      <w:r>
        <w:rPr>
          <w:szCs w:val="22"/>
        </w:rPr>
        <w:t>(</w:t>
      </w:r>
      <w:r w:rsidR="002B1A14">
        <w:rPr>
          <w:szCs w:val="22"/>
        </w:rPr>
        <w:t>v</w:t>
      </w:r>
      <w:r w:rsidRPr="004849FA">
        <w:rPr>
          <w:szCs w:val="22"/>
        </w:rPr>
        <w:t>) a legal opinion of counsel to the Issuer, addressed to the Dealer, in form and substance reasonably sati</w:t>
      </w:r>
      <w:r>
        <w:rPr>
          <w:szCs w:val="22"/>
        </w:rPr>
        <w:t>sfactory to the Dealer</w:t>
      </w:r>
      <w:r w:rsidR="00A71166">
        <w:rPr>
          <w:szCs w:val="22"/>
        </w:rPr>
        <w:t>,</w:t>
      </w:r>
      <w:r w:rsidR="005D0C9A" w:rsidRPr="004849FA">
        <w:rPr>
          <w:szCs w:val="22"/>
        </w:rPr>
        <w:t xml:space="preserve"> and (</w:t>
      </w:r>
      <w:r w:rsidR="005D0C9A">
        <w:rPr>
          <w:szCs w:val="22"/>
        </w:rPr>
        <w:t>vi</w:t>
      </w:r>
      <w:r w:rsidR="005D0C9A" w:rsidRPr="004849FA">
        <w:rPr>
          <w:szCs w:val="22"/>
        </w:rPr>
        <w:t>) such other matters as the Dealer may reasonably request</w:t>
      </w:r>
      <w:r w:rsidRPr="004849FA">
        <w:rPr>
          <w:szCs w:val="22"/>
        </w:rPr>
        <w:t>.</w:t>
      </w:r>
    </w:p>
    <w:p w14:paraId="2566E34B" w14:textId="77777777" w:rsidR="00FC1F62" w:rsidRDefault="00FC1F62" w:rsidP="00FC1F62">
      <w:pPr>
        <w:pStyle w:val="SAtext"/>
        <w:numPr>
          <w:ilvl w:val="1"/>
          <w:numId w:val="10"/>
        </w:numPr>
        <w:jc w:val="both"/>
      </w:pPr>
      <w:r>
        <w:t>Notwithstanding anything to the contrary in this Agreement, the parties hereto agree that:</w:t>
      </w:r>
    </w:p>
    <w:p w14:paraId="772A743B" w14:textId="6FB5E4E8" w:rsidR="00FC1F62" w:rsidRDefault="00FC1F62" w:rsidP="00FC1F62">
      <w:pPr>
        <w:pStyle w:val="SAtext"/>
        <w:tabs>
          <w:tab w:val="clear" w:pos="360"/>
        </w:tabs>
        <w:ind w:left="720"/>
        <w:jc w:val="both"/>
      </w:pPr>
      <w:r>
        <w:t xml:space="preserve">(a) In the event that the Dealer that is a Covered Entity becomes subject to a proceeding under a U.S. Special Resolution Regime, the transfer from </w:t>
      </w:r>
      <w:r w:rsidR="002B1A14">
        <w:t>the</w:t>
      </w:r>
      <w:r>
        <w:t xml:space="preserve"> Dealer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r>
    </w:p>
    <w:p w14:paraId="32BA0048" w14:textId="301B94BD" w:rsidR="00FC1F62" w:rsidRDefault="00FC1F62" w:rsidP="00FC1F62">
      <w:pPr>
        <w:pStyle w:val="SAtext"/>
        <w:ind w:left="720"/>
        <w:jc w:val="both"/>
      </w:pPr>
      <w:r>
        <w:t xml:space="preserve">(b) In the event that the Dealer that is a Covered Entity or a BHC Act Affiliate of </w:t>
      </w:r>
      <w:r w:rsidR="002B1A14">
        <w:t>the</w:t>
      </w:r>
      <w:r>
        <w:t xml:space="preserve"> Dealer becomes subject to a proceeding under a U.S. Special Resolution Regime, Default Rights under this Agreement that may be exercised against the Dealer are permitted to be exercised to no greater extent than such Default Rights could be exercised under the U.S. Special Resolution Regime if this Agreement were governed by the laws of the United States or a state of the United States.</w:t>
      </w:r>
    </w:p>
    <w:p w14:paraId="229E13B6" w14:textId="77777777" w:rsidR="00FC1F62" w:rsidRDefault="00FC1F62" w:rsidP="00041B42">
      <w:pPr>
        <w:pStyle w:val="SAtext"/>
        <w:tabs>
          <w:tab w:val="clear" w:pos="360"/>
        </w:tabs>
        <w:ind w:left="630"/>
        <w:jc w:val="both"/>
      </w:pPr>
    </w:p>
    <w:p w14:paraId="7688B007" w14:textId="77777777" w:rsidR="00BF741A" w:rsidRDefault="00BF741A">
      <w:pPr>
        <w:pStyle w:val="SAtext"/>
      </w:pPr>
      <w:r>
        <w:br w:type="page"/>
      </w:r>
      <w:r>
        <w:lastRenderedPageBreak/>
        <w:t>IN WITNESS WHEREOF, the parties hereto have caused this Agreement to be executed as of the date and year first above written.</w:t>
      </w:r>
    </w:p>
    <w:tbl>
      <w:tblPr>
        <w:tblW w:w="0" w:type="auto"/>
        <w:tblLook w:val="0000" w:firstRow="0" w:lastRow="0" w:firstColumn="0" w:lastColumn="0" w:noHBand="0" w:noVBand="0"/>
      </w:tblPr>
      <w:tblGrid>
        <w:gridCol w:w="4462"/>
        <w:gridCol w:w="4463"/>
      </w:tblGrid>
      <w:tr w:rsidR="00BF741A" w14:paraId="008D2C49" w14:textId="77777777">
        <w:tc>
          <w:tcPr>
            <w:tcW w:w="4788" w:type="dxa"/>
            <w:vAlign w:val="bottom"/>
          </w:tcPr>
          <w:p w14:paraId="74D5F58D" w14:textId="32F77D7D" w:rsidR="00BF741A" w:rsidRDefault="00FF100F">
            <w:pPr>
              <w:pStyle w:val="CG-SingleSp"/>
              <w:tabs>
                <w:tab w:val="left" w:pos="1800"/>
              </w:tabs>
              <w:spacing w:before="120" w:after="60"/>
              <w:rPr>
                <w:sz w:val="22"/>
                <w:szCs w:val="22"/>
              </w:rPr>
            </w:pPr>
            <w:r>
              <w:rPr>
                <w:b/>
                <w:bCs/>
                <w:sz w:val="22"/>
                <w:szCs w:val="22"/>
              </w:rPr>
              <w:t>[INSERT NAME]</w:t>
            </w:r>
            <w:r w:rsidR="00BF741A">
              <w:rPr>
                <w:sz w:val="22"/>
                <w:szCs w:val="22"/>
              </w:rPr>
              <w:t xml:space="preserve">, </w:t>
            </w:r>
            <w:r w:rsidR="00BF741A">
              <w:rPr>
                <w:b/>
                <w:sz w:val="22"/>
                <w:szCs w:val="22"/>
              </w:rPr>
              <w:t>as Issuer</w:t>
            </w:r>
          </w:p>
        </w:tc>
        <w:tc>
          <w:tcPr>
            <w:tcW w:w="4788" w:type="dxa"/>
            <w:vAlign w:val="bottom"/>
          </w:tcPr>
          <w:p w14:paraId="4F3A098C" w14:textId="7A4F0025" w:rsidR="00BF741A" w:rsidRDefault="00B774D1">
            <w:pPr>
              <w:pStyle w:val="CG-SingleSp"/>
              <w:tabs>
                <w:tab w:val="left" w:pos="3492"/>
              </w:tabs>
              <w:spacing w:before="120" w:after="60"/>
              <w:rPr>
                <w:sz w:val="22"/>
                <w:szCs w:val="22"/>
              </w:rPr>
            </w:pPr>
            <w:r>
              <w:rPr>
                <w:b/>
                <w:bCs/>
                <w:sz w:val="22"/>
                <w:szCs w:val="22"/>
              </w:rPr>
              <w:t>[INSERT NAME]</w:t>
            </w:r>
            <w:r w:rsidR="00BF741A">
              <w:rPr>
                <w:sz w:val="22"/>
                <w:szCs w:val="22"/>
              </w:rPr>
              <w:t xml:space="preserve">, </w:t>
            </w:r>
            <w:r w:rsidR="00BF741A">
              <w:rPr>
                <w:b/>
                <w:sz w:val="22"/>
                <w:szCs w:val="22"/>
              </w:rPr>
              <w:t>as Dealer</w:t>
            </w:r>
          </w:p>
        </w:tc>
      </w:tr>
      <w:tr w:rsidR="00BF741A" w14:paraId="597951D8" w14:textId="77777777">
        <w:tc>
          <w:tcPr>
            <w:tcW w:w="4788" w:type="dxa"/>
            <w:vAlign w:val="bottom"/>
          </w:tcPr>
          <w:p w14:paraId="42E899A0" w14:textId="77777777" w:rsidR="00BF741A" w:rsidRDefault="00BF741A">
            <w:pPr>
              <w:pStyle w:val="CG-SingleSp"/>
              <w:tabs>
                <w:tab w:val="left" w:pos="4500"/>
              </w:tabs>
              <w:spacing w:before="120" w:after="60"/>
              <w:ind w:right="72"/>
              <w:rPr>
                <w:sz w:val="22"/>
                <w:szCs w:val="22"/>
              </w:rPr>
            </w:pPr>
            <w:r>
              <w:rPr>
                <w:sz w:val="22"/>
                <w:szCs w:val="22"/>
              </w:rPr>
              <w:t>By:</w:t>
            </w:r>
            <w:r>
              <w:rPr>
                <w:sz w:val="22"/>
                <w:szCs w:val="22"/>
                <w:u w:val="single"/>
              </w:rPr>
              <w:tab/>
            </w:r>
          </w:p>
        </w:tc>
        <w:tc>
          <w:tcPr>
            <w:tcW w:w="4788" w:type="dxa"/>
            <w:vAlign w:val="bottom"/>
          </w:tcPr>
          <w:p w14:paraId="705A764D" w14:textId="77777777" w:rsidR="00BF741A" w:rsidRDefault="00BF741A">
            <w:pPr>
              <w:pStyle w:val="CG-SingleSp"/>
              <w:tabs>
                <w:tab w:val="left" w:pos="4500"/>
              </w:tabs>
              <w:spacing w:before="120" w:after="60"/>
              <w:ind w:right="72"/>
              <w:rPr>
                <w:sz w:val="22"/>
                <w:szCs w:val="22"/>
              </w:rPr>
            </w:pPr>
            <w:r>
              <w:rPr>
                <w:sz w:val="22"/>
                <w:szCs w:val="22"/>
              </w:rPr>
              <w:t>By:</w:t>
            </w:r>
            <w:r>
              <w:rPr>
                <w:sz w:val="22"/>
                <w:szCs w:val="22"/>
                <w:u w:val="single"/>
              </w:rPr>
              <w:tab/>
            </w:r>
          </w:p>
        </w:tc>
      </w:tr>
      <w:tr w:rsidR="00BF741A" w14:paraId="7F7779F1" w14:textId="77777777">
        <w:tc>
          <w:tcPr>
            <w:tcW w:w="4788" w:type="dxa"/>
            <w:vAlign w:val="bottom"/>
          </w:tcPr>
          <w:p w14:paraId="1E45BEA3" w14:textId="77777777" w:rsidR="00BF741A" w:rsidRDefault="00BF741A">
            <w:pPr>
              <w:pStyle w:val="CG-SingleSp"/>
              <w:tabs>
                <w:tab w:val="left" w:pos="4500"/>
              </w:tabs>
              <w:spacing w:before="120" w:after="60"/>
              <w:ind w:right="72"/>
              <w:rPr>
                <w:sz w:val="22"/>
                <w:szCs w:val="22"/>
              </w:rPr>
            </w:pPr>
            <w:r>
              <w:rPr>
                <w:sz w:val="22"/>
                <w:szCs w:val="22"/>
              </w:rPr>
              <w:t>Name:</w:t>
            </w:r>
            <w:r>
              <w:rPr>
                <w:sz w:val="22"/>
                <w:szCs w:val="22"/>
                <w:u w:val="single"/>
              </w:rPr>
              <w:tab/>
            </w:r>
          </w:p>
        </w:tc>
        <w:tc>
          <w:tcPr>
            <w:tcW w:w="4788" w:type="dxa"/>
            <w:vAlign w:val="bottom"/>
          </w:tcPr>
          <w:p w14:paraId="74AF2DA8" w14:textId="77777777" w:rsidR="00BF741A" w:rsidRDefault="00BF741A">
            <w:pPr>
              <w:pStyle w:val="CG-SingleSp"/>
              <w:tabs>
                <w:tab w:val="left" w:pos="4500"/>
              </w:tabs>
              <w:spacing w:before="120" w:after="60"/>
              <w:ind w:right="72"/>
              <w:rPr>
                <w:sz w:val="22"/>
                <w:szCs w:val="22"/>
              </w:rPr>
            </w:pPr>
            <w:r>
              <w:rPr>
                <w:sz w:val="22"/>
                <w:szCs w:val="22"/>
              </w:rPr>
              <w:t>Name:</w:t>
            </w:r>
            <w:r>
              <w:rPr>
                <w:sz w:val="22"/>
                <w:szCs w:val="22"/>
                <w:u w:val="single"/>
              </w:rPr>
              <w:tab/>
            </w:r>
          </w:p>
        </w:tc>
      </w:tr>
      <w:tr w:rsidR="00BF741A" w14:paraId="793BA347" w14:textId="77777777">
        <w:tc>
          <w:tcPr>
            <w:tcW w:w="4788" w:type="dxa"/>
            <w:vAlign w:val="bottom"/>
          </w:tcPr>
          <w:p w14:paraId="258E12C1" w14:textId="77777777" w:rsidR="00BF741A" w:rsidRDefault="00BF741A">
            <w:pPr>
              <w:pStyle w:val="CG-SingleSp"/>
              <w:tabs>
                <w:tab w:val="left" w:pos="4500"/>
              </w:tabs>
              <w:spacing w:before="120" w:after="60"/>
              <w:ind w:right="72"/>
              <w:rPr>
                <w:sz w:val="22"/>
                <w:szCs w:val="22"/>
              </w:rPr>
            </w:pPr>
            <w:r>
              <w:rPr>
                <w:sz w:val="22"/>
                <w:szCs w:val="22"/>
              </w:rPr>
              <w:t>Title:</w:t>
            </w:r>
            <w:r>
              <w:rPr>
                <w:sz w:val="22"/>
                <w:szCs w:val="22"/>
                <w:u w:val="single"/>
              </w:rPr>
              <w:tab/>
            </w:r>
          </w:p>
        </w:tc>
        <w:tc>
          <w:tcPr>
            <w:tcW w:w="4788" w:type="dxa"/>
            <w:vAlign w:val="bottom"/>
          </w:tcPr>
          <w:p w14:paraId="567247DC" w14:textId="77777777" w:rsidR="00BF741A" w:rsidRDefault="00BF741A">
            <w:pPr>
              <w:pStyle w:val="CG-SingleSp"/>
              <w:tabs>
                <w:tab w:val="left" w:pos="4500"/>
              </w:tabs>
              <w:spacing w:before="120" w:after="60"/>
              <w:ind w:right="72"/>
              <w:rPr>
                <w:sz w:val="22"/>
                <w:szCs w:val="22"/>
              </w:rPr>
            </w:pPr>
            <w:r>
              <w:rPr>
                <w:sz w:val="22"/>
                <w:szCs w:val="22"/>
              </w:rPr>
              <w:t>Title:</w:t>
            </w:r>
            <w:r>
              <w:rPr>
                <w:sz w:val="22"/>
                <w:szCs w:val="22"/>
                <w:u w:val="single"/>
              </w:rPr>
              <w:tab/>
            </w:r>
          </w:p>
        </w:tc>
      </w:tr>
    </w:tbl>
    <w:p w14:paraId="7FF3CB42" w14:textId="77777777" w:rsidR="00BF741A" w:rsidRDefault="00BF741A">
      <w:pPr>
        <w:pStyle w:val="SAtext"/>
      </w:pPr>
    </w:p>
    <w:tbl>
      <w:tblPr>
        <w:tblW w:w="0" w:type="auto"/>
        <w:tblLook w:val="0000" w:firstRow="0" w:lastRow="0" w:firstColumn="0" w:lastColumn="0" w:noHBand="0" w:noVBand="0"/>
      </w:tblPr>
      <w:tblGrid>
        <w:gridCol w:w="4746"/>
        <w:gridCol w:w="4179"/>
      </w:tblGrid>
      <w:tr w:rsidR="00A27511" w14:paraId="4547F043" w14:textId="77777777" w:rsidTr="00A12C7E">
        <w:tc>
          <w:tcPr>
            <w:tcW w:w="4788" w:type="dxa"/>
            <w:vAlign w:val="bottom"/>
          </w:tcPr>
          <w:p w14:paraId="2BB78912" w14:textId="15F16E30" w:rsidR="00A27511" w:rsidRDefault="00A27511" w:rsidP="00A12C7E">
            <w:pPr>
              <w:pStyle w:val="CG-SingleSp"/>
              <w:tabs>
                <w:tab w:val="left" w:pos="1800"/>
              </w:tabs>
              <w:spacing w:before="120" w:after="60"/>
              <w:rPr>
                <w:sz w:val="22"/>
                <w:szCs w:val="22"/>
              </w:rPr>
            </w:pPr>
            <w:r>
              <w:rPr>
                <w:b/>
                <w:bCs/>
                <w:sz w:val="22"/>
                <w:szCs w:val="22"/>
              </w:rPr>
              <w:t>[</w:t>
            </w:r>
            <w:r w:rsidR="00A71166">
              <w:rPr>
                <w:b/>
                <w:bCs/>
                <w:sz w:val="22"/>
                <w:szCs w:val="22"/>
              </w:rPr>
              <w:t xml:space="preserve">INSERT </w:t>
            </w:r>
            <w:r>
              <w:rPr>
                <w:b/>
                <w:bCs/>
                <w:sz w:val="22"/>
                <w:szCs w:val="22"/>
              </w:rPr>
              <w:t>NAME]</w:t>
            </w:r>
            <w:r>
              <w:rPr>
                <w:sz w:val="22"/>
                <w:szCs w:val="22"/>
              </w:rPr>
              <w:t xml:space="preserve">, </w:t>
            </w:r>
            <w:r>
              <w:rPr>
                <w:b/>
                <w:sz w:val="22"/>
                <w:szCs w:val="22"/>
              </w:rPr>
              <w:t>as GUARANTOR</w:t>
            </w:r>
          </w:p>
        </w:tc>
        <w:tc>
          <w:tcPr>
            <w:tcW w:w="4788" w:type="dxa"/>
            <w:vAlign w:val="bottom"/>
          </w:tcPr>
          <w:p w14:paraId="3B123A00" w14:textId="14CCDA12" w:rsidR="00A27511" w:rsidRDefault="00A27511" w:rsidP="00A12C7E">
            <w:pPr>
              <w:pStyle w:val="CG-SingleSp"/>
              <w:tabs>
                <w:tab w:val="left" w:pos="3492"/>
              </w:tabs>
              <w:spacing w:before="120" w:after="60"/>
              <w:rPr>
                <w:sz w:val="22"/>
                <w:szCs w:val="22"/>
              </w:rPr>
            </w:pPr>
          </w:p>
        </w:tc>
      </w:tr>
      <w:tr w:rsidR="00A27511" w14:paraId="19A04AC4" w14:textId="77777777" w:rsidTr="00A12C7E">
        <w:tc>
          <w:tcPr>
            <w:tcW w:w="4788" w:type="dxa"/>
            <w:vAlign w:val="bottom"/>
          </w:tcPr>
          <w:p w14:paraId="73D90125" w14:textId="77777777" w:rsidR="00A27511" w:rsidRDefault="00A27511" w:rsidP="00A12C7E">
            <w:pPr>
              <w:pStyle w:val="CG-SingleSp"/>
              <w:tabs>
                <w:tab w:val="left" w:pos="4500"/>
              </w:tabs>
              <w:spacing w:before="120" w:after="60"/>
              <w:ind w:right="72"/>
              <w:rPr>
                <w:sz w:val="22"/>
                <w:szCs w:val="22"/>
              </w:rPr>
            </w:pPr>
            <w:r>
              <w:rPr>
                <w:sz w:val="22"/>
                <w:szCs w:val="22"/>
              </w:rPr>
              <w:t>By:</w:t>
            </w:r>
            <w:r>
              <w:rPr>
                <w:sz w:val="22"/>
                <w:szCs w:val="22"/>
                <w:u w:val="single"/>
              </w:rPr>
              <w:tab/>
            </w:r>
          </w:p>
        </w:tc>
        <w:tc>
          <w:tcPr>
            <w:tcW w:w="4788" w:type="dxa"/>
            <w:vAlign w:val="bottom"/>
          </w:tcPr>
          <w:p w14:paraId="670DDB3B" w14:textId="70508619" w:rsidR="00A27511" w:rsidRDefault="00A27511" w:rsidP="00A12C7E">
            <w:pPr>
              <w:pStyle w:val="CG-SingleSp"/>
              <w:tabs>
                <w:tab w:val="left" w:pos="4500"/>
              </w:tabs>
              <w:spacing w:before="120" w:after="60"/>
              <w:ind w:right="72"/>
              <w:rPr>
                <w:sz w:val="22"/>
                <w:szCs w:val="22"/>
              </w:rPr>
            </w:pPr>
          </w:p>
        </w:tc>
      </w:tr>
      <w:tr w:rsidR="00A27511" w14:paraId="17F3095B" w14:textId="77777777" w:rsidTr="00A12C7E">
        <w:tc>
          <w:tcPr>
            <w:tcW w:w="4788" w:type="dxa"/>
            <w:vAlign w:val="bottom"/>
          </w:tcPr>
          <w:p w14:paraId="3560FCFF" w14:textId="77777777" w:rsidR="00A27511" w:rsidRDefault="00A27511" w:rsidP="00A12C7E">
            <w:pPr>
              <w:pStyle w:val="CG-SingleSp"/>
              <w:tabs>
                <w:tab w:val="left" w:pos="4500"/>
              </w:tabs>
              <w:spacing w:before="120" w:after="60"/>
              <w:ind w:right="72"/>
              <w:rPr>
                <w:sz w:val="22"/>
                <w:szCs w:val="22"/>
              </w:rPr>
            </w:pPr>
            <w:r>
              <w:rPr>
                <w:sz w:val="22"/>
                <w:szCs w:val="22"/>
              </w:rPr>
              <w:t>Name:</w:t>
            </w:r>
            <w:r>
              <w:rPr>
                <w:sz w:val="22"/>
                <w:szCs w:val="22"/>
                <w:u w:val="single"/>
              </w:rPr>
              <w:tab/>
            </w:r>
          </w:p>
        </w:tc>
        <w:tc>
          <w:tcPr>
            <w:tcW w:w="4788" w:type="dxa"/>
            <w:vAlign w:val="bottom"/>
          </w:tcPr>
          <w:p w14:paraId="64D69A87" w14:textId="05921F2B" w:rsidR="00A27511" w:rsidRDefault="00A27511" w:rsidP="00A12C7E">
            <w:pPr>
              <w:pStyle w:val="CG-SingleSp"/>
              <w:tabs>
                <w:tab w:val="left" w:pos="4500"/>
              </w:tabs>
              <w:spacing w:before="120" w:after="60"/>
              <w:ind w:right="72"/>
              <w:rPr>
                <w:sz w:val="22"/>
                <w:szCs w:val="22"/>
              </w:rPr>
            </w:pPr>
          </w:p>
        </w:tc>
      </w:tr>
      <w:tr w:rsidR="00A27511" w14:paraId="5C6944B4" w14:textId="77777777" w:rsidTr="00A12C7E">
        <w:tc>
          <w:tcPr>
            <w:tcW w:w="4788" w:type="dxa"/>
            <w:vAlign w:val="bottom"/>
          </w:tcPr>
          <w:p w14:paraId="61BAB981" w14:textId="77777777" w:rsidR="00A27511" w:rsidRDefault="00A27511" w:rsidP="00A12C7E">
            <w:pPr>
              <w:pStyle w:val="CG-SingleSp"/>
              <w:tabs>
                <w:tab w:val="left" w:pos="4500"/>
              </w:tabs>
              <w:spacing w:before="120" w:after="60"/>
              <w:ind w:right="72"/>
              <w:rPr>
                <w:sz w:val="22"/>
                <w:szCs w:val="22"/>
              </w:rPr>
            </w:pPr>
            <w:r>
              <w:rPr>
                <w:sz w:val="22"/>
                <w:szCs w:val="22"/>
              </w:rPr>
              <w:t>Title:</w:t>
            </w:r>
            <w:r>
              <w:rPr>
                <w:sz w:val="22"/>
                <w:szCs w:val="22"/>
                <w:u w:val="single"/>
              </w:rPr>
              <w:tab/>
            </w:r>
          </w:p>
        </w:tc>
        <w:tc>
          <w:tcPr>
            <w:tcW w:w="4788" w:type="dxa"/>
            <w:vAlign w:val="bottom"/>
          </w:tcPr>
          <w:p w14:paraId="536B74B6" w14:textId="2ABE71A4" w:rsidR="00A27511" w:rsidRDefault="00A27511" w:rsidP="00A12C7E">
            <w:pPr>
              <w:pStyle w:val="CG-SingleSp"/>
              <w:tabs>
                <w:tab w:val="left" w:pos="4500"/>
              </w:tabs>
              <w:spacing w:before="120" w:after="60"/>
              <w:ind w:right="72"/>
              <w:rPr>
                <w:sz w:val="22"/>
                <w:szCs w:val="22"/>
              </w:rPr>
            </w:pPr>
          </w:p>
        </w:tc>
      </w:tr>
    </w:tbl>
    <w:p w14:paraId="46C9958B" w14:textId="77777777" w:rsidR="00BF741A" w:rsidRDefault="00BF741A">
      <w:pPr>
        <w:pStyle w:val="SAtext"/>
      </w:pPr>
    </w:p>
    <w:p w14:paraId="3E7AC4FF" w14:textId="77777777" w:rsidR="00BF741A" w:rsidRDefault="00BF741A">
      <w:pPr>
        <w:pStyle w:val="SAtext"/>
      </w:pPr>
    </w:p>
    <w:p w14:paraId="06E439C4" w14:textId="77777777" w:rsidR="00BF741A" w:rsidRDefault="00BF741A">
      <w:pPr>
        <w:pStyle w:val="SAtext"/>
      </w:pPr>
    </w:p>
    <w:p w14:paraId="7C88C07B" w14:textId="77777777" w:rsidR="00BF741A" w:rsidRDefault="00BF741A">
      <w:pPr>
        <w:pStyle w:val="SAtext"/>
      </w:pPr>
    </w:p>
    <w:p w14:paraId="254D3C4D" w14:textId="77777777" w:rsidR="00BF741A" w:rsidRDefault="00BF741A">
      <w:pPr>
        <w:pStyle w:val="SAtext"/>
      </w:pPr>
    </w:p>
    <w:p w14:paraId="1F0F1524" w14:textId="77777777" w:rsidR="00BF741A" w:rsidRDefault="00BF741A">
      <w:pPr>
        <w:pStyle w:val="SAtext"/>
      </w:pPr>
    </w:p>
    <w:p w14:paraId="20AABE47" w14:textId="77777777" w:rsidR="00BF741A" w:rsidRDefault="00BF741A">
      <w:pPr>
        <w:pStyle w:val="SAtext"/>
      </w:pPr>
    </w:p>
    <w:p w14:paraId="5152661C" w14:textId="77777777" w:rsidR="00BF741A" w:rsidRDefault="00BF741A">
      <w:pPr>
        <w:pStyle w:val="SAtext"/>
      </w:pPr>
    </w:p>
    <w:p w14:paraId="6124227A" w14:textId="77777777" w:rsidR="00BF741A" w:rsidRDefault="00BF741A">
      <w:pPr>
        <w:pStyle w:val="SAtext"/>
      </w:pPr>
    </w:p>
    <w:p w14:paraId="424B8826" w14:textId="0E34BA73" w:rsidR="00BF741A" w:rsidRDefault="00BF741A">
      <w:pPr>
        <w:pStyle w:val="SASubhd1"/>
        <w:spacing w:after="0"/>
        <w:rPr>
          <w:bCs/>
          <w:sz w:val="24"/>
        </w:rPr>
      </w:pPr>
      <w:r>
        <w:rPr>
          <w:bCs/>
          <w:sz w:val="24"/>
        </w:rPr>
        <w:br w:type="page"/>
      </w:r>
      <w:r>
        <w:rPr>
          <w:bCs/>
          <w:sz w:val="24"/>
        </w:rPr>
        <w:lastRenderedPageBreak/>
        <w:t xml:space="preserve">Addendum </w:t>
      </w:r>
    </w:p>
    <w:p w14:paraId="66B2EDDF" w14:textId="77777777" w:rsidR="00BF741A" w:rsidRDefault="00BF741A">
      <w:pPr>
        <w:pStyle w:val="SAtext"/>
      </w:pPr>
      <w:r>
        <w:t>The following additional clauses shall apply to the Agreement and be deemed a part thereof.</w:t>
      </w:r>
    </w:p>
    <w:p w14:paraId="795C7C91" w14:textId="21D90393" w:rsidR="00BF741A" w:rsidRDefault="00BF741A" w:rsidP="00D2221C">
      <w:pPr>
        <w:pStyle w:val="SAtext"/>
        <w:numPr>
          <w:ilvl w:val="1"/>
          <w:numId w:val="7"/>
        </w:numPr>
        <w:tabs>
          <w:tab w:val="num" w:pos="1170"/>
        </w:tabs>
        <w:ind w:left="360"/>
      </w:pPr>
      <w:r>
        <w:t xml:space="preserve">The </w:t>
      </w:r>
      <w:r w:rsidR="002B1A14">
        <w:t>O</w:t>
      </w:r>
      <w:r>
        <w:t xml:space="preserve">ther </w:t>
      </w:r>
      <w:r w:rsidR="002B1A14">
        <w:t>D</w:t>
      </w:r>
      <w:r>
        <w:t>ealers referred to in clause (b) of Section 1.2 of the Agreement are _______________________________________________________.</w:t>
      </w:r>
    </w:p>
    <w:p w14:paraId="6C23D0D7" w14:textId="77777777" w:rsidR="00BF741A" w:rsidRDefault="00BF741A">
      <w:pPr>
        <w:pStyle w:val="SAtext"/>
        <w:tabs>
          <w:tab w:val="left" w:pos="990"/>
        </w:tabs>
        <w:ind w:left="990"/>
      </w:pPr>
      <w:r>
        <w:t xml:space="preserve"> </w:t>
      </w:r>
    </w:p>
    <w:p w14:paraId="044A068C" w14:textId="70FFDF7B" w:rsidR="00E93A7E" w:rsidRDefault="00E93A7E">
      <w:pPr>
        <w:pStyle w:val="SAtext"/>
        <w:ind w:left="990" w:hanging="630"/>
      </w:pPr>
    </w:p>
    <w:p w14:paraId="7357F0B0" w14:textId="5017A39A" w:rsidR="00BF741A" w:rsidRDefault="00BF741A">
      <w:pPr>
        <w:pStyle w:val="SAtext"/>
        <w:tabs>
          <w:tab w:val="clear" w:pos="360"/>
          <w:tab w:val="left" w:pos="990"/>
        </w:tabs>
        <w:spacing w:before="0"/>
        <w:ind w:left="994" w:hanging="634"/>
      </w:pPr>
    </w:p>
    <w:p w14:paraId="0FB993BD" w14:textId="77777777" w:rsidR="00BF741A" w:rsidRDefault="00BF741A">
      <w:pPr>
        <w:pStyle w:val="SAtext"/>
        <w:tabs>
          <w:tab w:val="clear" w:pos="360"/>
          <w:tab w:val="left" w:pos="990"/>
        </w:tabs>
        <w:spacing w:before="0"/>
        <w:ind w:left="994" w:hanging="634"/>
      </w:pPr>
    </w:p>
    <w:p w14:paraId="5D65809E" w14:textId="77777777" w:rsidR="00BF741A" w:rsidRDefault="00BF741A" w:rsidP="00D2221C">
      <w:pPr>
        <w:pStyle w:val="SAtext"/>
        <w:numPr>
          <w:ilvl w:val="1"/>
          <w:numId w:val="7"/>
        </w:numPr>
        <w:tabs>
          <w:tab w:val="clear" w:pos="360"/>
          <w:tab w:val="num" w:pos="1095"/>
        </w:tabs>
        <w:ind w:left="360"/>
      </w:pPr>
      <w:r>
        <w:t>The addresses of the respective parties for purposes of notices under Section 7.1 are as follows:</w:t>
      </w:r>
    </w:p>
    <w:p w14:paraId="1A0407C4" w14:textId="77777777" w:rsidR="00BF741A" w:rsidRDefault="00BF741A">
      <w:pPr>
        <w:pStyle w:val="SAtext"/>
      </w:pPr>
      <w:r>
        <w:t>For the Issuer:</w:t>
      </w:r>
    </w:p>
    <w:p w14:paraId="27AA9FEE" w14:textId="77777777" w:rsidR="00BF741A" w:rsidRDefault="00BF741A">
      <w:pPr>
        <w:pStyle w:val="SAtext"/>
      </w:pPr>
      <w:r>
        <w:t>Address:_______________________________________________________________</w:t>
      </w:r>
      <w:r>
        <w:tab/>
      </w:r>
    </w:p>
    <w:p w14:paraId="57C62A00" w14:textId="77777777" w:rsidR="00BF741A" w:rsidRDefault="00BF741A">
      <w:pPr>
        <w:pStyle w:val="SAtext"/>
      </w:pPr>
      <w:r>
        <w:t>Attention:______________________________________________________________</w:t>
      </w:r>
      <w:r>
        <w:tab/>
      </w:r>
    </w:p>
    <w:p w14:paraId="68463935" w14:textId="77777777" w:rsidR="00BF741A" w:rsidRDefault="00BF741A">
      <w:pPr>
        <w:pStyle w:val="SAtext"/>
      </w:pPr>
      <w:r>
        <w:t>Telephone number:_______________________________________________________</w:t>
      </w:r>
    </w:p>
    <w:p w14:paraId="690DA614" w14:textId="396F0326" w:rsidR="00BF741A" w:rsidRDefault="00356242">
      <w:pPr>
        <w:pStyle w:val="SAtext"/>
      </w:pPr>
      <w:r>
        <w:t>Email address</w:t>
      </w:r>
      <w:r w:rsidR="00BF741A">
        <w:t>:____________________________________________________________</w:t>
      </w:r>
    </w:p>
    <w:p w14:paraId="0E010600" w14:textId="66ADD1B0" w:rsidR="00A2485C" w:rsidRDefault="00A2485C" w:rsidP="00A2485C">
      <w:pPr>
        <w:pStyle w:val="SAtext"/>
      </w:pPr>
      <w:r>
        <w:t>For the Guarantor:</w:t>
      </w:r>
    </w:p>
    <w:p w14:paraId="584FEA9E" w14:textId="77777777" w:rsidR="00A2485C" w:rsidRDefault="00A2485C" w:rsidP="00A2485C">
      <w:pPr>
        <w:pStyle w:val="SAtext"/>
      </w:pPr>
      <w:r>
        <w:t>Address:_______________________________________________________________</w:t>
      </w:r>
      <w:r>
        <w:tab/>
      </w:r>
    </w:p>
    <w:p w14:paraId="0CE88738" w14:textId="77777777" w:rsidR="00A2485C" w:rsidRDefault="00A2485C" w:rsidP="00A2485C">
      <w:pPr>
        <w:pStyle w:val="SAtext"/>
      </w:pPr>
      <w:r>
        <w:t>Attention:______________________________________________________________</w:t>
      </w:r>
      <w:r>
        <w:tab/>
      </w:r>
    </w:p>
    <w:p w14:paraId="4F981E53" w14:textId="77777777" w:rsidR="00A2485C" w:rsidRDefault="00A2485C" w:rsidP="00A2485C">
      <w:pPr>
        <w:pStyle w:val="SAtext"/>
      </w:pPr>
      <w:r>
        <w:t>Telephone number:_______________________________________________________</w:t>
      </w:r>
    </w:p>
    <w:p w14:paraId="72D8A929" w14:textId="07981634" w:rsidR="00A2485C" w:rsidRDefault="00A2485C">
      <w:pPr>
        <w:pStyle w:val="SAtext"/>
      </w:pPr>
      <w:r>
        <w:t>Email address:____________________________________________________________</w:t>
      </w:r>
    </w:p>
    <w:p w14:paraId="4BA948D2" w14:textId="77777777" w:rsidR="00BF741A" w:rsidRDefault="00BF741A">
      <w:pPr>
        <w:pStyle w:val="SAtext"/>
      </w:pPr>
      <w:r>
        <w:t>For the Dealer:</w:t>
      </w:r>
    </w:p>
    <w:p w14:paraId="62E17506" w14:textId="77777777" w:rsidR="00B774D1" w:rsidRDefault="00B774D1" w:rsidP="00B774D1">
      <w:pPr>
        <w:pStyle w:val="SAtext"/>
      </w:pPr>
      <w:r>
        <w:t>Address:_______________________________________________________________</w:t>
      </w:r>
      <w:r>
        <w:tab/>
      </w:r>
    </w:p>
    <w:p w14:paraId="7E535F23" w14:textId="77777777" w:rsidR="00B774D1" w:rsidRDefault="00B774D1" w:rsidP="00B774D1">
      <w:pPr>
        <w:pStyle w:val="SAtext"/>
      </w:pPr>
      <w:r>
        <w:t>Attention:______________________________________________________________</w:t>
      </w:r>
      <w:r>
        <w:tab/>
      </w:r>
    </w:p>
    <w:p w14:paraId="5F75BA7F" w14:textId="77777777" w:rsidR="00B774D1" w:rsidRDefault="00B774D1" w:rsidP="00B774D1">
      <w:pPr>
        <w:pStyle w:val="SAtext"/>
      </w:pPr>
      <w:r>
        <w:t>Telephone number:_______________________________________________________</w:t>
      </w:r>
    </w:p>
    <w:p w14:paraId="428092D9" w14:textId="77777777" w:rsidR="00B774D1" w:rsidRDefault="00B774D1" w:rsidP="00B774D1">
      <w:pPr>
        <w:pStyle w:val="SAtext"/>
      </w:pPr>
      <w:r>
        <w:t>Email address:____________________________________________________________</w:t>
      </w:r>
    </w:p>
    <w:p w14:paraId="13EFAF05" w14:textId="2D42B80D" w:rsidR="00BF741A" w:rsidRDefault="00BF741A">
      <w:pPr>
        <w:pStyle w:val="SAtext"/>
        <w:tabs>
          <w:tab w:val="clear" w:pos="360"/>
          <w:tab w:val="left" w:pos="720"/>
        </w:tabs>
        <w:ind w:left="720" w:hanging="360"/>
      </w:pPr>
    </w:p>
    <w:p w14:paraId="1CB4E2CC" w14:textId="56EF962A" w:rsidR="00BF741A" w:rsidRDefault="00BF741A">
      <w:pPr>
        <w:pStyle w:val="SAtext"/>
        <w:ind w:left="360"/>
      </w:pPr>
    </w:p>
    <w:p w14:paraId="5CE58F77" w14:textId="1A6C08D6" w:rsidR="00BF741A" w:rsidRDefault="00BF741A">
      <w:pPr>
        <w:pStyle w:val="SAtext"/>
        <w:tabs>
          <w:tab w:val="clear" w:pos="360"/>
          <w:tab w:val="left" w:pos="1080"/>
        </w:tabs>
        <w:ind w:left="1080" w:hanging="450"/>
      </w:pPr>
    </w:p>
    <w:p w14:paraId="6DBDA789" w14:textId="77777777" w:rsidR="00BF741A" w:rsidRDefault="00BF741A">
      <w:pPr>
        <w:pStyle w:val="SAtext"/>
      </w:pPr>
      <w:r>
        <w:t xml:space="preserve"> </w:t>
      </w:r>
    </w:p>
    <w:p w14:paraId="51BEB138" w14:textId="4EF11F21" w:rsidR="00BF741A" w:rsidRDefault="00BF741A" w:rsidP="00A71166">
      <w:pPr>
        <w:pStyle w:val="SASubhd1"/>
      </w:pPr>
      <w:r>
        <w:br w:type="page"/>
      </w:r>
      <w:r w:rsidR="00E51F66" w:rsidDel="00E51F66">
        <w:rPr>
          <w:sz w:val="24"/>
          <w:szCs w:val="24"/>
        </w:rPr>
        <w:lastRenderedPageBreak/>
        <w:t xml:space="preserve"> </w:t>
      </w:r>
      <w:r>
        <w:rPr>
          <w:sz w:val="24"/>
          <w:szCs w:val="24"/>
        </w:rPr>
        <w:t>Exhibit A</w:t>
      </w:r>
    </w:p>
    <w:p w14:paraId="52E20E46" w14:textId="76E4B898" w:rsidR="00BD6DC7" w:rsidRPr="00BD6DC7" w:rsidRDefault="00BD6DC7" w:rsidP="00BD6DC7">
      <w:pPr>
        <w:keepNext/>
        <w:tabs>
          <w:tab w:val="left" w:pos="360"/>
        </w:tabs>
        <w:spacing w:after="240"/>
        <w:rPr>
          <w:rFonts w:ascii="Times New Roman" w:hAnsi="Times New Roman"/>
          <w:b/>
          <w:sz w:val="22"/>
          <w:szCs w:val="22"/>
        </w:rPr>
      </w:pPr>
      <w:r w:rsidRPr="00BD6DC7">
        <w:rPr>
          <w:rFonts w:ascii="Times New Roman" w:hAnsi="Times New Roman"/>
          <w:b/>
          <w:sz w:val="22"/>
          <w:szCs w:val="22"/>
        </w:rPr>
        <w:t xml:space="preserve">Statement of Terms for Interest – Bearing Commercial Paper Notes of </w:t>
      </w:r>
      <w:r w:rsidR="003D1C3D">
        <w:rPr>
          <w:rFonts w:ascii="Times New Roman" w:hAnsi="Times New Roman"/>
          <w:b/>
          <w:sz w:val="22"/>
          <w:szCs w:val="22"/>
        </w:rPr>
        <w:t>[Insert Name]</w:t>
      </w:r>
    </w:p>
    <w:p w14:paraId="454A6939" w14:textId="7E6D557F" w:rsidR="00BD6DC7" w:rsidRPr="00BD6DC7" w:rsidRDefault="00BD6DC7" w:rsidP="00BD6DC7">
      <w:pPr>
        <w:tabs>
          <w:tab w:val="left" w:pos="360"/>
        </w:tabs>
        <w:spacing w:after="240"/>
        <w:rPr>
          <w:rFonts w:ascii="Times New Roman" w:hAnsi="Times New Roman"/>
          <w:b/>
          <w:sz w:val="22"/>
          <w:szCs w:val="22"/>
        </w:rPr>
      </w:pPr>
      <w:r w:rsidRPr="00BD6DC7">
        <w:rPr>
          <w:rFonts w:ascii="Times New Roman" w:hAnsi="Times New Roman"/>
          <w:b/>
          <w:sz w:val="22"/>
          <w:szCs w:val="22"/>
        </w:rPr>
        <w:t>THE PROVISIONS SET FORTH BELOW ARE QUALIFIED TO THE EXTENT APPLICABLE BY THE TRANSACTION SPECIFIC [PRICING] [</w:t>
      </w:r>
      <w:r w:rsidR="00237EC9">
        <w:rPr>
          <w:rFonts w:ascii="Times New Roman" w:hAnsi="Times New Roman"/>
          <w:b/>
          <w:sz w:val="22"/>
          <w:szCs w:val="22"/>
        </w:rPr>
        <w:t>OFFERING MATERIALS</w:t>
      </w:r>
      <w:r w:rsidRPr="00BD6DC7">
        <w:rPr>
          <w:rFonts w:ascii="Times New Roman" w:hAnsi="Times New Roman"/>
          <w:b/>
          <w:sz w:val="22"/>
          <w:szCs w:val="22"/>
        </w:rPr>
        <w:t>] SUPPLEMENT (THE “SUPPLEMENT”) (IF ANY) SENT TO EACH PURCHASER AT THE TIME OF THE TRANSACTION.</w:t>
      </w:r>
    </w:p>
    <w:p w14:paraId="52B388B9" w14:textId="442C8672"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 xml:space="preserve">1.  </w:t>
      </w:r>
      <w:r w:rsidRPr="00BD6DC7">
        <w:rPr>
          <w:rFonts w:ascii="Times New Roman" w:hAnsi="Times New Roman"/>
          <w:sz w:val="22"/>
          <w:szCs w:val="22"/>
          <w:u w:val="single"/>
        </w:rPr>
        <w:t>General.</w:t>
      </w:r>
      <w:r w:rsidRPr="00BD6DC7">
        <w:rPr>
          <w:rFonts w:ascii="Times New Roman" w:hAnsi="Times New Roman"/>
          <w:sz w:val="22"/>
          <w:szCs w:val="22"/>
        </w:rPr>
        <w:t xml:space="preserve">  (a)  The obligations of the Issuer to which these terms apply (each a “Note”) are represented by one or more Master Notes (each, a “Master Note”) issued in the name of (or of a nominee for) The Depository Trust Company (“DTC”), which Master Note</w:t>
      </w:r>
      <w:r w:rsidR="006F11B9">
        <w:rPr>
          <w:rFonts w:ascii="Times New Roman" w:hAnsi="Times New Roman"/>
          <w:sz w:val="22"/>
          <w:szCs w:val="22"/>
        </w:rPr>
        <w:t>s</w:t>
      </w:r>
      <w:r w:rsidRPr="00BD6DC7">
        <w:rPr>
          <w:rFonts w:ascii="Times New Roman" w:hAnsi="Times New Roman"/>
          <w:sz w:val="22"/>
          <w:szCs w:val="22"/>
        </w:rPr>
        <w:t xml:space="preserve"> include the terms and provisions for the Issuer's Interest-Bearing Commercial Paper Notes that are set forth in this Statement of Terms, since this Statement of Terms constitutes an integral part of the Underlying Records as defined and referred to in the Master Note</w:t>
      </w:r>
      <w:r w:rsidR="006F11B9">
        <w:rPr>
          <w:rFonts w:ascii="Times New Roman" w:hAnsi="Times New Roman"/>
          <w:sz w:val="22"/>
          <w:szCs w:val="22"/>
        </w:rPr>
        <w:t>s</w:t>
      </w:r>
      <w:r w:rsidRPr="00BD6DC7">
        <w:rPr>
          <w:rFonts w:ascii="Times New Roman" w:hAnsi="Times New Roman"/>
          <w:sz w:val="22"/>
          <w:szCs w:val="22"/>
        </w:rPr>
        <w:t>.</w:t>
      </w:r>
    </w:p>
    <w:p w14:paraId="4C90F2F4" w14:textId="7BA6B056"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w:t>
      </w:r>
      <w:r w:rsidRPr="00644BF9">
        <w:rPr>
          <w:rFonts w:ascii="Times New Roman" w:hAnsi="Times New Roman"/>
          <w:sz w:val="22"/>
          <w:szCs w:val="22"/>
        </w:rPr>
        <w:t>b) “Business</w:t>
      </w:r>
      <w:r w:rsidRPr="00BD6DC7">
        <w:rPr>
          <w:rFonts w:ascii="Times New Roman" w:hAnsi="Times New Roman"/>
          <w:sz w:val="22"/>
          <w:szCs w:val="22"/>
        </w:rPr>
        <w:t xml:space="preserve"> Day” means any day other than a Saturday or Sunday that is neither a legal holiday nor a day on which banking institutions are authorized or required by law, executive order or regulation to be closed in New York City</w:t>
      </w:r>
      <w:r w:rsidR="00535D1D">
        <w:rPr>
          <w:rFonts w:ascii="Times New Roman" w:hAnsi="Times New Roman"/>
          <w:sz w:val="22"/>
          <w:szCs w:val="22"/>
        </w:rPr>
        <w:t>, unless otherwise specified in the Supplement</w:t>
      </w:r>
      <w:r w:rsidRPr="00BD6DC7">
        <w:rPr>
          <w:rFonts w:ascii="Times New Roman" w:hAnsi="Times New Roman"/>
          <w:sz w:val="22"/>
          <w:szCs w:val="22"/>
        </w:rPr>
        <w:t>.</w:t>
      </w:r>
    </w:p>
    <w:p w14:paraId="6FC55AFF"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 xml:space="preserve">2.  </w:t>
      </w:r>
      <w:r w:rsidRPr="00BD6DC7">
        <w:rPr>
          <w:rFonts w:ascii="Times New Roman" w:hAnsi="Times New Roman"/>
          <w:sz w:val="22"/>
          <w:szCs w:val="22"/>
          <w:u w:val="single"/>
        </w:rPr>
        <w:t>Interest.</w:t>
      </w:r>
      <w:r w:rsidRPr="00BD6DC7">
        <w:rPr>
          <w:rFonts w:ascii="Times New Roman" w:hAnsi="Times New Roman"/>
          <w:sz w:val="22"/>
          <w:szCs w:val="22"/>
        </w:rPr>
        <w:t xml:space="preserve">  (a)  Each Note will bear interest at a fixed rate (a “Fixed Rate Note”) or at a floating rate (a “Floating Rate Note”).</w:t>
      </w:r>
    </w:p>
    <w:p w14:paraId="0140D91C"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(b)  The Supplement sent to each holder of such Note will describe the following terms: (i) whether such Note is a Fixed Rate Note or a Floating Rate Note and whether such Note is an Original Issue Discount Note (as defined below); (ii) the date on which such Note will be issued (the “Issue Date”); (iii) the Stated Maturity Date (as defined below); (iv) if such Note is a Fixed Rate Note, the rate per annum at which such Note will bear interest, if any, and the Interest Payment Dates; (v) if such Note is a Floating Rate Note, the Base Rate, the Index Maturity, the Interest Reset Dates, the Interest Payment Dates and the Spread and/or Spread Multiplier, if any (all as defined below), and any other terms relating to the particular method of calculating the interest rate for such Note; and (vi) any other terms applicable specifically to such Note.  “Original Issue Discount Note” means a Note which has a stated redemption price at the Stated Maturity Date that exceeds its Issue Price by more than a specified de minimis amount and which the Supplement indicates will be an “Original Issue Discount Note”.</w:t>
      </w:r>
    </w:p>
    <w:p w14:paraId="2FD5AD03"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(c)  Each Fixed Rate Note will bear interest from its Issue Date at the rate per annum specified in the Supplement until the principal amount thereof is paid or made available for payment.  Interest on each Fixed Rate Note will be payable on the dates specified in the Supplement (each an “Interest Payment Date” for a Fixed Rate Note) and on the Maturity Date (as defined below).  Interest on Fixed Rate Notes will be computed on the basis of a 360-day year and actual days elapsed.</w:t>
      </w:r>
    </w:p>
    <w:p w14:paraId="335B1B84"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If any Interest Payment Date or the Maturity Date of a Fixed Rate Note falls on a day that is not a Business Day, the required payment of principal, premium, if any, and/or interest will be payable on the next succeeding Business Day, and no additional interest will accrue in respect of the payment made on that next succeeding Business Day.</w:t>
      </w:r>
    </w:p>
    <w:p w14:paraId="493B6A9C" w14:textId="3C46ED94"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(d)  The interest rate on each Floating Rate Note for each Interest Reset Period (as defined below) will be determined by reference to an interest rate basis (a “Base Rate”) plus or minus a number of basis points (one basis point equals one-hundredth of a percentage point) (the “Spread”), if any, and/or multiplied by a certain percentage (the “Spread Multiplier”), if any, until the principal thereof is paid or made available for payment.  The Supplement will designate which of the following Base Rates is applicable to the related Floating Rate Note: (</w:t>
      </w:r>
      <w:r w:rsidR="002B1A14">
        <w:rPr>
          <w:rFonts w:ascii="Times New Roman" w:hAnsi="Times New Roman"/>
          <w:sz w:val="22"/>
          <w:szCs w:val="22"/>
        </w:rPr>
        <w:t>i</w:t>
      </w:r>
      <w:r w:rsidRPr="00BD6DC7">
        <w:rPr>
          <w:rFonts w:ascii="Times New Roman" w:hAnsi="Times New Roman"/>
          <w:sz w:val="22"/>
          <w:szCs w:val="22"/>
        </w:rPr>
        <w:t>) the Commercial Paper Rate (a “Commercial Paper Rate Note”), (</w:t>
      </w:r>
      <w:r w:rsidR="002B1A14">
        <w:rPr>
          <w:rFonts w:ascii="Times New Roman" w:hAnsi="Times New Roman"/>
          <w:sz w:val="22"/>
          <w:szCs w:val="22"/>
        </w:rPr>
        <w:t>ii</w:t>
      </w:r>
      <w:r w:rsidRPr="00BD6DC7">
        <w:rPr>
          <w:rFonts w:ascii="Times New Roman" w:hAnsi="Times New Roman"/>
          <w:sz w:val="22"/>
          <w:szCs w:val="22"/>
        </w:rPr>
        <w:t xml:space="preserve">) the Federal Funds Rate (a </w:t>
      </w:r>
      <w:r w:rsidRPr="00BD6DC7">
        <w:rPr>
          <w:rFonts w:ascii="Times New Roman" w:hAnsi="Times New Roman"/>
          <w:sz w:val="22"/>
          <w:szCs w:val="22"/>
        </w:rPr>
        <w:lastRenderedPageBreak/>
        <w:t>“Federal Funds Rate Note”), (</w:t>
      </w:r>
      <w:r w:rsidR="002B1A14">
        <w:rPr>
          <w:rFonts w:ascii="Times New Roman" w:hAnsi="Times New Roman"/>
          <w:sz w:val="22"/>
          <w:szCs w:val="22"/>
        </w:rPr>
        <w:t>iii</w:t>
      </w:r>
      <w:r w:rsidRPr="00BD6DC7">
        <w:rPr>
          <w:rFonts w:ascii="Times New Roman" w:hAnsi="Times New Roman"/>
          <w:sz w:val="22"/>
          <w:szCs w:val="22"/>
        </w:rPr>
        <w:t>) the Prime Rate (a “Prime Rate Note”), (</w:t>
      </w:r>
      <w:r w:rsidR="002B1A14">
        <w:rPr>
          <w:rFonts w:ascii="Times New Roman" w:hAnsi="Times New Roman"/>
          <w:sz w:val="22"/>
          <w:szCs w:val="22"/>
        </w:rPr>
        <w:t>iv</w:t>
      </w:r>
      <w:r w:rsidRPr="00BD6DC7">
        <w:rPr>
          <w:rFonts w:ascii="Times New Roman" w:hAnsi="Times New Roman"/>
          <w:sz w:val="22"/>
          <w:szCs w:val="22"/>
        </w:rPr>
        <w:t>) the Treasury Rate (a “Treasury Rate Note”) or (</w:t>
      </w:r>
      <w:r w:rsidR="002B1A14">
        <w:rPr>
          <w:rFonts w:ascii="Times New Roman" w:hAnsi="Times New Roman"/>
          <w:sz w:val="22"/>
          <w:szCs w:val="22"/>
        </w:rPr>
        <w:t>v</w:t>
      </w:r>
      <w:r w:rsidRPr="00BD6DC7">
        <w:rPr>
          <w:rFonts w:ascii="Times New Roman" w:hAnsi="Times New Roman"/>
          <w:sz w:val="22"/>
          <w:szCs w:val="22"/>
        </w:rPr>
        <w:t>) such other Base Rate as may be specified in such Supplement.</w:t>
      </w:r>
      <w:r w:rsidRPr="00BD6DC7">
        <w:rPr>
          <w:rFonts w:ascii="Times New Roman" w:hAnsi="Times New Roman"/>
          <w:sz w:val="22"/>
          <w:szCs w:val="22"/>
          <w:vertAlign w:val="superscript"/>
        </w:rPr>
        <w:footnoteReference w:id="3"/>
      </w:r>
      <w:r w:rsidRPr="00BD6DC7">
        <w:rPr>
          <w:rFonts w:ascii="Times New Roman" w:hAnsi="Times New Roman"/>
          <w:sz w:val="22"/>
          <w:szCs w:val="22"/>
        </w:rPr>
        <w:t xml:space="preserve">  </w:t>
      </w:r>
    </w:p>
    <w:p w14:paraId="0775C817" w14:textId="5EEB52F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The rate of interest on each Floating Rate Note will be reset daily, weekly, monthly, quarterly or semi-annually (the “Interest Reset Period”).  The date or dates on which interest will be reset (each</w:t>
      </w:r>
      <w:r w:rsidR="002B1A14">
        <w:rPr>
          <w:rFonts w:ascii="Times New Roman" w:hAnsi="Times New Roman"/>
          <w:sz w:val="22"/>
          <w:szCs w:val="22"/>
        </w:rPr>
        <w:t>,</w:t>
      </w:r>
      <w:r w:rsidRPr="00BD6DC7">
        <w:rPr>
          <w:rFonts w:ascii="Times New Roman" w:hAnsi="Times New Roman"/>
          <w:sz w:val="22"/>
          <w:szCs w:val="22"/>
        </w:rPr>
        <w:t xml:space="preserve"> an “Interest Reset Date”) will be, unless otherwise specified in the Supplement, in the case of Floating Rate Notes which reset daily, each Business Day; in the case of Floating Rate Notes (other than Treasury Rate Notes) that reset weekly, the Wednesday of each week; in the case of Treasury Rate Notes that reset weekly, the Tuesday of each week; in the case of Floating Rate Notes that reset monthly, the third Wednesday of each month; in the case of Floating Rate Notes that reset quarterly, the third Wednesday of March, June, September and December; and in the case of Floating Rate Notes that reset semiannually, the third Wednesday of the two months specified in the Supplement.  </w:t>
      </w:r>
      <w:bookmarkStart w:id="5" w:name="_Hlk97542911"/>
      <w:r w:rsidRPr="00BD6DC7">
        <w:rPr>
          <w:rFonts w:ascii="Times New Roman" w:hAnsi="Times New Roman"/>
          <w:sz w:val="22"/>
          <w:szCs w:val="22"/>
        </w:rPr>
        <w:t>If any Interest Reset Date for any Floating Rate Note is not a Business Day, such Interest Reset Date will be postponed to the next day that is a Business Day,</w:t>
      </w:r>
      <w:r w:rsidR="00C11237">
        <w:rPr>
          <w:rFonts w:ascii="Times New Roman" w:hAnsi="Times New Roman"/>
          <w:sz w:val="22"/>
          <w:szCs w:val="22"/>
        </w:rPr>
        <w:t xml:space="preserve"> except that if such Business Day falls in the next succeeding calendar month, such </w:t>
      </w:r>
      <w:r w:rsidR="00760A8B">
        <w:rPr>
          <w:rFonts w:ascii="Times New Roman" w:hAnsi="Times New Roman"/>
          <w:sz w:val="22"/>
          <w:szCs w:val="22"/>
        </w:rPr>
        <w:t>I</w:t>
      </w:r>
      <w:r w:rsidR="00C11237">
        <w:rPr>
          <w:rFonts w:ascii="Times New Roman" w:hAnsi="Times New Roman"/>
          <w:sz w:val="22"/>
          <w:szCs w:val="22"/>
        </w:rPr>
        <w:t xml:space="preserve">nterest </w:t>
      </w:r>
      <w:r w:rsidR="00760A8B">
        <w:rPr>
          <w:rFonts w:ascii="Times New Roman" w:hAnsi="Times New Roman"/>
          <w:sz w:val="22"/>
          <w:szCs w:val="22"/>
        </w:rPr>
        <w:t>Reset Date shall be the immediately preceding Business Day,</w:t>
      </w:r>
      <w:r w:rsidRPr="00BD6DC7">
        <w:rPr>
          <w:rFonts w:ascii="Times New Roman" w:hAnsi="Times New Roman"/>
          <w:sz w:val="22"/>
          <w:szCs w:val="22"/>
        </w:rPr>
        <w:t xml:space="preserve"> </w:t>
      </w:r>
      <w:r w:rsidR="00F001EF">
        <w:rPr>
          <w:rFonts w:ascii="Times New Roman" w:hAnsi="Times New Roman"/>
          <w:sz w:val="22"/>
          <w:szCs w:val="22"/>
        </w:rPr>
        <w:t xml:space="preserve">unless otherwise </w:t>
      </w:r>
      <w:r w:rsidR="00AC169C">
        <w:rPr>
          <w:rFonts w:ascii="Times New Roman" w:hAnsi="Times New Roman"/>
          <w:sz w:val="22"/>
          <w:szCs w:val="22"/>
        </w:rPr>
        <w:t>specified</w:t>
      </w:r>
      <w:r w:rsidR="00F001EF">
        <w:rPr>
          <w:rFonts w:ascii="Times New Roman" w:hAnsi="Times New Roman"/>
          <w:sz w:val="22"/>
          <w:szCs w:val="22"/>
        </w:rPr>
        <w:t xml:space="preserve"> in the Supplement</w:t>
      </w:r>
      <w:r w:rsidRPr="00BD6DC7">
        <w:rPr>
          <w:rFonts w:ascii="Times New Roman" w:hAnsi="Times New Roman"/>
          <w:sz w:val="22"/>
          <w:szCs w:val="22"/>
        </w:rPr>
        <w:t>. Interest on each Floating Rate Note will be payable monthly, quarterly or semiannually (the “Interest Payment Period”) and on the Maturity Date</w:t>
      </w:r>
      <w:bookmarkEnd w:id="5"/>
      <w:r w:rsidRPr="00BD6DC7">
        <w:rPr>
          <w:rFonts w:ascii="Times New Roman" w:hAnsi="Times New Roman"/>
          <w:sz w:val="22"/>
          <w:szCs w:val="22"/>
        </w:rPr>
        <w:t>.  Unless otherwise specified in the Supplement, and except as provided below, the date or dates on which interest will be payable (each</w:t>
      </w:r>
      <w:r w:rsidR="002B1A14">
        <w:rPr>
          <w:rFonts w:ascii="Times New Roman" w:hAnsi="Times New Roman"/>
          <w:sz w:val="22"/>
          <w:szCs w:val="22"/>
        </w:rPr>
        <w:t>,</w:t>
      </w:r>
      <w:r w:rsidRPr="00BD6DC7">
        <w:rPr>
          <w:rFonts w:ascii="Times New Roman" w:hAnsi="Times New Roman"/>
          <w:sz w:val="22"/>
          <w:szCs w:val="22"/>
        </w:rPr>
        <w:t xml:space="preserve"> an “Interest Payment Date” for a Floating Rate Note) will be, in the case of Floating Rate Notes with a monthly Interest Payment Period, on the third Wednesday of each month; in the case of Floating Rate Notes with a quarterly Interest Payment Period, on the third Wednesday of March, June, September and December; and in the case of Floating Rate Notes with a semiannual Interest Payment Period, on the third Wednesday of the two months specified in the Supplement.  In addition, the Maturity Date will also be an Interest Payment Date.</w:t>
      </w:r>
    </w:p>
    <w:p w14:paraId="4C89DB3E" w14:textId="7B567C0A"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If any Interest Payment Date for any Floating Rate Note (other than an Interest Payment Date occurring on the Maturity Date) would otherwise be a day that is not a Business Day, such Interest Payment Date shall be postponed to the next day that is a Business Day</w:t>
      </w:r>
      <w:r w:rsidR="00F57401">
        <w:rPr>
          <w:rFonts w:ascii="Times New Roman" w:hAnsi="Times New Roman"/>
          <w:sz w:val="22"/>
          <w:szCs w:val="22"/>
        </w:rPr>
        <w:t xml:space="preserve">, </w:t>
      </w:r>
      <w:r w:rsidR="00760A8B">
        <w:rPr>
          <w:rFonts w:ascii="Times New Roman" w:hAnsi="Times New Roman"/>
          <w:sz w:val="22"/>
          <w:szCs w:val="22"/>
        </w:rPr>
        <w:t xml:space="preserve">except that if such Business Day falls in the next succeeding calendar month, such Interest Payment Date shall be the immediately preceding Business Day, </w:t>
      </w:r>
      <w:r w:rsidR="00F57401">
        <w:rPr>
          <w:rFonts w:ascii="Times New Roman" w:hAnsi="Times New Roman"/>
          <w:sz w:val="22"/>
          <w:szCs w:val="22"/>
        </w:rPr>
        <w:t xml:space="preserve">unless otherwise </w:t>
      </w:r>
      <w:r w:rsidR="00AC169C">
        <w:rPr>
          <w:rFonts w:ascii="Times New Roman" w:hAnsi="Times New Roman"/>
          <w:sz w:val="22"/>
          <w:szCs w:val="22"/>
        </w:rPr>
        <w:t>specified</w:t>
      </w:r>
      <w:r w:rsidR="00F57401">
        <w:rPr>
          <w:rFonts w:ascii="Times New Roman" w:hAnsi="Times New Roman"/>
          <w:sz w:val="22"/>
          <w:szCs w:val="22"/>
        </w:rPr>
        <w:t xml:space="preserve"> in the Supplement</w:t>
      </w:r>
      <w:r w:rsidRPr="00BD6DC7">
        <w:rPr>
          <w:rFonts w:ascii="Times New Roman" w:hAnsi="Times New Roman"/>
          <w:sz w:val="22"/>
          <w:szCs w:val="22"/>
        </w:rPr>
        <w:t>.  If the Maturity Date of a Floating Rate Note falls on a day that is not a Business Day, the payment of principal and interest will be made on the next succeeding Business Day, and no interest on such payment shall accrue for the period from and after such maturity.</w:t>
      </w:r>
    </w:p>
    <w:p w14:paraId="5FACBEE6" w14:textId="0B592D4B"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Interest payments on each Interest Payment Date for Floating Rate Notes will include accrued interest from and including the Issue Date or from and including the last date in respect of which interest has been paid, as the case may be, to, but excluding, such Interest Payment Date.  On the Maturity Date, the interest payable on a Floating Rate Note will include interest accrued to, but excluding, the Maturity Date.  Accrued interest will be calculated by multiplying the principal amount of a Floating Rate Note by an accrued interest factor.  This accrued interest factor will be computed by adding the interest factors calculated for each day in the period for which accrued interest is being calculated.  The interest factor (expressed as a decimal) for each such day will be computed by dividing the interest rate applicable to such day by 360, in the cases where the Base Rate is the Commercial Paper Rate, Federal Funds Rate or Prime Rate, or by the actual number of days in the year, in the case where the Base Rate is the Treasury Rate.  The interest rate in effect on each day will be (i) if such day is an Interest Reset Date, the interest rate with respect to the Interest Determination Date (as defined below) pertaining to such Interest Reset Date, or (ii) if such day is not an Interest Reset Date, the interest rate with respect to the Interest Determination Date pertaining to the next preceding Interest Reset Date, subject in either case to any adjustment by a Spread and/or a Spread Multiplier.</w:t>
      </w:r>
    </w:p>
    <w:p w14:paraId="0124748C" w14:textId="46446E94"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lastRenderedPageBreak/>
        <w:t>The “Interest Determination Date” where the Base Rate is the Commercial Paper Rate will be the second Business Day next preceding an Interest Reset Date.  The Interest Determination Date where the Base Rate is the Federal Funds Rate or the Prime Rate will be the Business Day next preceding an Interest Reset Date.  The Interest Determination Date where the Base Rate is the Treasury Rate will be the day of the week in which such Interest Reset Date falls when Treasury Bills are normally auctioned.  Treasury Bills are normally sold at auction on Monday of each week, unless that day is a legal holiday, in which case the auction is held on the following Tuesday or the preceding Friday.  If an auction is so held on the preceding Friday, such Friday will be the Interest Determination Date pertaining to the Interest Reset Date occurring in the next succeeding week.</w:t>
      </w:r>
      <w:r w:rsidR="00F57401">
        <w:rPr>
          <w:rFonts w:ascii="Times New Roman" w:hAnsi="Times New Roman"/>
          <w:sz w:val="22"/>
          <w:szCs w:val="22"/>
        </w:rPr>
        <w:t xml:space="preserve">  The Interest Determination Date where the Base Rate is </w:t>
      </w:r>
      <w:r w:rsidR="004017F8">
        <w:rPr>
          <w:rFonts w:ascii="Times New Roman" w:hAnsi="Times New Roman"/>
          <w:sz w:val="22"/>
          <w:szCs w:val="22"/>
        </w:rPr>
        <w:t>a rate other than a specific rate set forth in this paragraph</w:t>
      </w:r>
      <w:r w:rsidR="00F57401">
        <w:rPr>
          <w:rFonts w:ascii="Times New Roman" w:hAnsi="Times New Roman"/>
          <w:sz w:val="22"/>
          <w:szCs w:val="22"/>
        </w:rPr>
        <w:t xml:space="preserve"> will be as set forth in the Supplement.</w:t>
      </w:r>
    </w:p>
    <w:p w14:paraId="6E97BD0E"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The “Index Maturity” is the period to maturity of the instrument or obligation from which the applicable Base Rate is calculated.</w:t>
      </w:r>
    </w:p>
    <w:p w14:paraId="4E3CA3A5"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The “Calculation Date,” where applicable, shall be the earlier of (i) the tenth calendar day following the applicable Interest Determination Date or (ii) the Business Day preceding the applicable Interest Payment Date or Maturity Date.</w:t>
      </w:r>
    </w:p>
    <w:p w14:paraId="075EC2FE"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All times referred to herein reflect New York City time, unless otherwise specified.</w:t>
      </w:r>
    </w:p>
    <w:p w14:paraId="596B39C7"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The Issuer shall specify in writing to the Issuing and Paying Agent which party will be the calculation agent (the “Calculation Agent”) with respect to the Floating Rate Notes.  The Calculation Agent will provide the interest rate then in effect and, if determined, the interest rate which will become effective on the next Interest Reset Date with respect to such Floating Rate Note to the Issuing and Paying Agent as soon as the interest rate with respect to such Floating Rate Note has been determined and as soon as practicable after any change in such interest rate.</w:t>
      </w:r>
    </w:p>
    <w:p w14:paraId="01946748"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All percentages resulting from any calculation on Floating Rate Notes will be rounded to the nearest one hundred-thousandth of a percentage point, with five-one millionths of a percentage point rounded upwards.  For example, 9.876545% (or .09876545) would be rounded to 9.87655% (or .0987655).  All dollar amounts used in or resulting from any calculation on Floating Rate Notes will be rounded, in the case of U.S. dollars, to the nearest cent or, in the case of a foreign currency, to the nearest unit (with one-half cent or unit being rounded upwards).</w:t>
      </w:r>
    </w:p>
    <w:p w14:paraId="354ADC6B" w14:textId="77777777" w:rsidR="00BD6DC7" w:rsidRPr="00BD6DC7" w:rsidRDefault="00BD6DC7" w:rsidP="00BD6DC7">
      <w:pPr>
        <w:keepNext/>
        <w:widowControl w:val="0"/>
        <w:spacing w:after="240"/>
        <w:outlineLvl w:val="4"/>
        <w:rPr>
          <w:rFonts w:ascii="Times New Roman" w:hAnsi="Times New Roman"/>
          <w:i/>
          <w:spacing w:val="6"/>
          <w:sz w:val="22"/>
          <w:szCs w:val="22"/>
        </w:rPr>
      </w:pPr>
      <w:r w:rsidRPr="00BD6DC7">
        <w:rPr>
          <w:rFonts w:ascii="Times New Roman" w:hAnsi="Times New Roman"/>
          <w:i/>
          <w:spacing w:val="6"/>
          <w:sz w:val="22"/>
          <w:szCs w:val="22"/>
        </w:rPr>
        <w:t>Commercial Paper Rate Notes</w:t>
      </w:r>
    </w:p>
    <w:p w14:paraId="13F6D59C" w14:textId="5FC9C3DE" w:rsidR="00BD6DC7" w:rsidRDefault="00BD6DC7" w:rsidP="00644BF9">
      <w:pPr>
        <w:rPr>
          <w:rFonts w:ascii="Times New Roman" w:hAnsi="Times New Roman"/>
          <w:sz w:val="22"/>
          <w:szCs w:val="22"/>
        </w:rPr>
      </w:pPr>
      <w:r w:rsidRPr="00BD6DC7">
        <w:rPr>
          <w:rFonts w:ascii="Times New Roman" w:hAnsi="Times New Roman"/>
          <w:spacing w:val="-4"/>
          <w:sz w:val="22"/>
          <w:szCs w:val="22"/>
        </w:rPr>
        <w:t xml:space="preserve">“Commercial Paper Rate” </w:t>
      </w:r>
      <w:r w:rsidRPr="00BD6DC7">
        <w:rPr>
          <w:rFonts w:ascii="Times New Roman" w:hAnsi="Times New Roman"/>
          <w:sz w:val="22"/>
          <w:szCs w:val="22"/>
        </w:rPr>
        <w:t>means</w:t>
      </w:r>
      <w:r w:rsidRPr="00BD6DC7">
        <w:rPr>
          <w:rFonts w:ascii="Times New Roman" w:hAnsi="Times New Roman"/>
          <w:spacing w:val="6"/>
          <w:sz w:val="22"/>
          <w:szCs w:val="22"/>
        </w:rPr>
        <w:t xml:space="preserve"> </w:t>
      </w:r>
      <w:r w:rsidRPr="00BD6DC7">
        <w:rPr>
          <w:rFonts w:ascii="Times New Roman" w:hAnsi="Times New Roman"/>
          <w:sz w:val="22"/>
          <w:szCs w:val="22"/>
        </w:rPr>
        <w:t>the</w:t>
      </w:r>
      <w:r w:rsidRPr="00BD6DC7">
        <w:rPr>
          <w:rFonts w:ascii="Times New Roman" w:hAnsi="Times New Roman"/>
          <w:spacing w:val="5"/>
          <w:sz w:val="22"/>
          <w:szCs w:val="22"/>
        </w:rPr>
        <w:t xml:space="preserve"> </w:t>
      </w:r>
      <w:r w:rsidRPr="00BD6DC7">
        <w:rPr>
          <w:rFonts w:ascii="Times New Roman" w:hAnsi="Times New Roman"/>
          <w:spacing w:val="1"/>
          <w:sz w:val="22"/>
          <w:szCs w:val="22"/>
        </w:rPr>
        <w:t xml:space="preserve">Money </w:t>
      </w:r>
      <w:r w:rsidRPr="00BD6DC7">
        <w:rPr>
          <w:rFonts w:ascii="Times New Roman" w:hAnsi="Times New Roman"/>
          <w:sz w:val="22"/>
          <w:szCs w:val="22"/>
        </w:rPr>
        <w:t>Market</w:t>
      </w:r>
      <w:r w:rsidRPr="00BD6DC7">
        <w:rPr>
          <w:rFonts w:ascii="Times New Roman" w:hAnsi="Times New Roman"/>
          <w:spacing w:val="6"/>
          <w:sz w:val="22"/>
          <w:szCs w:val="22"/>
        </w:rPr>
        <w:t xml:space="preserve"> </w:t>
      </w:r>
      <w:r w:rsidRPr="00BD6DC7">
        <w:rPr>
          <w:rFonts w:ascii="Times New Roman" w:hAnsi="Times New Roman"/>
          <w:sz w:val="22"/>
          <w:szCs w:val="22"/>
        </w:rPr>
        <w:t>Yield</w:t>
      </w:r>
      <w:r w:rsidRPr="00BD6DC7">
        <w:rPr>
          <w:rFonts w:ascii="Times New Roman" w:hAnsi="Times New Roman"/>
          <w:spacing w:val="6"/>
          <w:sz w:val="22"/>
          <w:szCs w:val="22"/>
        </w:rPr>
        <w:t xml:space="preserve"> </w:t>
      </w:r>
      <w:r w:rsidRPr="00BD6DC7">
        <w:rPr>
          <w:rFonts w:ascii="Times New Roman" w:hAnsi="Times New Roman"/>
          <w:sz w:val="22"/>
          <w:szCs w:val="22"/>
        </w:rPr>
        <w:t>(calculated</w:t>
      </w:r>
      <w:r w:rsidRPr="00BD6DC7">
        <w:rPr>
          <w:rFonts w:ascii="Times New Roman" w:hAnsi="Times New Roman"/>
          <w:spacing w:val="7"/>
          <w:sz w:val="22"/>
          <w:szCs w:val="22"/>
        </w:rPr>
        <w:t xml:space="preserve"> </w:t>
      </w:r>
      <w:r w:rsidRPr="00BD6DC7">
        <w:rPr>
          <w:rFonts w:ascii="Times New Roman" w:hAnsi="Times New Roman"/>
          <w:sz w:val="22"/>
          <w:szCs w:val="22"/>
        </w:rPr>
        <w:t>as</w:t>
      </w:r>
      <w:r w:rsidRPr="00BD6DC7">
        <w:rPr>
          <w:rFonts w:ascii="Times New Roman" w:hAnsi="Times New Roman"/>
          <w:spacing w:val="7"/>
          <w:sz w:val="22"/>
          <w:szCs w:val="22"/>
        </w:rPr>
        <w:t xml:space="preserve"> </w:t>
      </w:r>
      <w:r w:rsidRPr="00BD6DC7">
        <w:rPr>
          <w:rFonts w:ascii="Times New Roman" w:hAnsi="Times New Roman"/>
          <w:sz w:val="22"/>
          <w:szCs w:val="22"/>
        </w:rPr>
        <w:t>described</w:t>
      </w:r>
      <w:r w:rsidRPr="00BD6DC7">
        <w:rPr>
          <w:rFonts w:ascii="Times New Roman" w:hAnsi="Times New Roman"/>
          <w:spacing w:val="7"/>
          <w:sz w:val="22"/>
          <w:szCs w:val="22"/>
        </w:rPr>
        <w:t xml:space="preserve"> </w:t>
      </w:r>
      <w:r w:rsidRPr="00BD6DC7">
        <w:rPr>
          <w:rFonts w:ascii="Times New Roman" w:hAnsi="Times New Roman"/>
          <w:spacing w:val="1"/>
          <w:sz w:val="22"/>
          <w:szCs w:val="22"/>
        </w:rPr>
        <w:t>below)</w:t>
      </w:r>
      <w:r w:rsidRPr="00BD6DC7">
        <w:rPr>
          <w:rFonts w:ascii="Times New Roman" w:hAnsi="Times New Roman"/>
          <w:spacing w:val="5"/>
          <w:sz w:val="22"/>
          <w:szCs w:val="22"/>
        </w:rPr>
        <w:t xml:space="preserve"> </w:t>
      </w:r>
      <w:r w:rsidRPr="00BD6DC7">
        <w:rPr>
          <w:rFonts w:ascii="Times New Roman" w:hAnsi="Times New Roman"/>
          <w:sz w:val="22"/>
          <w:szCs w:val="22"/>
        </w:rPr>
        <w:t>of</w:t>
      </w:r>
      <w:r w:rsidRPr="00BD6DC7">
        <w:rPr>
          <w:rFonts w:ascii="Times New Roman" w:hAnsi="Times New Roman"/>
          <w:spacing w:val="5"/>
          <w:sz w:val="22"/>
          <w:szCs w:val="22"/>
        </w:rPr>
        <w:t xml:space="preserve"> </w:t>
      </w:r>
      <w:r w:rsidRPr="00BD6DC7">
        <w:rPr>
          <w:rFonts w:ascii="Times New Roman" w:hAnsi="Times New Roman"/>
          <w:sz w:val="22"/>
          <w:szCs w:val="22"/>
        </w:rPr>
        <w:t>the</w:t>
      </w:r>
      <w:r w:rsidRPr="00BD6DC7">
        <w:rPr>
          <w:rFonts w:ascii="Times New Roman" w:hAnsi="Times New Roman"/>
          <w:spacing w:val="76"/>
          <w:sz w:val="22"/>
          <w:szCs w:val="22"/>
        </w:rPr>
        <w:t xml:space="preserve"> </w:t>
      </w:r>
      <w:r w:rsidRPr="00BD6DC7">
        <w:rPr>
          <w:rFonts w:ascii="Times New Roman" w:hAnsi="Times New Roman"/>
          <w:sz w:val="22"/>
          <w:szCs w:val="22"/>
        </w:rPr>
        <w:t>rate</w:t>
      </w:r>
      <w:r w:rsidRPr="00BD6DC7">
        <w:rPr>
          <w:rFonts w:ascii="Times New Roman" w:hAnsi="Times New Roman"/>
          <w:spacing w:val="42"/>
          <w:sz w:val="22"/>
          <w:szCs w:val="22"/>
        </w:rPr>
        <w:t xml:space="preserve"> </w:t>
      </w:r>
      <w:r w:rsidRPr="00BD6DC7">
        <w:rPr>
          <w:rFonts w:ascii="Times New Roman" w:hAnsi="Times New Roman"/>
          <w:sz w:val="22"/>
          <w:szCs w:val="22"/>
        </w:rPr>
        <w:t>on</w:t>
      </w:r>
      <w:r w:rsidRPr="00BD6DC7">
        <w:rPr>
          <w:rFonts w:ascii="Times New Roman" w:hAnsi="Times New Roman"/>
          <w:spacing w:val="45"/>
          <w:sz w:val="22"/>
          <w:szCs w:val="22"/>
        </w:rPr>
        <w:t xml:space="preserve"> </w:t>
      </w:r>
      <w:r w:rsidRPr="00BD6DC7">
        <w:rPr>
          <w:rFonts w:ascii="Times New Roman" w:hAnsi="Times New Roman"/>
          <w:spacing w:val="2"/>
          <w:sz w:val="22"/>
          <w:szCs w:val="22"/>
        </w:rPr>
        <w:t>any</w:t>
      </w:r>
      <w:r w:rsidRPr="00BD6DC7">
        <w:rPr>
          <w:rFonts w:ascii="Times New Roman" w:hAnsi="Times New Roman"/>
          <w:spacing w:val="40"/>
          <w:sz w:val="22"/>
          <w:szCs w:val="22"/>
        </w:rPr>
        <w:t xml:space="preserve"> </w:t>
      </w:r>
      <w:r w:rsidRPr="00BD6DC7">
        <w:rPr>
          <w:rFonts w:ascii="Times New Roman" w:hAnsi="Times New Roman"/>
          <w:sz w:val="22"/>
          <w:szCs w:val="22"/>
        </w:rPr>
        <w:t>Interest</w:t>
      </w:r>
      <w:r w:rsidRPr="00BD6DC7">
        <w:rPr>
          <w:rFonts w:ascii="Times New Roman" w:hAnsi="Times New Roman"/>
          <w:spacing w:val="43"/>
          <w:sz w:val="22"/>
          <w:szCs w:val="22"/>
        </w:rPr>
        <w:t xml:space="preserve"> </w:t>
      </w:r>
      <w:r w:rsidRPr="00BD6DC7">
        <w:rPr>
          <w:rFonts w:ascii="Times New Roman" w:hAnsi="Times New Roman"/>
          <w:sz w:val="22"/>
          <w:szCs w:val="22"/>
        </w:rPr>
        <w:t>Determination</w:t>
      </w:r>
      <w:r w:rsidRPr="00BD6DC7">
        <w:rPr>
          <w:rFonts w:ascii="Times New Roman" w:hAnsi="Times New Roman"/>
          <w:spacing w:val="43"/>
          <w:sz w:val="22"/>
          <w:szCs w:val="22"/>
        </w:rPr>
        <w:t xml:space="preserve"> </w:t>
      </w:r>
      <w:r w:rsidRPr="00BD6DC7">
        <w:rPr>
          <w:rFonts w:ascii="Times New Roman" w:hAnsi="Times New Roman"/>
          <w:sz w:val="22"/>
          <w:szCs w:val="22"/>
        </w:rPr>
        <w:t>Date</w:t>
      </w:r>
      <w:r w:rsidRPr="00BD6DC7">
        <w:rPr>
          <w:rFonts w:ascii="Times New Roman" w:hAnsi="Times New Roman"/>
          <w:spacing w:val="44"/>
          <w:sz w:val="22"/>
          <w:szCs w:val="22"/>
        </w:rPr>
        <w:t xml:space="preserve"> </w:t>
      </w:r>
      <w:r w:rsidRPr="00BD6DC7">
        <w:rPr>
          <w:rFonts w:ascii="Times New Roman" w:hAnsi="Times New Roman"/>
          <w:sz w:val="22"/>
          <w:szCs w:val="22"/>
        </w:rPr>
        <w:t>for</w:t>
      </w:r>
      <w:r w:rsidRPr="00BD6DC7">
        <w:rPr>
          <w:rFonts w:ascii="Times New Roman" w:hAnsi="Times New Roman"/>
          <w:spacing w:val="44"/>
          <w:sz w:val="22"/>
          <w:szCs w:val="22"/>
        </w:rPr>
        <w:t xml:space="preserve"> </w:t>
      </w:r>
      <w:r w:rsidRPr="00BD6DC7">
        <w:rPr>
          <w:rFonts w:ascii="Times New Roman" w:hAnsi="Times New Roman"/>
          <w:sz w:val="22"/>
          <w:szCs w:val="22"/>
        </w:rPr>
        <w:t>commercial</w:t>
      </w:r>
      <w:r w:rsidRPr="00BD6DC7">
        <w:rPr>
          <w:rFonts w:ascii="Times New Roman" w:hAnsi="Times New Roman"/>
          <w:spacing w:val="43"/>
          <w:sz w:val="22"/>
          <w:szCs w:val="22"/>
        </w:rPr>
        <w:t xml:space="preserve"> </w:t>
      </w:r>
      <w:r w:rsidRPr="00BD6DC7">
        <w:rPr>
          <w:rFonts w:ascii="Times New Roman" w:hAnsi="Times New Roman"/>
          <w:sz w:val="22"/>
          <w:szCs w:val="22"/>
        </w:rPr>
        <w:t>paper</w:t>
      </w:r>
      <w:r w:rsidRPr="00BD6DC7">
        <w:rPr>
          <w:rFonts w:ascii="Times New Roman" w:hAnsi="Times New Roman"/>
          <w:spacing w:val="42"/>
          <w:sz w:val="22"/>
          <w:szCs w:val="22"/>
        </w:rPr>
        <w:t xml:space="preserve"> </w:t>
      </w:r>
      <w:r w:rsidRPr="00BD6DC7">
        <w:rPr>
          <w:rFonts w:ascii="Times New Roman" w:hAnsi="Times New Roman"/>
          <w:spacing w:val="1"/>
          <w:sz w:val="22"/>
          <w:szCs w:val="22"/>
        </w:rPr>
        <w:t>having</w:t>
      </w:r>
      <w:r w:rsidRPr="00BD6DC7">
        <w:rPr>
          <w:rFonts w:ascii="Times New Roman" w:hAnsi="Times New Roman"/>
          <w:spacing w:val="45"/>
          <w:sz w:val="22"/>
          <w:szCs w:val="22"/>
        </w:rPr>
        <w:t xml:space="preserve"> </w:t>
      </w:r>
      <w:r w:rsidRPr="00BD6DC7">
        <w:rPr>
          <w:rFonts w:ascii="Times New Roman" w:hAnsi="Times New Roman"/>
          <w:sz w:val="22"/>
          <w:szCs w:val="22"/>
        </w:rPr>
        <w:t>the</w:t>
      </w:r>
      <w:r w:rsidRPr="00BD6DC7">
        <w:rPr>
          <w:rFonts w:ascii="Times New Roman" w:hAnsi="Times New Roman"/>
          <w:spacing w:val="44"/>
          <w:sz w:val="22"/>
          <w:szCs w:val="22"/>
        </w:rPr>
        <w:t xml:space="preserve"> </w:t>
      </w:r>
      <w:r w:rsidRPr="00BD6DC7">
        <w:rPr>
          <w:rFonts w:ascii="Times New Roman" w:hAnsi="Times New Roman"/>
          <w:spacing w:val="-1"/>
          <w:sz w:val="22"/>
          <w:szCs w:val="22"/>
        </w:rPr>
        <w:t>Index</w:t>
      </w:r>
      <w:r w:rsidRPr="00BD6DC7">
        <w:rPr>
          <w:rFonts w:ascii="Times New Roman" w:hAnsi="Times New Roman"/>
          <w:spacing w:val="45"/>
          <w:sz w:val="22"/>
          <w:szCs w:val="22"/>
        </w:rPr>
        <w:t xml:space="preserve"> </w:t>
      </w:r>
      <w:r w:rsidRPr="00BD6DC7">
        <w:rPr>
          <w:rFonts w:ascii="Times New Roman" w:hAnsi="Times New Roman"/>
          <w:sz w:val="22"/>
          <w:szCs w:val="22"/>
        </w:rPr>
        <w:t>Maturity,</w:t>
      </w:r>
      <w:r w:rsidRPr="00BD6DC7">
        <w:rPr>
          <w:rFonts w:ascii="Times New Roman" w:hAnsi="Times New Roman"/>
          <w:spacing w:val="44"/>
          <w:sz w:val="22"/>
          <w:szCs w:val="22"/>
        </w:rPr>
        <w:t xml:space="preserve"> </w:t>
      </w:r>
      <w:r w:rsidRPr="00BD6DC7">
        <w:rPr>
          <w:rFonts w:ascii="Times New Roman" w:hAnsi="Times New Roman"/>
          <w:sz w:val="22"/>
          <w:szCs w:val="22"/>
        </w:rPr>
        <w:t>as published</w:t>
      </w:r>
      <w:r w:rsidRPr="00BD6DC7">
        <w:rPr>
          <w:rFonts w:ascii="Times New Roman" w:hAnsi="Times New Roman"/>
          <w:spacing w:val="45"/>
          <w:sz w:val="22"/>
          <w:szCs w:val="22"/>
        </w:rPr>
        <w:t xml:space="preserve"> </w:t>
      </w:r>
      <w:r w:rsidRPr="00BD6DC7">
        <w:rPr>
          <w:rFonts w:ascii="Times New Roman" w:hAnsi="Times New Roman"/>
          <w:spacing w:val="1"/>
          <w:sz w:val="22"/>
          <w:szCs w:val="22"/>
        </w:rPr>
        <w:t>by</w:t>
      </w:r>
      <w:r w:rsidRPr="00BD6DC7">
        <w:rPr>
          <w:rFonts w:ascii="Times New Roman" w:hAnsi="Times New Roman"/>
          <w:spacing w:val="40"/>
          <w:sz w:val="22"/>
          <w:szCs w:val="22"/>
        </w:rPr>
        <w:t xml:space="preserve"> </w:t>
      </w:r>
      <w:r w:rsidRPr="00BD6DC7">
        <w:rPr>
          <w:rFonts w:ascii="Times New Roman" w:hAnsi="Times New Roman"/>
          <w:sz w:val="22"/>
          <w:szCs w:val="22"/>
        </w:rPr>
        <w:t>the</w:t>
      </w:r>
      <w:r w:rsidRPr="00BD6DC7">
        <w:rPr>
          <w:rFonts w:ascii="Times New Roman" w:hAnsi="Times New Roman"/>
          <w:spacing w:val="44"/>
          <w:sz w:val="22"/>
          <w:szCs w:val="22"/>
        </w:rPr>
        <w:t xml:space="preserve"> </w:t>
      </w:r>
      <w:r w:rsidRPr="00BD6DC7">
        <w:rPr>
          <w:rFonts w:ascii="Times New Roman" w:hAnsi="Times New Roman"/>
          <w:sz w:val="22"/>
          <w:szCs w:val="22"/>
        </w:rPr>
        <w:t>Board</w:t>
      </w:r>
      <w:r w:rsidRPr="00BD6DC7">
        <w:rPr>
          <w:rFonts w:ascii="Times New Roman" w:hAnsi="Times New Roman"/>
          <w:spacing w:val="48"/>
          <w:sz w:val="22"/>
          <w:szCs w:val="22"/>
        </w:rPr>
        <w:t xml:space="preserve"> </w:t>
      </w:r>
      <w:r w:rsidRPr="00BD6DC7">
        <w:rPr>
          <w:rFonts w:ascii="Times New Roman" w:hAnsi="Times New Roman"/>
          <w:sz w:val="22"/>
          <w:szCs w:val="22"/>
        </w:rPr>
        <w:t>of</w:t>
      </w:r>
      <w:r w:rsidRPr="00BD6DC7">
        <w:rPr>
          <w:rFonts w:ascii="Times New Roman" w:hAnsi="Times New Roman"/>
          <w:spacing w:val="44"/>
          <w:sz w:val="22"/>
          <w:szCs w:val="22"/>
        </w:rPr>
        <w:t xml:space="preserve"> </w:t>
      </w:r>
      <w:r w:rsidRPr="00BD6DC7">
        <w:rPr>
          <w:rFonts w:ascii="Times New Roman" w:hAnsi="Times New Roman"/>
          <w:sz w:val="22"/>
          <w:szCs w:val="22"/>
        </w:rPr>
        <w:t>Governors</w:t>
      </w:r>
      <w:r w:rsidRPr="00BD6DC7">
        <w:rPr>
          <w:rFonts w:ascii="Times New Roman" w:hAnsi="Times New Roman"/>
          <w:spacing w:val="45"/>
          <w:sz w:val="22"/>
          <w:szCs w:val="22"/>
        </w:rPr>
        <w:t xml:space="preserve"> </w:t>
      </w:r>
      <w:r w:rsidRPr="00BD6DC7">
        <w:rPr>
          <w:rFonts w:ascii="Times New Roman" w:hAnsi="Times New Roman"/>
          <w:sz w:val="22"/>
          <w:szCs w:val="22"/>
        </w:rPr>
        <w:t>of</w:t>
      </w:r>
      <w:r w:rsidRPr="00BD6DC7">
        <w:rPr>
          <w:rFonts w:ascii="Times New Roman" w:hAnsi="Times New Roman"/>
          <w:spacing w:val="44"/>
          <w:sz w:val="22"/>
          <w:szCs w:val="22"/>
        </w:rPr>
        <w:t xml:space="preserve"> </w:t>
      </w:r>
      <w:r w:rsidRPr="00BD6DC7">
        <w:rPr>
          <w:rFonts w:ascii="Times New Roman" w:hAnsi="Times New Roman"/>
          <w:sz w:val="22"/>
          <w:szCs w:val="22"/>
        </w:rPr>
        <w:t>the</w:t>
      </w:r>
      <w:r w:rsidRPr="00BD6DC7">
        <w:rPr>
          <w:rFonts w:ascii="Times New Roman" w:hAnsi="Times New Roman"/>
          <w:spacing w:val="47"/>
          <w:sz w:val="22"/>
          <w:szCs w:val="22"/>
        </w:rPr>
        <w:t xml:space="preserve"> </w:t>
      </w:r>
      <w:r w:rsidRPr="00BD6DC7">
        <w:rPr>
          <w:rFonts w:ascii="Times New Roman" w:hAnsi="Times New Roman"/>
          <w:sz w:val="22"/>
          <w:szCs w:val="22"/>
        </w:rPr>
        <w:t>Federal</w:t>
      </w:r>
      <w:r w:rsidRPr="00BD6DC7">
        <w:rPr>
          <w:rFonts w:ascii="Times New Roman" w:hAnsi="Times New Roman"/>
          <w:spacing w:val="45"/>
          <w:sz w:val="22"/>
          <w:szCs w:val="22"/>
        </w:rPr>
        <w:t xml:space="preserve"> </w:t>
      </w:r>
      <w:r w:rsidRPr="00BD6DC7">
        <w:rPr>
          <w:rFonts w:ascii="Times New Roman" w:hAnsi="Times New Roman"/>
          <w:sz w:val="22"/>
          <w:szCs w:val="22"/>
        </w:rPr>
        <w:t>Reserve</w:t>
      </w:r>
      <w:r w:rsidRPr="00BD6DC7">
        <w:rPr>
          <w:rFonts w:ascii="Times New Roman" w:hAnsi="Times New Roman"/>
          <w:spacing w:val="44"/>
          <w:sz w:val="22"/>
          <w:szCs w:val="22"/>
        </w:rPr>
        <w:t xml:space="preserve"> </w:t>
      </w:r>
      <w:r w:rsidRPr="00BD6DC7">
        <w:rPr>
          <w:rFonts w:ascii="Times New Roman" w:hAnsi="Times New Roman"/>
          <w:sz w:val="22"/>
          <w:szCs w:val="22"/>
        </w:rPr>
        <w:t>System</w:t>
      </w:r>
      <w:r w:rsidRPr="00BD6DC7">
        <w:rPr>
          <w:rFonts w:ascii="Times New Roman" w:hAnsi="Times New Roman"/>
          <w:spacing w:val="47"/>
          <w:sz w:val="22"/>
          <w:szCs w:val="22"/>
        </w:rPr>
        <w:t xml:space="preserve"> </w:t>
      </w:r>
      <w:r w:rsidRPr="00BD6DC7">
        <w:rPr>
          <w:rFonts w:ascii="Times New Roman" w:hAnsi="Times New Roman"/>
          <w:sz w:val="22"/>
          <w:szCs w:val="22"/>
        </w:rPr>
        <w:t>(</w:t>
      </w:r>
      <w:r w:rsidRPr="00BD6DC7">
        <w:rPr>
          <w:rFonts w:ascii="Times New Roman" w:hAnsi="Times New Roman"/>
          <w:sz w:val="22"/>
          <w:szCs w:val="22"/>
          <w:u w:color="000000"/>
        </w:rPr>
        <w:t>“FRB</w:t>
      </w:r>
      <w:r w:rsidRPr="00BD6DC7">
        <w:rPr>
          <w:rFonts w:ascii="Times New Roman" w:hAnsi="Times New Roman"/>
          <w:sz w:val="22"/>
          <w:szCs w:val="22"/>
        </w:rPr>
        <w:t>”)</w:t>
      </w:r>
      <w:r w:rsidRPr="00BD6DC7">
        <w:rPr>
          <w:rFonts w:ascii="Times New Roman" w:hAnsi="Times New Roman"/>
          <w:spacing w:val="44"/>
          <w:sz w:val="22"/>
          <w:szCs w:val="22"/>
        </w:rPr>
        <w:t xml:space="preserve"> </w:t>
      </w:r>
      <w:r w:rsidR="00BB165C" w:rsidRPr="009754D6">
        <w:rPr>
          <w:rFonts w:ascii="Times New Roman" w:hAnsi="Times New Roman"/>
          <w:sz w:val="22"/>
          <w:szCs w:val="22"/>
        </w:rPr>
        <w:t xml:space="preserve">in Statistical Release, Commercial Paper Rates and Outstanding Summary” or any successor publication of the FRB (“Commercial Paper Rates and Outstanding Summary”), available through the world wide website of the FRB </w:t>
      </w:r>
      <w:r w:rsidR="00BB165C" w:rsidRPr="00644BF9">
        <w:rPr>
          <w:rFonts w:ascii="Times New Roman" w:hAnsi="Times New Roman"/>
          <w:sz w:val="22"/>
          <w:szCs w:val="22"/>
        </w:rPr>
        <w:t xml:space="preserve">at </w:t>
      </w:r>
      <w:r w:rsidR="00A62A20" w:rsidRPr="00644BF9">
        <w:rPr>
          <w:rFonts w:ascii="Times New Roman" w:hAnsi="Times New Roman"/>
          <w:sz w:val="22"/>
          <w:szCs w:val="22"/>
        </w:rPr>
        <w:t>https://www.federal</w:t>
      </w:r>
      <w:r w:rsidR="00BB165C" w:rsidRPr="00644BF9">
        <w:rPr>
          <w:rFonts w:ascii="Times New Roman" w:hAnsi="Times New Roman"/>
          <w:sz w:val="22"/>
          <w:szCs w:val="22"/>
        </w:rPr>
        <w:t>reserve.gov/releases/cp/default.htm, or any successor site or publication or other recognized source used for the purpose of displaying the applicable rate under the heading “Rates [AA nonfinancial][AA financial]</w:t>
      </w:r>
      <w:r w:rsidR="00E27A77" w:rsidRPr="00644BF9">
        <w:rPr>
          <w:rStyle w:val="FootnoteReference"/>
          <w:rFonts w:ascii="Times New Roman" w:hAnsi="Times New Roman"/>
          <w:sz w:val="22"/>
          <w:szCs w:val="22"/>
        </w:rPr>
        <w:footnoteReference w:id="4"/>
      </w:r>
      <w:r w:rsidR="00BB165C" w:rsidRPr="00644BF9">
        <w:rPr>
          <w:rFonts w:ascii="Times New Roman" w:hAnsi="Times New Roman"/>
          <w:sz w:val="22"/>
          <w:szCs w:val="22"/>
        </w:rPr>
        <w:t>”</w:t>
      </w:r>
      <w:r w:rsidRPr="00644BF9">
        <w:rPr>
          <w:rFonts w:ascii="Times New Roman" w:hAnsi="Times New Roman"/>
          <w:sz w:val="22"/>
          <w:szCs w:val="22"/>
        </w:rPr>
        <w:t>.</w:t>
      </w:r>
    </w:p>
    <w:p w14:paraId="5A6BF722" w14:textId="77777777" w:rsidR="00644BF9" w:rsidRPr="00BD6DC7" w:rsidRDefault="00644BF9" w:rsidP="00644BF9">
      <w:pPr>
        <w:rPr>
          <w:rFonts w:ascii="Times New Roman" w:hAnsi="Times New Roman"/>
          <w:sz w:val="22"/>
          <w:szCs w:val="22"/>
        </w:rPr>
      </w:pPr>
    </w:p>
    <w:p w14:paraId="7F6D6D64" w14:textId="0B20849A" w:rsidR="00BD6DC7" w:rsidRPr="00BD6DC7" w:rsidRDefault="00BD6DC7" w:rsidP="00BD6DC7">
      <w:pPr>
        <w:widowControl w:val="0"/>
        <w:spacing w:after="240"/>
        <w:rPr>
          <w:rFonts w:ascii="Times New Roman" w:hAnsi="Times New Roman"/>
          <w:sz w:val="22"/>
          <w:szCs w:val="22"/>
        </w:rPr>
      </w:pPr>
      <w:r w:rsidRPr="00BD6DC7">
        <w:rPr>
          <w:rFonts w:ascii="Times New Roman" w:hAnsi="Times New Roman"/>
          <w:spacing w:val="-2"/>
          <w:sz w:val="22"/>
          <w:szCs w:val="22"/>
        </w:rPr>
        <w:t>If</w:t>
      </w:r>
      <w:r w:rsidRPr="00BD6DC7">
        <w:rPr>
          <w:rFonts w:ascii="Times New Roman" w:hAnsi="Times New Roman"/>
          <w:spacing w:val="51"/>
          <w:sz w:val="22"/>
          <w:szCs w:val="22"/>
        </w:rPr>
        <w:t xml:space="preserve"> </w:t>
      </w:r>
      <w:r w:rsidRPr="00BD6DC7">
        <w:rPr>
          <w:rFonts w:ascii="Times New Roman" w:hAnsi="Times New Roman"/>
          <w:sz w:val="22"/>
          <w:szCs w:val="22"/>
        </w:rPr>
        <w:t>the</w:t>
      </w:r>
      <w:r w:rsidRPr="00BD6DC7">
        <w:rPr>
          <w:rFonts w:ascii="Times New Roman" w:hAnsi="Times New Roman"/>
          <w:spacing w:val="51"/>
          <w:sz w:val="22"/>
          <w:szCs w:val="22"/>
        </w:rPr>
        <w:t xml:space="preserve"> </w:t>
      </w:r>
      <w:r w:rsidRPr="00BD6DC7">
        <w:rPr>
          <w:rFonts w:ascii="Times New Roman" w:hAnsi="Times New Roman"/>
          <w:spacing w:val="1"/>
          <w:sz w:val="22"/>
          <w:szCs w:val="22"/>
        </w:rPr>
        <w:t>above</w:t>
      </w:r>
      <w:r w:rsidRPr="00BD6DC7">
        <w:rPr>
          <w:rFonts w:ascii="Times New Roman" w:hAnsi="Times New Roman"/>
          <w:spacing w:val="51"/>
          <w:sz w:val="22"/>
          <w:szCs w:val="22"/>
        </w:rPr>
        <w:t xml:space="preserve"> </w:t>
      </w:r>
      <w:r w:rsidRPr="00BD6DC7">
        <w:rPr>
          <w:rFonts w:ascii="Times New Roman" w:hAnsi="Times New Roman"/>
          <w:sz w:val="22"/>
          <w:szCs w:val="22"/>
        </w:rPr>
        <w:t>rate</w:t>
      </w:r>
      <w:r w:rsidRPr="00BD6DC7">
        <w:rPr>
          <w:rFonts w:ascii="Times New Roman" w:hAnsi="Times New Roman"/>
          <w:spacing w:val="51"/>
          <w:sz w:val="22"/>
          <w:szCs w:val="22"/>
        </w:rPr>
        <w:t xml:space="preserve"> </w:t>
      </w:r>
      <w:r w:rsidRPr="00BD6DC7">
        <w:rPr>
          <w:rFonts w:ascii="Times New Roman" w:hAnsi="Times New Roman"/>
          <w:sz w:val="22"/>
          <w:szCs w:val="22"/>
        </w:rPr>
        <w:t>is</w:t>
      </w:r>
      <w:r w:rsidRPr="00BD6DC7">
        <w:rPr>
          <w:rFonts w:ascii="Times New Roman" w:hAnsi="Times New Roman"/>
          <w:spacing w:val="52"/>
          <w:sz w:val="22"/>
          <w:szCs w:val="22"/>
        </w:rPr>
        <w:t xml:space="preserve"> </w:t>
      </w:r>
      <w:r w:rsidRPr="00BD6DC7">
        <w:rPr>
          <w:rFonts w:ascii="Times New Roman" w:hAnsi="Times New Roman"/>
          <w:sz w:val="22"/>
          <w:szCs w:val="22"/>
        </w:rPr>
        <w:t>not</w:t>
      </w:r>
      <w:r w:rsidRPr="00BD6DC7">
        <w:rPr>
          <w:rFonts w:ascii="Times New Roman" w:hAnsi="Times New Roman"/>
          <w:spacing w:val="52"/>
          <w:sz w:val="22"/>
          <w:szCs w:val="22"/>
        </w:rPr>
        <w:t xml:space="preserve"> </w:t>
      </w:r>
      <w:r w:rsidRPr="00BD6DC7">
        <w:rPr>
          <w:rFonts w:ascii="Times New Roman" w:hAnsi="Times New Roman"/>
          <w:sz w:val="22"/>
          <w:szCs w:val="22"/>
        </w:rPr>
        <w:t>published</w:t>
      </w:r>
      <w:r w:rsidRPr="00BD6DC7">
        <w:rPr>
          <w:rFonts w:ascii="Times New Roman" w:hAnsi="Times New Roman"/>
          <w:spacing w:val="53"/>
          <w:sz w:val="22"/>
          <w:szCs w:val="22"/>
        </w:rPr>
        <w:t xml:space="preserve"> </w:t>
      </w:r>
      <w:r w:rsidRPr="00BD6DC7">
        <w:rPr>
          <w:rFonts w:ascii="Times New Roman" w:hAnsi="Times New Roman"/>
          <w:sz w:val="22"/>
          <w:szCs w:val="22"/>
        </w:rPr>
        <w:t>in</w:t>
      </w:r>
      <w:r w:rsidRPr="00BD6DC7">
        <w:rPr>
          <w:rFonts w:ascii="Times New Roman" w:hAnsi="Times New Roman"/>
          <w:spacing w:val="52"/>
          <w:sz w:val="22"/>
          <w:szCs w:val="22"/>
        </w:rPr>
        <w:t xml:space="preserve"> </w:t>
      </w:r>
      <w:r w:rsidR="009D28B4">
        <w:rPr>
          <w:rFonts w:ascii="Times New Roman" w:hAnsi="Times New Roman"/>
          <w:sz w:val="22"/>
          <w:szCs w:val="22"/>
        </w:rPr>
        <w:t>Commercial Paper Rates and Outstanding Summary</w:t>
      </w:r>
      <w:r w:rsidRPr="00BD6DC7">
        <w:rPr>
          <w:rFonts w:ascii="Times New Roman" w:hAnsi="Times New Roman"/>
          <w:spacing w:val="49"/>
          <w:sz w:val="22"/>
          <w:szCs w:val="22"/>
        </w:rPr>
        <w:t xml:space="preserve"> </w:t>
      </w:r>
      <w:r w:rsidRPr="00BD6DC7">
        <w:rPr>
          <w:rFonts w:ascii="Times New Roman" w:hAnsi="Times New Roman"/>
          <w:spacing w:val="1"/>
          <w:sz w:val="22"/>
          <w:szCs w:val="22"/>
        </w:rPr>
        <w:t>by</w:t>
      </w:r>
      <w:r w:rsidRPr="00BD6DC7">
        <w:rPr>
          <w:rFonts w:ascii="Times New Roman" w:hAnsi="Times New Roman"/>
          <w:spacing w:val="45"/>
          <w:sz w:val="22"/>
          <w:szCs w:val="22"/>
        </w:rPr>
        <w:t xml:space="preserve"> </w:t>
      </w:r>
      <w:r w:rsidRPr="00BD6DC7">
        <w:rPr>
          <w:rFonts w:ascii="Times New Roman" w:hAnsi="Times New Roman"/>
          <w:sz w:val="22"/>
          <w:szCs w:val="22"/>
        </w:rPr>
        <w:t>3:00</w:t>
      </w:r>
      <w:r w:rsidRPr="00BD6DC7">
        <w:rPr>
          <w:rFonts w:ascii="Times New Roman" w:hAnsi="Times New Roman"/>
          <w:spacing w:val="52"/>
          <w:sz w:val="22"/>
          <w:szCs w:val="22"/>
        </w:rPr>
        <w:t xml:space="preserve"> </w:t>
      </w:r>
      <w:r w:rsidRPr="00BD6DC7">
        <w:rPr>
          <w:rFonts w:ascii="Times New Roman" w:hAnsi="Times New Roman"/>
          <w:sz w:val="22"/>
          <w:szCs w:val="22"/>
        </w:rPr>
        <w:t>p.m.,</w:t>
      </w:r>
      <w:r w:rsidRPr="00BD6DC7">
        <w:rPr>
          <w:rFonts w:ascii="Times New Roman" w:hAnsi="Times New Roman"/>
          <w:spacing w:val="52"/>
          <w:sz w:val="22"/>
          <w:szCs w:val="22"/>
        </w:rPr>
        <w:t xml:space="preserve"> </w:t>
      </w:r>
      <w:r w:rsidRPr="00BD6DC7">
        <w:rPr>
          <w:rFonts w:ascii="Times New Roman" w:hAnsi="Times New Roman"/>
          <w:sz w:val="22"/>
          <w:szCs w:val="22"/>
        </w:rPr>
        <w:t>New</w:t>
      </w:r>
      <w:r w:rsidRPr="00BD6DC7">
        <w:rPr>
          <w:rFonts w:ascii="Times New Roman" w:hAnsi="Times New Roman"/>
          <w:spacing w:val="53"/>
          <w:sz w:val="22"/>
          <w:szCs w:val="22"/>
        </w:rPr>
        <w:t xml:space="preserve"> </w:t>
      </w:r>
      <w:r w:rsidRPr="00BD6DC7">
        <w:rPr>
          <w:rFonts w:ascii="Times New Roman" w:hAnsi="Times New Roman"/>
          <w:spacing w:val="1"/>
          <w:sz w:val="22"/>
          <w:szCs w:val="22"/>
        </w:rPr>
        <w:t>York</w:t>
      </w:r>
      <w:r w:rsidRPr="00BD6DC7">
        <w:rPr>
          <w:rFonts w:ascii="Times New Roman" w:hAnsi="Times New Roman"/>
          <w:spacing w:val="53"/>
          <w:sz w:val="22"/>
          <w:szCs w:val="22"/>
        </w:rPr>
        <w:t xml:space="preserve"> </w:t>
      </w:r>
      <w:r w:rsidRPr="00BD6DC7">
        <w:rPr>
          <w:rFonts w:ascii="Times New Roman" w:hAnsi="Times New Roman"/>
          <w:spacing w:val="1"/>
          <w:sz w:val="22"/>
          <w:szCs w:val="22"/>
        </w:rPr>
        <w:t>City</w:t>
      </w:r>
      <w:r w:rsidRPr="00BD6DC7">
        <w:rPr>
          <w:rFonts w:ascii="Times New Roman" w:hAnsi="Times New Roman"/>
          <w:spacing w:val="45"/>
          <w:sz w:val="22"/>
          <w:szCs w:val="22"/>
        </w:rPr>
        <w:t xml:space="preserve"> </w:t>
      </w:r>
      <w:r w:rsidRPr="00BD6DC7">
        <w:rPr>
          <w:rFonts w:ascii="Times New Roman" w:hAnsi="Times New Roman"/>
          <w:sz w:val="22"/>
          <w:szCs w:val="22"/>
        </w:rPr>
        <w:t>time,</w:t>
      </w:r>
      <w:r w:rsidRPr="00BD6DC7">
        <w:rPr>
          <w:rFonts w:ascii="Times New Roman" w:hAnsi="Times New Roman"/>
          <w:spacing w:val="52"/>
          <w:sz w:val="22"/>
          <w:szCs w:val="22"/>
        </w:rPr>
        <w:t xml:space="preserve"> </w:t>
      </w:r>
      <w:r w:rsidRPr="00BD6DC7">
        <w:rPr>
          <w:rFonts w:ascii="Times New Roman" w:hAnsi="Times New Roman"/>
          <w:sz w:val="22"/>
          <w:szCs w:val="22"/>
        </w:rPr>
        <w:t>on</w:t>
      </w:r>
      <w:r w:rsidRPr="00BD6DC7">
        <w:rPr>
          <w:rFonts w:ascii="Times New Roman" w:hAnsi="Times New Roman"/>
          <w:spacing w:val="52"/>
          <w:sz w:val="22"/>
          <w:szCs w:val="22"/>
        </w:rPr>
        <w:t xml:space="preserve"> </w:t>
      </w:r>
      <w:r w:rsidRPr="00BD6DC7">
        <w:rPr>
          <w:rFonts w:ascii="Times New Roman" w:hAnsi="Times New Roman"/>
          <w:sz w:val="22"/>
          <w:szCs w:val="22"/>
        </w:rPr>
        <w:t>the</w:t>
      </w:r>
      <w:r w:rsidRPr="00BD6DC7">
        <w:rPr>
          <w:rFonts w:ascii="Times New Roman" w:hAnsi="Times New Roman"/>
          <w:spacing w:val="76"/>
          <w:sz w:val="22"/>
          <w:szCs w:val="22"/>
        </w:rPr>
        <w:t xml:space="preserve"> </w:t>
      </w:r>
      <w:r w:rsidRPr="00BD6DC7">
        <w:rPr>
          <w:rFonts w:ascii="Times New Roman" w:hAnsi="Times New Roman"/>
          <w:sz w:val="22"/>
          <w:szCs w:val="22"/>
        </w:rPr>
        <w:t>Calculation</w:t>
      </w:r>
      <w:r w:rsidRPr="00BD6DC7">
        <w:rPr>
          <w:rFonts w:ascii="Times New Roman" w:hAnsi="Times New Roman"/>
          <w:spacing w:val="2"/>
          <w:sz w:val="22"/>
          <w:szCs w:val="22"/>
        </w:rPr>
        <w:t xml:space="preserve"> </w:t>
      </w:r>
      <w:r w:rsidRPr="00BD6DC7">
        <w:rPr>
          <w:rFonts w:ascii="Times New Roman" w:hAnsi="Times New Roman"/>
          <w:sz w:val="22"/>
          <w:szCs w:val="22"/>
        </w:rPr>
        <w:t>Date,</w:t>
      </w:r>
      <w:r w:rsidRPr="00BD6DC7">
        <w:rPr>
          <w:rFonts w:ascii="Times New Roman" w:hAnsi="Times New Roman"/>
          <w:spacing w:val="1"/>
          <w:sz w:val="22"/>
          <w:szCs w:val="22"/>
        </w:rPr>
        <w:t xml:space="preserve"> </w:t>
      </w:r>
      <w:r w:rsidRPr="00BD6DC7">
        <w:rPr>
          <w:rFonts w:ascii="Times New Roman" w:hAnsi="Times New Roman"/>
          <w:sz w:val="22"/>
          <w:szCs w:val="22"/>
        </w:rPr>
        <w:t>then</w:t>
      </w:r>
      <w:r w:rsidRPr="00BD6DC7">
        <w:rPr>
          <w:rFonts w:ascii="Times New Roman" w:hAnsi="Times New Roman"/>
          <w:spacing w:val="4"/>
          <w:sz w:val="22"/>
          <w:szCs w:val="22"/>
        </w:rPr>
        <w:t xml:space="preserve"> </w:t>
      </w:r>
      <w:r w:rsidRPr="00BD6DC7">
        <w:rPr>
          <w:rFonts w:ascii="Times New Roman" w:hAnsi="Times New Roman"/>
          <w:spacing w:val="1"/>
          <w:sz w:val="22"/>
          <w:szCs w:val="22"/>
        </w:rPr>
        <w:t>the</w:t>
      </w:r>
      <w:r w:rsidRPr="00BD6DC7">
        <w:rPr>
          <w:rFonts w:ascii="Times New Roman" w:hAnsi="Times New Roman"/>
          <w:sz w:val="22"/>
          <w:szCs w:val="22"/>
        </w:rPr>
        <w:t xml:space="preserve"> Commercial</w:t>
      </w:r>
      <w:r w:rsidRPr="00BD6DC7">
        <w:rPr>
          <w:rFonts w:ascii="Times New Roman" w:hAnsi="Times New Roman"/>
          <w:spacing w:val="2"/>
          <w:sz w:val="22"/>
          <w:szCs w:val="22"/>
        </w:rPr>
        <w:t xml:space="preserve"> </w:t>
      </w:r>
      <w:r w:rsidRPr="00BD6DC7">
        <w:rPr>
          <w:rFonts w:ascii="Times New Roman" w:hAnsi="Times New Roman"/>
          <w:spacing w:val="1"/>
          <w:sz w:val="22"/>
          <w:szCs w:val="22"/>
        </w:rPr>
        <w:t>Paper Rate</w:t>
      </w:r>
      <w:r w:rsidRPr="00BD6DC7">
        <w:rPr>
          <w:rFonts w:ascii="Times New Roman" w:hAnsi="Times New Roman"/>
          <w:sz w:val="22"/>
          <w:szCs w:val="22"/>
        </w:rPr>
        <w:t xml:space="preserve"> will</w:t>
      </w:r>
      <w:r w:rsidRPr="00BD6DC7">
        <w:rPr>
          <w:rFonts w:ascii="Times New Roman" w:hAnsi="Times New Roman"/>
          <w:spacing w:val="1"/>
          <w:sz w:val="22"/>
          <w:szCs w:val="22"/>
        </w:rPr>
        <w:t xml:space="preserve"> </w:t>
      </w:r>
      <w:r w:rsidRPr="00BD6DC7">
        <w:rPr>
          <w:rFonts w:ascii="Times New Roman" w:hAnsi="Times New Roman"/>
          <w:sz w:val="22"/>
          <w:szCs w:val="22"/>
        </w:rPr>
        <w:t>be the</w:t>
      </w:r>
      <w:r w:rsidRPr="00BD6DC7">
        <w:rPr>
          <w:rFonts w:ascii="Times New Roman" w:hAnsi="Times New Roman"/>
          <w:spacing w:val="3"/>
          <w:sz w:val="22"/>
          <w:szCs w:val="22"/>
        </w:rPr>
        <w:t xml:space="preserve"> </w:t>
      </w:r>
      <w:r w:rsidRPr="00BD6DC7">
        <w:rPr>
          <w:rFonts w:ascii="Times New Roman" w:hAnsi="Times New Roman"/>
          <w:spacing w:val="1"/>
          <w:sz w:val="22"/>
          <w:szCs w:val="22"/>
        </w:rPr>
        <w:t>Money</w:t>
      </w:r>
      <w:r w:rsidRPr="00BD6DC7">
        <w:rPr>
          <w:rFonts w:ascii="Times New Roman" w:hAnsi="Times New Roman"/>
          <w:spacing w:val="-3"/>
          <w:sz w:val="22"/>
          <w:szCs w:val="22"/>
        </w:rPr>
        <w:t xml:space="preserve"> </w:t>
      </w:r>
      <w:r w:rsidRPr="00BD6DC7">
        <w:rPr>
          <w:rFonts w:ascii="Times New Roman" w:hAnsi="Times New Roman"/>
          <w:spacing w:val="1"/>
          <w:sz w:val="22"/>
          <w:szCs w:val="22"/>
        </w:rPr>
        <w:t>Market</w:t>
      </w:r>
      <w:r w:rsidRPr="00BD6DC7">
        <w:rPr>
          <w:rFonts w:ascii="Times New Roman" w:hAnsi="Times New Roman"/>
          <w:spacing w:val="2"/>
          <w:sz w:val="22"/>
          <w:szCs w:val="22"/>
        </w:rPr>
        <w:t xml:space="preserve"> </w:t>
      </w:r>
      <w:r w:rsidRPr="00BD6DC7">
        <w:rPr>
          <w:rFonts w:ascii="Times New Roman" w:hAnsi="Times New Roman"/>
          <w:sz w:val="22"/>
          <w:szCs w:val="22"/>
        </w:rPr>
        <w:t>Yield</w:t>
      </w:r>
      <w:r w:rsidRPr="00BD6DC7">
        <w:rPr>
          <w:rFonts w:ascii="Times New Roman" w:hAnsi="Times New Roman"/>
          <w:spacing w:val="1"/>
          <w:sz w:val="22"/>
          <w:szCs w:val="22"/>
        </w:rPr>
        <w:t xml:space="preserve"> </w:t>
      </w:r>
      <w:r w:rsidRPr="00BD6DC7">
        <w:rPr>
          <w:rFonts w:ascii="Times New Roman" w:hAnsi="Times New Roman"/>
          <w:sz w:val="22"/>
          <w:szCs w:val="22"/>
        </w:rPr>
        <w:t xml:space="preserve">of </w:t>
      </w:r>
      <w:r w:rsidRPr="00BD6DC7">
        <w:rPr>
          <w:rFonts w:ascii="Times New Roman" w:hAnsi="Times New Roman"/>
          <w:spacing w:val="1"/>
          <w:sz w:val="22"/>
          <w:szCs w:val="22"/>
        </w:rPr>
        <w:t>the</w:t>
      </w:r>
      <w:r w:rsidRPr="00BD6DC7">
        <w:rPr>
          <w:rFonts w:ascii="Times New Roman" w:hAnsi="Times New Roman"/>
          <w:sz w:val="22"/>
          <w:szCs w:val="22"/>
        </w:rPr>
        <w:t xml:space="preserve"> rate on</w:t>
      </w:r>
      <w:r w:rsidRPr="00BD6DC7">
        <w:rPr>
          <w:rFonts w:ascii="Times New Roman" w:hAnsi="Times New Roman"/>
          <w:spacing w:val="84"/>
          <w:sz w:val="22"/>
          <w:szCs w:val="22"/>
        </w:rPr>
        <w:t xml:space="preserve"> </w:t>
      </w:r>
      <w:r w:rsidRPr="00BD6DC7">
        <w:rPr>
          <w:rFonts w:ascii="Times New Roman" w:hAnsi="Times New Roman"/>
          <w:sz w:val="22"/>
          <w:szCs w:val="22"/>
        </w:rPr>
        <w:t>such</w:t>
      </w:r>
      <w:r w:rsidRPr="00BD6DC7">
        <w:rPr>
          <w:rFonts w:ascii="Times New Roman" w:hAnsi="Times New Roman"/>
          <w:spacing w:val="31"/>
          <w:sz w:val="22"/>
          <w:szCs w:val="22"/>
        </w:rPr>
        <w:t xml:space="preserve"> </w:t>
      </w:r>
      <w:r w:rsidRPr="00BD6DC7">
        <w:rPr>
          <w:rFonts w:ascii="Times New Roman" w:hAnsi="Times New Roman"/>
          <w:spacing w:val="-4"/>
          <w:sz w:val="22"/>
          <w:szCs w:val="22"/>
        </w:rPr>
        <w:t>Interest</w:t>
      </w:r>
      <w:r w:rsidRPr="00BD6DC7">
        <w:rPr>
          <w:rFonts w:ascii="Times New Roman" w:hAnsi="Times New Roman"/>
          <w:spacing w:val="28"/>
          <w:sz w:val="22"/>
          <w:szCs w:val="22"/>
        </w:rPr>
        <w:t xml:space="preserve"> </w:t>
      </w:r>
      <w:r w:rsidRPr="00BD6DC7">
        <w:rPr>
          <w:rFonts w:ascii="Times New Roman" w:hAnsi="Times New Roman"/>
          <w:spacing w:val="1"/>
          <w:sz w:val="22"/>
          <w:szCs w:val="22"/>
        </w:rPr>
        <w:t>Determination</w:t>
      </w:r>
      <w:r w:rsidRPr="00BD6DC7">
        <w:rPr>
          <w:rFonts w:ascii="Times New Roman" w:hAnsi="Times New Roman"/>
          <w:spacing w:val="28"/>
          <w:sz w:val="22"/>
          <w:szCs w:val="22"/>
        </w:rPr>
        <w:t xml:space="preserve"> </w:t>
      </w:r>
      <w:r w:rsidRPr="00BD6DC7">
        <w:rPr>
          <w:rFonts w:ascii="Times New Roman" w:hAnsi="Times New Roman"/>
          <w:sz w:val="22"/>
          <w:szCs w:val="22"/>
        </w:rPr>
        <w:t>Date</w:t>
      </w:r>
      <w:r w:rsidRPr="00BD6DC7">
        <w:rPr>
          <w:rFonts w:ascii="Times New Roman" w:hAnsi="Times New Roman"/>
          <w:spacing w:val="27"/>
          <w:sz w:val="22"/>
          <w:szCs w:val="22"/>
        </w:rPr>
        <w:t xml:space="preserve"> </w:t>
      </w:r>
      <w:r w:rsidRPr="00BD6DC7">
        <w:rPr>
          <w:rFonts w:ascii="Times New Roman" w:hAnsi="Times New Roman"/>
          <w:sz w:val="22"/>
          <w:szCs w:val="22"/>
        </w:rPr>
        <w:t>for</w:t>
      </w:r>
      <w:r w:rsidRPr="00BD6DC7">
        <w:rPr>
          <w:rFonts w:ascii="Times New Roman" w:hAnsi="Times New Roman"/>
          <w:spacing w:val="29"/>
          <w:sz w:val="22"/>
          <w:szCs w:val="22"/>
        </w:rPr>
        <w:t xml:space="preserve"> </w:t>
      </w:r>
      <w:r w:rsidRPr="00BD6DC7">
        <w:rPr>
          <w:rFonts w:ascii="Times New Roman" w:hAnsi="Times New Roman"/>
          <w:sz w:val="22"/>
          <w:szCs w:val="22"/>
        </w:rPr>
        <w:t>commercial</w:t>
      </w:r>
      <w:r w:rsidRPr="00BD6DC7">
        <w:rPr>
          <w:rFonts w:ascii="Times New Roman" w:hAnsi="Times New Roman"/>
          <w:spacing w:val="31"/>
          <w:sz w:val="22"/>
          <w:szCs w:val="22"/>
        </w:rPr>
        <w:t xml:space="preserve"> </w:t>
      </w:r>
      <w:r w:rsidRPr="00BD6DC7">
        <w:rPr>
          <w:rFonts w:ascii="Times New Roman" w:hAnsi="Times New Roman"/>
          <w:sz w:val="22"/>
          <w:szCs w:val="22"/>
        </w:rPr>
        <w:t>paper</w:t>
      </w:r>
      <w:r w:rsidRPr="00BD6DC7">
        <w:rPr>
          <w:rFonts w:ascii="Times New Roman" w:hAnsi="Times New Roman"/>
          <w:spacing w:val="27"/>
          <w:sz w:val="22"/>
          <w:szCs w:val="22"/>
        </w:rPr>
        <w:t xml:space="preserve"> </w:t>
      </w:r>
      <w:r w:rsidRPr="00BD6DC7">
        <w:rPr>
          <w:rFonts w:ascii="Times New Roman" w:hAnsi="Times New Roman"/>
          <w:sz w:val="22"/>
          <w:szCs w:val="22"/>
        </w:rPr>
        <w:t>of</w:t>
      </w:r>
      <w:r w:rsidRPr="00BD6DC7">
        <w:rPr>
          <w:rFonts w:ascii="Times New Roman" w:hAnsi="Times New Roman"/>
          <w:spacing w:val="27"/>
          <w:sz w:val="22"/>
          <w:szCs w:val="22"/>
        </w:rPr>
        <w:t xml:space="preserve"> </w:t>
      </w:r>
      <w:r w:rsidRPr="00BD6DC7">
        <w:rPr>
          <w:rFonts w:ascii="Times New Roman" w:hAnsi="Times New Roman"/>
          <w:spacing w:val="1"/>
          <w:sz w:val="22"/>
          <w:szCs w:val="22"/>
        </w:rPr>
        <w:t>the</w:t>
      </w:r>
      <w:r w:rsidRPr="00BD6DC7">
        <w:rPr>
          <w:rFonts w:ascii="Times New Roman" w:hAnsi="Times New Roman"/>
          <w:spacing w:val="29"/>
          <w:sz w:val="22"/>
          <w:szCs w:val="22"/>
        </w:rPr>
        <w:t xml:space="preserve"> </w:t>
      </w:r>
      <w:r w:rsidRPr="00BD6DC7">
        <w:rPr>
          <w:rFonts w:ascii="Times New Roman" w:hAnsi="Times New Roman"/>
          <w:spacing w:val="-1"/>
          <w:sz w:val="22"/>
          <w:szCs w:val="22"/>
        </w:rPr>
        <w:t>Index</w:t>
      </w:r>
      <w:r w:rsidRPr="00BD6DC7">
        <w:rPr>
          <w:rFonts w:ascii="Times New Roman" w:hAnsi="Times New Roman"/>
          <w:spacing w:val="31"/>
          <w:sz w:val="22"/>
          <w:szCs w:val="22"/>
        </w:rPr>
        <w:t xml:space="preserve"> </w:t>
      </w:r>
      <w:r w:rsidRPr="00BD6DC7">
        <w:rPr>
          <w:rFonts w:ascii="Times New Roman" w:hAnsi="Times New Roman"/>
          <w:spacing w:val="1"/>
          <w:sz w:val="22"/>
          <w:szCs w:val="22"/>
        </w:rPr>
        <w:t>Maturity</w:t>
      </w:r>
      <w:r w:rsidRPr="00BD6DC7">
        <w:rPr>
          <w:rFonts w:ascii="Times New Roman" w:hAnsi="Times New Roman"/>
          <w:spacing w:val="23"/>
          <w:sz w:val="22"/>
          <w:szCs w:val="22"/>
        </w:rPr>
        <w:t xml:space="preserve"> </w:t>
      </w:r>
      <w:r w:rsidRPr="00BD6DC7">
        <w:rPr>
          <w:rFonts w:ascii="Times New Roman" w:hAnsi="Times New Roman"/>
          <w:sz w:val="22"/>
          <w:szCs w:val="22"/>
        </w:rPr>
        <w:t>published</w:t>
      </w:r>
      <w:r w:rsidRPr="00BD6DC7">
        <w:rPr>
          <w:rFonts w:ascii="Times New Roman" w:hAnsi="Times New Roman"/>
          <w:spacing w:val="28"/>
          <w:sz w:val="22"/>
          <w:szCs w:val="22"/>
        </w:rPr>
        <w:t xml:space="preserve"> </w:t>
      </w:r>
      <w:r w:rsidRPr="00BD6DC7">
        <w:rPr>
          <w:rFonts w:ascii="Times New Roman" w:hAnsi="Times New Roman"/>
          <w:sz w:val="22"/>
          <w:szCs w:val="22"/>
        </w:rPr>
        <w:t>in</w:t>
      </w:r>
      <w:r w:rsidRPr="00BD6DC7">
        <w:rPr>
          <w:rFonts w:ascii="Times New Roman" w:hAnsi="Times New Roman"/>
          <w:spacing w:val="28"/>
          <w:sz w:val="22"/>
          <w:szCs w:val="22"/>
        </w:rPr>
        <w:t xml:space="preserve"> </w:t>
      </w:r>
      <w:r w:rsidRPr="00BD6DC7">
        <w:rPr>
          <w:rFonts w:ascii="Times New Roman" w:hAnsi="Times New Roman"/>
          <w:sz w:val="22"/>
          <w:szCs w:val="22"/>
        </w:rPr>
        <w:t>the</w:t>
      </w:r>
      <w:r w:rsidRPr="00BD6DC7">
        <w:rPr>
          <w:rFonts w:ascii="Times New Roman" w:hAnsi="Times New Roman"/>
          <w:spacing w:val="58"/>
          <w:sz w:val="22"/>
          <w:szCs w:val="22"/>
        </w:rPr>
        <w:t xml:space="preserve"> </w:t>
      </w:r>
      <w:r w:rsidRPr="00BD6DC7">
        <w:rPr>
          <w:rFonts w:ascii="Times New Roman" w:hAnsi="Times New Roman"/>
          <w:spacing w:val="1"/>
          <w:sz w:val="22"/>
          <w:szCs w:val="22"/>
        </w:rPr>
        <w:t>daily</w:t>
      </w:r>
      <w:r w:rsidRPr="00BD6DC7">
        <w:rPr>
          <w:rFonts w:ascii="Times New Roman" w:hAnsi="Times New Roman"/>
          <w:spacing w:val="48"/>
          <w:sz w:val="22"/>
          <w:szCs w:val="22"/>
        </w:rPr>
        <w:t xml:space="preserve"> </w:t>
      </w:r>
      <w:r w:rsidRPr="00BD6DC7">
        <w:rPr>
          <w:rFonts w:ascii="Times New Roman" w:hAnsi="Times New Roman"/>
          <w:sz w:val="22"/>
          <w:szCs w:val="22"/>
        </w:rPr>
        <w:t>update</w:t>
      </w:r>
      <w:r w:rsidRPr="00BD6DC7">
        <w:rPr>
          <w:rFonts w:ascii="Times New Roman" w:hAnsi="Times New Roman"/>
          <w:spacing w:val="52"/>
          <w:sz w:val="22"/>
          <w:szCs w:val="22"/>
        </w:rPr>
        <w:t xml:space="preserve"> </w:t>
      </w:r>
      <w:r w:rsidRPr="00BD6DC7">
        <w:rPr>
          <w:rFonts w:ascii="Times New Roman" w:hAnsi="Times New Roman"/>
          <w:sz w:val="22"/>
          <w:szCs w:val="22"/>
        </w:rPr>
        <w:t>of</w:t>
      </w:r>
      <w:r w:rsidRPr="00BD6DC7">
        <w:rPr>
          <w:rFonts w:ascii="Times New Roman" w:hAnsi="Times New Roman"/>
          <w:spacing w:val="52"/>
          <w:sz w:val="22"/>
          <w:szCs w:val="22"/>
        </w:rPr>
        <w:t xml:space="preserve"> </w:t>
      </w:r>
      <w:r w:rsidRPr="00BD6DC7">
        <w:rPr>
          <w:rFonts w:ascii="Times New Roman" w:hAnsi="Times New Roman"/>
          <w:sz w:val="22"/>
          <w:szCs w:val="22"/>
        </w:rPr>
        <w:t>H.15</w:t>
      </w:r>
      <w:r w:rsidR="007D45E0">
        <w:rPr>
          <w:rFonts w:ascii="Times New Roman" w:hAnsi="Times New Roman"/>
          <w:sz w:val="22"/>
          <w:szCs w:val="22"/>
        </w:rPr>
        <w:t xml:space="preserve"> Daily Update</w:t>
      </w:r>
      <w:r w:rsidRPr="00BD6DC7">
        <w:rPr>
          <w:rFonts w:ascii="Times New Roman" w:hAnsi="Times New Roman"/>
          <w:sz w:val="22"/>
          <w:szCs w:val="22"/>
        </w:rPr>
        <w:t>,</w:t>
      </w:r>
      <w:r w:rsidRPr="00BD6DC7">
        <w:rPr>
          <w:rFonts w:ascii="Times New Roman" w:hAnsi="Times New Roman"/>
          <w:spacing w:val="53"/>
          <w:sz w:val="22"/>
          <w:szCs w:val="22"/>
        </w:rPr>
        <w:t xml:space="preserve"> </w:t>
      </w:r>
      <w:r w:rsidRPr="00BD6DC7">
        <w:rPr>
          <w:rFonts w:ascii="Times New Roman" w:hAnsi="Times New Roman"/>
          <w:sz w:val="22"/>
          <w:szCs w:val="22"/>
        </w:rPr>
        <w:t>available</w:t>
      </w:r>
      <w:r w:rsidRPr="00BD6DC7">
        <w:rPr>
          <w:rFonts w:ascii="Times New Roman" w:hAnsi="Times New Roman"/>
          <w:spacing w:val="52"/>
          <w:sz w:val="22"/>
          <w:szCs w:val="22"/>
        </w:rPr>
        <w:t xml:space="preserve"> </w:t>
      </w:r>
      <w:r w:rsidRPr="00BD6DC7">
        <w:rPr>
          <w:rFonts w:ascii="Times New Roman" w:hAnsi="Times New Roman"/>
          <w:sz w:val="22"/>
          <w:szCs w:val="22"/>
        </w:rPr>
        <w:t>through</w:t>
      </w:r>
      <w:r w:rsidRPr="00BD6DC7">
        <w:rPr>
          <w:rFonts w:ascii="Times New Roman" w:hAnsi="Times New Roman"/>
          <w:spacing w:val="55"/>
          <w:sz w:val="22"/>
          <w:szCs w:val="22"/>
        </w:rPr>
        <w:t xml:space="preserve"> </w:t>
      </w:r>
      <w:r w:rsidRPr="00BD6DC7">
        <w:rPr>
          <w:rFonts w:ascii="Times New Roman" w:hAnsi="Times New Roman"/>
          <w:sz w:val="22"/>
          <w:szCs w:val="22"/>
        </w:rPr>
        <w:t>the</w:t>
      </w:r>
      <w:r w:rsidRPr="00BD6DC7">
        <w:rPr>
          <w:rFonts w:ascii="Times New Roman" w:hAnsi="Times New Roman"/>
          <w:spacing w:val="52"/>
          <w:sz w:val="22"/>
          <w:szCs w:val="22"/>
        </w:rPr>
        <w:t xml:space="preserve"> </w:t>
      </w:r>
      <w:r w:rsidRPr="00BD6DC7">
        <w:rPr>
          <w:rFonts w:ascii="Times New Roman" w:hAnsi="Times New Roman"/>
          <w:sz w:val="22"/>
          <w:szCs w:val="22"/>
        </w:rPr>
        <w:t>world</w:t>
      </w:r>
      <w:r w:rsidRPr="00BD6DC7">
        <w:rPr>
          <w:rFonts w:ascii="Times New Roman" w:hAnsi="Times New Roman"/>
          <w:spacing w:val="53"/>
          <w:sz w:val="22"/>
          <w:szCs w:val="22"/>
        </w:rPr>
        <w:t xml:space="preserve"> </w:t>
      </w:r>
      <w:r w:rsidRPr="00BD6DC7">
        <w:rPr>
          <w:rFonts w:ascii="Times New Roman" w:hAnsi="Times New Roman"/>
          <w:sz w:val="22"/>
          <w:szCs w:val="22"/>
        </w:rPr>
        <w:t>wide</w:t>
      </w:r>
      <w:r w:rsidRPr="00BD6DC7">
        <w:rPr>
          <w:rFonts w:ascii="Times New Roman" w:hAnsi="Times New Roman"/>
          <w:spacing w:val="52"/>
          <w:sz w:val="22"/>
          <w:szCs w:val="22"/>
        </w:rPr>
        <w:t xml:space="preserve"> </w:t>
      </w:r>
      <w:r w:rsidRPr="00BD6DC7">
        <w:rPr>
          <w:rFonts w:ascii="Times New Roman" w:hAnsi="Times New Roman"/>
          <w:sz w:val="22"/>
          <w:szCs w:val="22"/>
        </w:rPr>
        <w:t>website</w:t>
      </w:r>
      <w:r w:rsidRPr="00BD6DC7">
        <w:rPr>
          <w:rFonts w:ascii="Times New Roman" w:hAnsi="Times New Roman"/>
          <w:spacing w:val="52"/>
          <w:sz w:val="22"/>
          <w:szCs w:val="22"/>
        </w:rPr>
        <w:t xml:space="preserve"> </w:t>
      </w:r>
      <w:r w:rsidRPr="00BD6DC7">
        <w:rPr>
          <w:rFonts w:ascii="Times New Roman" w:hAnsi="Times New Roman"/>
          <w:sz w:val="22"/>
          <w:szCs w:val="22"/>
        </w:rPr>
        <w:t>of</w:t>
      </w:r>
      <w:r w:rsidRPr="00BD6DC7">
        <w:rPr>
          <w:rFonts w:ascii="Times New Roman" w:hAnsi="Times New Roman"/>
          <w:spacing w:val="52"/>
          <w:sz w:val="22"/>
          <w:szCs w:val="22"/>
        </w:rPr>
        <w:t xml:space="preserve"> </w:t>
      </w:r>
      <w:r w:rsidRPr="00BD6DC7">
        <w:rPr>
          <w:rFonts w:ascii="Times New Roman" w:hAnsi="Times New Roman"/>
          <w:sz w:val="22"/>
          <w:szCs w:val="22"/>
        </w:rPr>
        <w:t>the</w:t>
      </w:r>
      <w:r w:rsidRPr="00BD6DC7">
        <w:rPr>
          <w:rFonts w:ascii="Times New Roman" w:hAnsi="Times New Roman"/>
          <w:spacing w:val="52"/>
          <w:sz w:val="22"/>
          <w:szCs w:val="22"/>
        </w:rPr>
        <w:t xml:space="preserve"> </w:t>
      </w:r>
      <w:r w:rsidRPr="00BD6DC7">
        <w:rPr>
          <w:rFonts w:ascii="Times New Roman" w:hAnsi="Times New Roman"/>
          <w:sz w:val="22"/>
          <w:szCs w:val="22"/>
        </w:rPr>
        <w:t>FRB</w:t>
      </w:r>
      <w:r w:rsidRPr="00BD6DC7">
        <w:rPr>
          <w:rFonts w:ascii="Times New Roman" w:hAnsi="Times New Roman"/>
          <w:spacing w:val="52"/>
          <w:sz w:val="22"/>
          <w:szCs w:val="22"/>
        </w:rPr>
        <w:t xml:space="preserve"> </w:t>
      </w:r>
      <w:r w:rsidRPr="00BD6DC7">
        <w:rPr>
          <w:rFonts w:ascii="Times New Roman" w:hAnsi="Times New Roman"/>
          <w:sz w:val="22"/>
          <w:szCs w:val="22"/>
        </w:rPr>
        <w:t>at</w:t>
      </w:r>
      <w:r w:rsidRPr="00BD6DC7">
        <w:rPr>
          <w:rFonts w:ascii="Times New Roman" w:hAnsi="Times New Roman"/>
          <w:spacing w:val="76"/>
          <w:sz w:val="22"/>
          <w:szCs w:val="22"/>
        </w:rPr>
        <w:t xml:space="preserve"> </w:t>
      </w:r>
      <w:r w:rsidRPr="00BD6DC7">
        <w:rPr>
          <w:rFonts w:ascii="Times New Roman" w:hAnsi="Times New Roman"/>
          <w:sz w:val="22"/>
          <w:szCs w:val="22"/>
        </w:rPr>
        <w:t>http://www.federalreserve.gov/releases/h15/,</w:t>
      </w:r>
      <w:r w:rsidRPr="00BD6DC7">
        <w:rPr>
          <w:rFonts w:ascii="Times New Roman" w:hAnsi="Times New Roman"/>
          <w:spacing w:val="13"/>
          <w:sz w:val="22"/>
          <w:szCs w:val="22"/>
        </w:rPr>
        <w:t xml:space="preserve"> </w:t>
      </w:r>
      <w:r w:rsidRPr="00BD6DC7">
        <w:rPr>
          <w:rFonts w:ascii="Times New Roman" w:hAnsi="Times New Roman"/>
          <w:sz w:val="22"/>
          <w:szCs w:val="22"/>
        </w:rPr>
        <w:t>or</w:t>
      </w:r>
      <w:r w:rsidRPr="00BD6DC7">
        <w:rPr>
          <w:rFonts w:ascii="Times New Roman" w:hAnsi="Times New Roman"/>
          <w:spacing w:val="15"/>
          <w:sz w:val="22"/>
          <w:szCs w:val="22"/>
        </w:rPr>
        <w:t xml:space="preserve"> </w:t>
      </w:r>
      <w:r w:rsidRPr="00BD6DC7">
        <w:rPr>
          <w:rFonts w:ascii="Times New Roman" w:hAnsi="Times New Roman"/>
          <w:spacing w:val="2"/>
          <w:sz w:val="22"/>
          <w:szCs w:val="22"/>
        </w:rPr>
        <w:t>any</w:t>
      </w:r>
      <w:r w:rsidRPr="00BD6DC7">
        <w:rPr>
          <w:rFonts w:ascii="Times New Roman" w:hAnsi="Times New Roman"/>
          <w:spacing w:val="9"/>
          <w:sz w:val="22"/>
          <w:szCs w:val="22"/>
        </w:rPr>
        <w:t xml:space="preserve"> </w:t>
      </w:r>
      <w:r w:rsidRPr="00BD6DC7">
        <w:rPr>
          <w:rFonts w:ascii="Times New Roman" w:hAnsi="Times New Roman"/>
          <w:sz w:val="22"/>
          <w:szCs w:val="22"/>
        </w:rPr>
        <w:t>successor</w:t>
      </w:r>
      <w:r w:rsidRPr="00BD6DC7">
        <w:rPr>
          <w:rFonts w:ascii="Times New Roman" w:hAnsi="Times New Roman"/>
          <w:spacing w:val="15"/>
          <w:sz w:val="22"/>
          <w:szCs w:val="22"/>
        </w:rPr>
        <w:t xml:space="preserve"> </w:t>
      </w:r>
      <w:r w:rsidRPr="00BD6DC7">
        <w:rPr>
          <w:rFonts w:ascii="Times New Roman" w:hAnsi="Times New Roman"/>
          <w:sz w:val="22"/>
          <w:szCs w:val="22"/>
        </w:rPr>
        <w:t>site</w:t>
      </w:r>
      <w:r w:rsidRPr="00BD6DC7">
        <w:rPr>
          <w:rFonts w:ascii="Times New Roman" w:hAnsi="Times New Roman"/>
          <w:spacing w:val="13"/>
          <w:sz w:val="22"/>
          <w:szCs w:val="22"/>
        </w:rPr>
        <w:t xml:space="preserve"> </w:t>
      </w:r>
      <w:r w:rsidRPr="00BD6DC7">
        <w:rPr>
          <w:rFonts w:ascii="Times New Roman" w:hAnsi="Times New Roman"/>
          <w:spacing w:val="1"/>
          <w:sz w:val="22"/>
          <w:szCs w:val="22"/>
        </w:rPr>
        <w:t>or</w:t>
      </w:r>
      <w:r w:rsidRPr="00BD6DC7">
        <w:rPr>
          <w:rFonts w:ascii="Times New Roman" w:hAnsi="Times New Roman"/>
          <w:spacing w:val="12"/>
          <w:sz w:val="22"/>
          <w:szCs w:val="22"/>
        </w:rPr>
        <w:t xml:space="preserve"> </w:t>
      </w:r>
      <w:r w:rsidRPr="00BD6DC7">
        <w:rPr>
          <w:rFonts w:ascii="Times New Roman" w:hAnsi="Times New Roman"/>
          <w:sz w:val="22"/>
          <w:szCs w:val="22"/>
        </w:rPr>
        <w:t>publication</w:t>
      </w:r>
      <w:r w:rsidRPr="00BD6DC7">
        <w:rPr>
          <w:rFonts w:ascii="Times New Roman" w:hAnsi="Times New Roman"/>
          <w:spacing w:val="14"/>
          <w:sz w:val="22"/>
          <w:szCs w:val="22"/>
        </w:rPr>
        <w:t xml:space="preserve"> </w:t>
      </w:r>
      <w:r w:rsidRPr="00BD6DC7">
        <w:rPr>
          <w:rFonts w:ascii="Times New Roman" w:hAnsi="Times New Roman"/>
          <w:sz w:val="22"/>
          <w:szCs w:val="22"/>
        </w:rPr>
        <w:t>or</w:t>
      </w:r>
      <w:r w:rsidRPr="00BD6DC7">
        <w:rPr>
          <w:rFonts w:ascii="Times New Roman" w:hAnsi="Times New Roman"/>
          <w:spacing w:val="15"/>
          <w:sz w:val="22"/>
          <w:szCs w:val="22"/>
        </w:rPr>
        <w:t xml:space="preserve"> </w:t>
      </w:r>
      <w:r w:rsidRPr="00BD6DC7">
        <w:rPr>
          <w:rFonts w:ascii="Times New Roman" w:hAnsi="Times New Roman"/>
          <w:sz w:val="22"/>
          <w:szCs w:val="22"/>
        </w:rPr>
        <w:t>other</w:t>
      </w:r>
      <w:r w:rsidRPr="00BD6DC7">
        <w:rPr>
          <w:rFonts w:ascii="Times New Roman" w:hAnsi="Times New Roman"/>
          <w:spacing w:val="122"/>
          <w:sz w:val="22"/>
          <w:szCs w:val="22"/>
        </w:rPr>
        <w:t xml:space="preserve"> </w:t>
      </w:r>
      <w:r w:rsidRPr="00BD6DC7">
        <w:rPr>
          <w:rFonts w:ascii="Times New Roman" w:hAnsi="Times New Roman"/>
          <w:sz w:val="22"/>
          <w:szCs w:val="22"/>
        </w:rPr>
        <w:t>recognized</w:t>
      </w:r>
      <w:r w:rsidRPr="00BD6DC7">
        <w:rPr>
          <w:rFonts w:ascii="Times New Roman" w:hAnsi="Times New Roman"/>
          <w:spacing w:val="14"/>
          <w:sz w:val="22"/>
          <w:szCs w:val="22"/>
        </w:rPr>
        <w:t xml:space="preserve"> </w:t>
      </w:r>
      <w:r w:rsidRPr="00BD6DC7">
        <w:rPr>
          <w:rFonts w:ascii="Times New Roman" w:hAnsi="Times New Roman"/>
          <w:sz w:val="22"/>
          <w:szCs w:val="22"/>
        </w:rPr>
        <w:t>electronic</w:t>
      </w:r>
      <w:r w:rsidRPr="00BD6DC7">
        <w:rPr>
          <w:rFonts w:ascii="Times New Roman" w:hAnsi="Times New Roman"/>
          <w:spacing w:val="13"/>
          <w:sz w:val="22"/>
          <w:szCs w:val="22"/>
        </w:rPr>
        <w:t xml:space="preserve"> </w:t>
      </w:r>
      <w:r w:rsidRPr="00BD6DC7">
        <w:rPr>
          <w:rFonts w:ascii="Times New Roman" w:hAnsi="Times New Roman"/>
          <w:sz w:val="22"/>
          <w:szCs w:val="22"/>
        </w:rPr>
        <w:t>source</w:t>
      </w:r>
      <w:r w:rsidRPr="00BD6DC7">
        <w:rPr>
          <w:rFonts w:ascii="Times New Roman" w:hAnsi="Times New Roman"/>
          <w:spacing w:val="13"/>
          <w:sz w:val="22"/>
          <w:szCs w:val="22"/>
        </w:rPr>
        <w:t xml:space="preserve"> </w:t>
      </w:r>
      <w:r w:rsidRPr="00BD6DC7">
        <w:rPr>
          <w:rFonts w:ascii="Times New Roman" w:hAnsi="Times New Roman"/>
          <w:sz w:val="22"/>
          <w:szCs w:val="22"/>
        </w:rPr>
        <w:t>used</w:t>
      </w:r>
      <w:r w:rsidRPr="00BD6DC7">
        <w:rPr>
          <w:rFonts w:ascii="Times New Roman" w:hAnsi="Times New Roman"/>
          <w:spacing w:val="14"/>
          <w:sz w:val="22"/>
          <w:szCs w:val="22"/>
        </w:rPr>
        <w:t xml:space="preserve"> </w:t>
      </w:r>
      <w:r w:rsidRPr="00BD6DC7">
        <w:rPr>
          <w:rFonts w:ascii="Times New Roman" w:hAnsi="Times New Roman"/>
          <w:spacing w:val="1"/>
          <w:sz w:val="22"/>
          <w:szCs w:val="22"/>
        </w:rPr>
        <w:t>for</w:t>
      </w:r>
      <w:r w:rsidRPr="00BD6DC7">
        <w:rPr>
          <w:rFonts w:ascii="Times New Roman" w:hAnsi="Times New Roman"/>
          <w:spacing w:val="12"/>
          <w:sz w:val="22"/>
          <w:szCs w:val="22"/>
        </w:rPr>
        <w:t xml:space="preserve"> </w:t>
      </w:r>
      <w:r w:rsidRPr="00BD6DC7">
        <w:rPr>
          <w:rFonts w:ascii="Times New Roman" w:hAnsi="Times New Roman"/>
          <w:sz w:val="22"/>
          <w:szCs w:val="22"/>
        </w:rPr>
        <w:t>the</w:t>
      </w:r>
      <w:r w:rsidRPr="00BD6DC7">
        <w:rPr>
          <w:rFonts w:ascii="Times New Roman" w:hAnsi="Times New Roman"/>
          <w:spacing w:val="13"/>
          <w:sz w:val="22"/>
          <w:szCs w:val="22"/>
        </w:rPr>
        <w:t xml:space="preserve"> </w:t>
      </w:r>
      <w:r w:rsidRPr="00BD6DC7">
        <w:rPr>
          <w:rFonts w:ascii="Times New Roman" w:hAnsi="Times New Roman"/>
          <w:spacing w:val="1"/>
          <w:sz w:val="22"/>
          <w:szCs w:val="22"/>
        </w:rPr>
        <w:t>purpose</w:t>
      </w:r>
      <w:r w:rsidRPr="00BD6DC7">
        <w:rPr>
          <w:rFonts w:ascii="Times New Roman" w:hAnsi="Times New Roman"/>
          <w:spacing w:val="13"/>
          <w:sz w:val="22"/>
          <w:szCs w:val="22"/>
        </w:rPr>
        <w:t xml:space="preserve"> </w:t>
      </w:r>
      <w:r w:rsidRPr="00BD6DC7">
        <w:rPr>
          <w:rFonts w:ascii="Times New Roman" w:hAnsi="Times New Roman"/>
          <w:sz w:val="22"/>
          <w:szCs w:val="22"/>
        </w:rPr>
        <w:t>of</w:t>
      </w:r>
      <w:r w:rsidRPr="00BD6DC7">
        <w:rPr>
          <w:rFonts w:ascii="Times New Roman" w:hAnsi="Times New Roman"/>
          <w:spacing w:val="12"/>
          <w:sz w:val="22"/>
          <w:szCs w:val="22"/>
        </w:rPr>
        <w:t xml:space="preserve"> </w:t>
      </w:r>
      <w:r w:rsidRPr="00BD6DC7">
        <w:rPr>
          <w:rFonts w:ascii="Times New Roman" w:hAnsi="Times New Roman"/>
          <w:sz w:val="22"/>
          <w:szCs w:val="22"/>
        </w:rPr>
        <w:t>displaying</w:t>
      </w:r>
      <w:r w:rsidRPr="00BD6DC7">
        <w:rPr>
          <w:rFonts w:ascii="Times New Roman" w:hAnsi="Times New Roman"/>
          <w:spacing w:val="11"/>
          <w:sz w:val="22"/>
          <w:szCs w:val="22"/>
        </w:rPr>
        <w:t xml:space="preserve"> </w:t>
      </w:r>
      <w:r w:rsidRPr="00BD6DC7">
        <w:rPr>
          <w:rFonts w:ascii="Times New Roman" w:hAnsi="Times New Roman"/>
          <w:sz w:val="22"/>
          <w:szCs w:val="22"/>
        </w:rPr>
        <w:t>the</w:t>
      </w:r>
      <w:r w:rsidRPr="00BD6DC7">
        <w:rPr>
          <w:rFonts w:ascii="Times New Roman" w:hAnsi="Times New Roman"/>
          <w:spacing w:val="13"/>
          <w:sz w:val="22"/>
          <w:szCs w:val="22"/>
        </w:rPr>
        <w:t xml:space="preserve"> </w:t>
      </w:r>
      <w:r w:rsidRPr="00BD6DC7">
        <w:rPr>
          <w:rFonts w:ascii="Times New Roman" w:hAnsi="Times New Roman"/>
          <w:sz w:val="22"/>
          <w:szCs w:val="22"/>
        </w:rPr>
        <w:t>applicable</w:t>
      </w:r>
      <w:r w:rsidRPr="00BD6DC7">
        <w:rPr>
          <w:rFonts w:ascii="Times New Roman" w:hAnsi="Times New Roman"/>
          <w:spacing w:val="13"/>
          <w:sz w:val="22"/>
          <w:szCs w:val="22"/>
        </w:rPr>
        <w:t xml:space="preserve"> </w:t>
      </w:r>
      <w:r w:rsidRPr="00BD6DC7">
        <w:rPr>
          <w:rFonts w:ascii="Times New Roman" w:hAnsi="Times New Roman"/>
          <w:sz w:val="22"/>
          <w:szCs w:val="22"/>
        </w:rPr>
        <w:t>rate</w:t>
      </w:r>
      <w:r w:rsidRPr="00BD6DC7">
        <w:rPr>
          <w:rFonts w:ascii="Times New Roman" w:hAnsi="Times New Roman"/>
          <w:spacing w:val="13"/>
          <w:sz w:val="22"/>
          <w:szCs w:val="22"/>
        </w:rPr>
        <w:t xml:space="preserve"> </w:t>
      </w:r>
      <w:r w:rsidRPr="00BD6DC7">
        <w:rPr>
          <w:rFonts w:ascii="Times New Roman" w:hAnsi="Times New Roman"/>
          <w:sz w:val="22"/>
          <w:szCs w:val="22"/>
        </w:rPr>
        <w:t>(</w:t>
      </w:r>
      <w:r w:rsidRPr="00BD6DC7">
        <w:rPr>
          <w:rFonts w:ascii="Times New Roman" w:hAnsi="Times New Roman"/>
          <w:sz w:val="22"/>
          <w:szCs w:val="22"/>
          <w:u w:color="000000"/>
        </w:rPr>
        <w:t>“H.15</w:t>
      </w:r>
      <w:r w:rsidRPr="00BD6DC7">
        <w:rPr>
          <w:rFonts w:ascii="Times New Roman" w:hAnsi="Times New Roman"/>
          <w:spacing w:val="14"/>
          <w:sz w:val="22"/>
          <w:szCs w:val="22"/>
          <w:u w:color="000000"/>
        </w:rPr>
        <w:t xml:space="preserve"> </w:t>
      </w:r>
      <w:r w:rsidRPr="00BD6DC7">
        <w:rPr>
          <w:rFonts w:ascii="Times New Roman" w:hAnsi="Times New Roman"/>
          <w:spacing w:val="1"/>
          <w:sz w:val="22"/>
          <w:szCs w:val="22"/>
          <w:u w:color="000000"/>
        </w:rPr>
        <w:t>Dail</w:t>
      </w:r>
      <w:r w:rsidRPr="00BD6DC7">
        <w:rPr>
          <w:rFonts w:ascii="Times New Roman" w:hAnsi="Times New Roman"/>
          <w:spacing w:val="1"/>
          <w:sz w:val="22"/>
          <w:szCs w:val="22"/>
        </w:rPr>
        <w:t>y</w:t>
      </w:r>
      <w:r w:rsidRPr="00BD6DC7">
        <w:rPr>
          <w:rFonts w:ascii="Times New Roman" w:hAnsi="Times New Roman"/>
          <w:spacing w:val="88"/>
          <w:sz w:val="22"/>
          <w:szCs w:val="22"/>
        </w:rPr>
        <w:t xml:space="preserve"> </w:t>
      </w:r>
      <w:r w:rsidRPr="00BD6DC7">
        <w:rPr>
          <w:rFonts w:ascii="Times New Roman" w:hAnsi="Times New Roman"/>
          <w:sz w:val="22"/>
          <w:szCs w:val="22"/>
          <w:u w:color="000000"/>
        </w:rPr>
        <w:t>Update”</w:t>
      </w:r>
      <w:r w:rsidRPr="00BD6DC7">
        <w:rPr>
          <w:rFonts w:ascii="Times New Roman" w:hAnsi="Times New Roman"/>
          <w:sz w:val="22"/>
          <w:szCs w:val="22"/>
        </w:rPr>
        <w:t xml:space="preserve">) </w:t>
      </w:r>
      <w:r w:rsidRPr="00BD6DC7">
        <w:rPr>
          <w:rFonts w:ascii="Times New Roman" w:hAnsi="Times New Roman"/>
          <w:spacing w:val="1"/>
          <w:sz w:val="22"/>
          <w:szCs w:val="22"/>
        </w:rPr>
        <w:t xml:space="preserve">under </w:t>
      </w:r>
      <w:r w:rsidRPr="00BD6DC7">
        <w:rPr>
          <w:rFonts w:ascii="Times New Roman" w:hAnsi="Times New Roman"/>
          <w:sz w:val="22"/>
          <w:szCs w:val="22"/>
        </w:rPr>
        <w:t xml:space="preserve">the </w:t>
      </w:r>
      <w:r w:rsidRPr="00BD6DC7">
        <w:rPr>
          <w:rFonts w:ascii="Times New Roman" w:hAnsi="Times New Roman"/>
          <w:spacing w:val="1"/>
          <w:sz w:val="22"/>
          <w:szCs w:val="22"/>
        </w:rPr>
        <w:t>heading</w:t>
      </w:r>
      <w:r w:rsidRPr="00BD6DC7">
        <w:rPr>
          <w:rFonts w:ascii="Times New Roman" w:hAnsi="Times New Roman"/>
          <w:spacing w:val="-1"/>
          <w:sz w:val="22"/>
          <w:szCs w:val="22"/>
        </w:rPr>
        <w:t xml:space="preserve"> </w:t>
      </w:r>
      <w:r w:rsidRPr="00BD6DC7">
        <w:rPr>
          <w:rFonts w:ascii="Times New Roman" w:hAnsi="Times New Roman"/>
          <w:sz w:val="22"/>
          <w:szCs w:val="22"/>
        </w:rPr>
        <w:t>“Commercial</w:t>
      </w:r>
      <w:r w:rsidRPr="00BD6DC7">
        <w:rPr>
          <w:rFonts w:ascii="Times New Roman" w:hAnsi="Times New Roman"/>
          <w:spacing w:val="2"/>
          <w:sz w:val="22"/>
          <w:szCs w:val="22"/>
        </w:rPr>
        <w:t xml:space="preserve"> </w:t>
      </w:r>
      <w:r w:rsidRPr="00BD6DC7">
        <w:rPr>
          <w:rFonts w:ascii="Times New Roman" w:hAnsi="Times New Roman"/>
          <w:sz w:val="22"/>
          <w:szCs w:val="22"/>
        </w:rPr>
        <w:t>Paper-[Financial][Nonfinancial]”.</w:t>
      </w:r>
    </w:p>
    <w:p w14:paraId="240A81DD" w14:textId="5C81FDC4" w:rsidR="00BD6DC7" w:rsidRPr="00BD6DC7" w:rsidRDefault="00BD6DC7" w:rsidP="00BD6DC7">
      <w:pPr>
        <w:widowControl w:val="0"/>
        <w:spacing w:after="240"/>
        <w:rPr>
          <w:rFonts w:ascii="Times New Roman" w:hAnsi="Times New Roman"/>
          <w:spacing w:val="-4"/>
          <w:sz w:val="22"/>
          <w:szCs w:val="22"/>
        </w:rPr>
      </w:pPr>
      <w:r w:rsidRPr="00BD6DC7">
        <w:rPr>
          <w:rFonts w:ascii="Times New Roman" w:hAnsi="Times New Roman"/>
          <w:spacing w:val="-4"/>
          <w:sz w:val="22"/>
          <w:szCs w:val="22"/>
        </w:rPr>
        <w:t>If by 3:00 p.m. on such Calculation Date such rate is not published in H.15</w:t>
      </w:r>
      <w:r w:rsidR="007D45E0">
        <w:rPr>
          <w:rFonts w:ascii="Times New Roman" w:hAnsi="Times New Roman"/>
          <w:spacing w:val="-4"/>
          <w:sz w:val="22"/>
          <w:szCs w:val="22"/>
        </w:rPr>
        <w:t xml:space="preserve"> Daily Update</w:t>
      </w:r>
      <w:r w:rsidRPr="00BD6DC7">
        <w:rPr>
          <w:rFonts w:ascii="Times New Roman" w:hAnsi="Times New Roman"/>
          <w:spacing w:val="-4"/>
          <w:sz w:val="22"/>
          <w:szCs w:val="22"/>
        </w:rPr>
        <w:t xml:space="preserve">, then the </w:t>
      </w:r>
      <w:r w:rsidRPr="00BD6DC7">
        <w:rPr>
          <w:rFonts w:ascii="Times New Roman" w:hAnsi="Times New Roman"/>
          <w:spacing w:val="-4"/>
          <w:sz w:val="22"/>
          <w:szCs w:val="22"/>
        </w:rPr>
        <w:lastRenderedPageBreak/>
        <w:t xml:space="preserve">Calculation Agent will determine the Commercial Paper Rate to be the Money Market Yield of the arithmetic mean of the offered rates as of 11:00 a.m. on such Interest Determination Date of three leading dealers of U.S. dollar commercial paper in New York City selected by the Calculation Agent for commercial </w:t>
      </w:r>
      <w:r w:rsidRPr="00BD6DC7">
        <w:rPr>
          <w:rFonts w:ascii="Times New Roman" w:hAnsi="Times New Roman"/>
          <w:spacing w:val="-6"/>
          <w:sz w:val="22"/>
          <w:szCs w:val="22"/>
        </w:rPr>
        <w:t xml:space="preserve">paper of the Index Maturity placed for an </w:t>
      </w:r>
      <w:r w:rsidR="009D28B4">
        <w:rPr>
          <w:rFonts w:ascii="Times New Roman" w:hAnsi="Times New Roman"/>
          <w:spacing w:val="-6"/>
          <w:sz w:val="22"/>
          <w:szCs w:val="22"/>
        </w:rPr>
        <w:t>[</w:t>
      </w:r>
      <w:r w:rsidRPr="00BD6DC7">
        <w:rPr>
          <w:rFonts w:ascii="Times New Roman" w:hAnsi="Times New Roman"/>
          <w:spacing w:val="-6"/>
          <w:sz w:val="22"/>
          <w:szCs w:val="22"/>
        </w:rPr>
        <w:t>industrial</w:t>
      </w:r>
      <w:r w:rsidR="009D28B4">
        <w:rPr>
          <w:rFonts w:ascii="Times New Roman" w:hAnsi="Times New Roman"/>
          <w:spacing w:val="-6"/>
          <w:sz w:val="22"/>
          <w:szCs w:val="22"/>
        </w:rPr>
        <w:t>[[financial]</w:t>
      </w:r>
      <w:r w:rsidR="009D28B4">
        <w:rPr>
          <w:rStyle w:val="FootnoteReference"/>
          <w:rFonts w:ascii="Times New Roman" w:hAnsi="Times New Roman"/>
          <w:spacing w:val="-6"/>
          <w:sz w:val="22"/>
          <w:szCs w:val="22"/>
        </w:rPr>
        <w:footnoteReference w:id="5"/>
      </w:r>
      <w:r w:rsidRPr="00BD6DC7">
        <w:rPr>
          <w:rFonts w:ascii="Times New Roman" w:hAnsi="Times New Roman"/>
          <w:spacing w:val="-6"/>
          <w:sz w:val="22"/>
          <w:szCs w:val="22"/>
        </w:rPr>
        <w:t xml:space="preserve"> </w:t>
      </w:r>
      <w:r w:rsidRPr="00BD6DC7">
        <w:rPr>
          <w:rFonts w:ascii="Times New Roman" w:hAnsi="Times New Roman"/>
          <w:spacing w:val="-4"/>
          <w:sz w:val="22"/>
          <w:szCs w:val="22"/>
        </w:rPr>
        <w:t xml:space="preserve">issuer whose bond rating is “AA,” </w:t>
      </w:r>
      <w:r w:rsidRPr="00BD6DC7">
        <w:rPr>
          <w:rFonts w:ascii="Times New Roman" w:hAnsi="Times New Roman"/>
          <w:spacing w:val="-6"/>
          <w:sz w:val="22"/>
          <w:szCs w:val="22"/>
        </w:rPr>
        <w:t xml:space="preserve">or the equivalent, from a nationally recognized </w:t>
      </w:r>
      <w:r w:rsidRPr="00BD6DC7">
        <w:rPr>
          <w:rFonts w:ascii="Times New Roman" w:hAnsi="Times New Roman"/>
          <w:spacing w:val="-4"/>
          <w:sz w:val="22"/>
          <w:szCs w:val="22"/>
        </w:rPr>
        <w:t>statistical rating organization.</w:t>
      </w:r>
    </w:p>
    <w:p w14:paraId="4224C624" w14:textId="77777777" w:rsidR="00BD6DC7" w:rsidRPr="00BD6DC7" w:rsidRDefault="00BD6DC7" w:rsidP="00BD6DC7">
      <w:pPr>
        <w:widowControl w:val="0"/>
        <w:spacing w:after="240"/>
        <w:rPr>
          <w:rFonts w:ascii="Times New Roman" w:hAnsi="Times New Roman"/>
          <w:spacing w:val="-4"/>
          <w:sz w:val="22"/>
          <w:szCs w:val="22"/>
        </w:rPr>
      </w:pPr>
      <w:r w:rsidRPr="00BD6DC7">
        <w:rPr>
          <w:rFonts w:ascii="Times New Roman" w:hAnsi="Times New Roman"/>
          <w:spacing w:val="-8"/>
          <w:sz w:val="22"/>
          <w:szCs w:val="22"/>
        </w:rPr>
        <w:t xml:space="preserve">If the dealers selected by the Calculation Agent </w:t>
      </w:r>
      <w:r w:rsidRPr="00BD6DC7">
        <w:rPr>
          <w:rFonts w:ascii="Times New Roman" w:hAnsi="Times New Roman"/>
          <w:spacing w:val="-6"/>
          <w:sz w:val="22"/>
          <w:szCs w:val="22"/>
        </w:rPr>
        <w:t xml:space="preserve">are not quoting as mentioned above, the Commercial </w:t>
      </w:r>
      <w:r w:rsidRPr="00BD6DC7">
        <w:rPr>
          <w:rFonts w:ascii="Times New Roman" w:hAnsi="Times New Roman"/>
          <w:spacing w:val="-4"/>
          <w:sz w:val="22"/>
          <w:szCs w:val="22"/>
        </w:rPr>
        <w:t>Paper Rate with respect to such Interest Determination Date will remain the Commercial Paper Rate then in effect on such Interest Determination Date.</w:t>
      </w:r>
    </w:p>
    <w:p w14:paraId="17D2182A" w14:textId="77777777" w:rsidR="00BD6DC7" w:rsidRPr="00BD6DC7" w:rsidRDefault="00BD6DC7" w:rsidP="00BD6DC7">
      <w:pPr>
        <w:keepNext/>
        <w:keepLines/>
        <w:tabs>
          <w:tab w:val="left" w:pos="360"/>
        </w:tabs>
        <w:spacing w:after="240"/>
        <w:ind w:left="360"/>
        <w:rPr>
          <w:rFonts w:ascii="Times New Roman" w:hAnsi="Times New Roman"/>
          <w:sz w:val="22"/>
          <w:szCs w:val="22"/>
        </w:rPr>
      </w:pPr>
      <w:r w:rsidRPr="00BD6DC7" w:rsidDel="0062651B">
        <w:rPr>
          <w:rFonts w:ascii="Times New Roman" w:hAnsi="Times New Roman"/>
          <w:sz w:val="22"/>
          <w:szCs w:val="22"/>
        </w:rPr>
        <w:t xml:space="preserve"> </w:t>
      </w:r>
      <w:r w:rsidRPr="00BD6DC7">
        <w:rPr>
          <w:rFonts w:ascii="Times New Roman" w:hAnsi="Times New Roman"/>
          <w:sz w:val="22"/>
          <w:szCs w:val="22"/>
        </w:rPr>
        <w:t>“Money Market Yield” will be a yield calculated in accordance with the following formula:</w:t>
      </w:r>
    </w:p>
    <w:p w14:paraId="71F5C8DD" w14:textId="77777777" w:rsidR="00BD6DC7" w:rsidRPr="00BD6DC7" w:rsidRDefault="00BD6DC7" w:rsidP="00BD6DC7">
      <w:pPr>
        <w:keepNext/>
        <w:keepLines/>
        <w:tabs>
          <w:tab w:val="left" w:pos="2790"/>
        </w:tabs>
        <w:spacing w:after="240"/>
        <w:rPr>
          <w:rFonts w:ascii="Times New Roman" w:hAnsi="Times New Roman"/>
          <w:sz w:val="22"/>
          <w:szCs w:val="22"/>
        </w:rPr>
      </w:pPr>
      <w:r w:rsidRPr="00BD6DC7">
        <w:rPr>
          <w:rFonts w:ascii="Times New Roman" w:hAnsi="Times New Roman"/>
          <w:sz w:val="22"/>
          <w:szCs w:val="22"/>
        </w:rPr>
        <w:tab/>
        <w:t>D x 360</w:t>
      </w:r>
    </w:p>
    <w:p w14:paraId="7D27BCAB" w14:textId="77777777" w:rsidR="00BD6DC7" w:rsidRPr="00BD6DC7" w:rsidRDefault="00BD6DC7" w:rsidP="00BD6DC7">
      <w:pPr>
        <w:keepNext/>
        <w:keepLines/>
        <w:tabs>
          <w:tab w:val="left" w:pos="4320"/>
        </w:tabs>
        <w:spacing w:after="240"/>
        <w:rPr>
          <w:rFonts w:ascii="Times New Roman" w:hAnsi="Times New Roman"/>
          <w:sz w:val="22"/>
          <w:szCs w:val="22"/>
        </w:rPr>
      </w:pPr>
      <w:r w:rsidRPr="00BD6DC7">
        <w:rPr>
          <w:rFonts w:ascii="Times New Roman" w:hAnsi="Times New Roman"/>
          <w:noProof/>
          <w:sz w:val="22"/>
          <w:szCs w:val="22"/>
          <w:lang w:val="en-GB" w:eastAsia="en-GB"/>
        </w:rPr>
        <mc:AlternateContent>
          <mc:Choice Requires="wps">
            <w:drawing>
              <wp:anchor distT="0" distB="0" distL="114300" distR="114300" simplePos="0" relativeHeight="251656704" behindDoc="0" locked="0" layoutInCell="1" allowOverlap="1" wp14:anchorId="527A82FD" wp14:editId="40FFF775">
                <wp:simplePos x="0" y="0"/>
                <wp:positionH relativeFrom="column">
                  <wp:posOffset>1582420</wp:posOffset>
                </wp:positionH>
                <wp:positionV relativeFrom="paragraph">
                  <wp:posOffset>92710</wp:posOffset>
                </wp:positionV>
                <wp:extent cx="1097915"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BE6B3"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6pt,7.3pt" to="21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">
                <v:stroke startarrowwidth="narrow" startarrowlength="short" endarrowwidth="narrow" endarrowlength="short"/>
              </v:line>
            </w:pict>
          </mc:Fallback>
        </mc:AlternateContent>
      </w:r>
      <w:r w:rsidRPr="00BD6DC7">
        <w:rPr>
          <w:rFonts w:ascii="Times New Roman" w:hAnsi="Times New Roman"/>
          <w:sz w:val="22"/>
          <w:szCs w:val="22"/>
        </w:rPr>
        <w:t xml:space="preserve">Money Market Yield =     </w:t>
      </w:r>
      <w:r w:rsidRPr="00BD6DC7">
        <w:rPr>
          <w:rFonts w:ascii="Times New Roman" w:hAnsi="Times New Roman"/>
          <w:sz w:val="22"/>
          <w:szCs w:val="22"/>
        </w:rPr>
        <w:tab/>
        <w:t>x 100</w:t>
      </w:r>
    </w:p>
    <w:p w14:paraId="787DEC05" w14:textId="77777777" w:rsidR="00BD6DC7" w:rsidRPr="00BD6DC7" w:rsidRDefault="00BD6DC7" w:rsidP="00BD6DC7">
      <w:pPr>
        <w:keepNext/>
        <w:keepLines/>
        <w:tabs>
          <w:tab w:val="left" w:pos="2520"/>
          <w:tab w:val="left" w:pos="2610"/>
        </w:tabs>
        <w:spacing w:after="240"/>
        <w:rPr>
          <w:rFonts w:ascii="Times New Roman" w:hAnsi="Times New Roman"/>
          <w:sz w:val="22"/>
          <w:szCs w:val="22"/>
        </w:rPr>
      </w:pPr>
      <w:r w:rsidRPr="00BD6DC7">
        <w:rPr>
          <w:rFonts w:ascii="Times New Roman" w:hAnsi="Times New Roman"/>
          <w:sz w:val="22"/>
          <w:szCs w:val="22"/>
        </w:rPr>
        <w:tab/>
        <w:t>360 - (D x M)</w:t>
      </w:r>
    </w:p>
    <w:p w14:paraId="11D47E6B"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where “D” refers to the applicable per annum rate for commercial paper quoted on a bank discount basis and expressed as a decimal and “M” refers to the actual number of days in the interest period for which interest is being calculated.</w:t>
      </w:r>
    </w:p>
    <w:p w14:paraId="2002996D" w14:textId="77777777" w:rsidR="00BD6DC7" w:rsidRPr="00BD6DC7" w:rsidRDefault="00BD6DC7" w:rsidP="00BD6DC7">
      <w:pPr>
        <w:tabs>
          <w:tab w:val="left" w:pos="360"/>
        </w:tabs>
        <w:spacing w:after="240"/>
        <w:rPr>
          <w:rFonts w:ascii="Times New Roman" w:hAnsi="Times New Roman"/>
          <w:i/>
          <w:sz w:val="22"/>
          <w:szCs w:val="22"/>
        </w:rPr>
      </w:pPr>
      <w:r w:rsidRPr="00BD6DC7">
        <w:rPr>
          <w:rFonts w:ascii="Times New Roman" w:hAnsi="Times New Roman"/>
          <w:i/>
          <w:sz w:val="22"/>
          <w:szCs w:val="22"/>
        </w:rPr>
        <w:t>Federal Funds Rate Notes</w:t>
      </w:r>
    </w:p>
    <w:p w14:paraId="1EC4BA2D" w14:textId="1E310E1C"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 xml:space="preserve">“Federal Funds Rate” means the rate on any Interest Determination Date for federal funds as </w:t>
      </w:r>
      <w:r w:rsidR="008A1C82">
        <w:rPr>
          <w:rFonts w:ascii="Times New Roman" w:hAnsi="Times New Roman"/>
          <w:sz w:val="22"/>
          <w:szCs w:val="22"/>
        </w:rPr>
        <w:t>available through the FRB Website, as displayed on Bloomberg screen FEDL01 Index page on such date (“Bloomberg Screen Page”)</w:t>
      </w:r>
      <w:r w:rsidRPr="00BD6DC7">
        <w:rPr>
          <w:rFonts w:ascii="Times New Roman" w:hAnsi="Times New Roman"/>
          <w:sz w:val="22"/>
          <w:szCs w:val="22"/>
        </w:rPr>
        <w:t>.</w:t>
      </w:r>
    </w:p>
    <w:p w14:paraId="7C270013" w14:textId="75C2FB41"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 xml:space="preserve">If the above rate does not appear on </w:t>
      </w:r>
      <w:r w:rsidR="008A1C82">
        <w:rPr>
          <w:rFonts w:ascii="Times New Roman" w:hAnsi="Times New Roman"/>
          <w:sz w:val="22"/>
          <w:szCs w:val="22"/>
        </w:rPr>
        <w:t>the FRB Website or the Bloomberg Screen</w:t>
      </w:r>
      <w:r w:rsidRPr="00BD6DC7">
        <w:rPr>
          <w:rFonts w:ascii="Times New Roman" w:hAnsi="Times New Roman"/>
          <w:sz w:val="22"/>
          <w:szCs w:val="22"/>
        </w:rPr>
        <w:t xml:space="preserve"> Page or is not so published by 3:00 p.m. on the Calculation Date, the Federal Funds Rate will be the rate on such Interest Determination Date as published in H.15 Daily Update under the heading “Federal Funds/(Effective)”.</w:t>
      </w:r>
    </w:p>
    <w:p w14:paraId="7F3ACDC9"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If such rate is not published as described above by 3:00 p.m. on the Calculation Date, the Calculation Agent will determine the Federal Funds Rate to be the arithmetic mean of the rates for the last transaction in overnight U.S. dollar federal funds arranged by each of three leading brokers of Federal Funds transactions in New York City selected by the Calculation Agent prior to 9:00 a.m. on such Interest Determination Date.</w:t>
      </w:r>
    </w:p>
    <w:p w14:paraId="0DF5A603"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If the brokers selected by the Calculation Agent are not quoting as mentioned above, the Federal Funds Rate will remain the Federal Funds Rate then in effect on such Interest Determination Date.</w:t>
      </w:r>
    </w:p>
    <w:p w14:paraId="7DA704EA" w14:textId="49C75770" w:rsidR="008A1C82" w:rsidRPr="00BD6DC7" w:rsidRDefault="008A1C82" w:rsidP="00BD6DC7">
      <w:pPr>
        <w:tabs>
          <w:tab w:val="left" w:pos="360"/>
        </w:tabs>
        <w:spacing w:after="240"/>
        <w:ind w:left="360"/>
        <w:rPr>
          <w:rFonts w:ascii="Times New Roman" w:hAnsi="Times New Roman"/>
          <w:sz w:val="22"/>
          <w:szCs w:val="22"/>
        </w:rPr>
      </w:pPr>
      <w:r>
        <w:rPr>
          <w:rFonts w:ascii="Times New Roman" w:hAnsi="Times New Roman"/>
          <w:sz w:val="22"/>
          <w:szCs w:val="22"/>
        </w:rPr>
        <w:t xml:space="preserve">“FRB Website” means the world wide website of the FRB at </w:t>
      </w:r>
      <w:r w:rsidRPr="00523ACA">
        <w:rPr>
          <w:rStyle w:val="Hyperlink"/>
          <w:rFonts w:ascii="Times New Roman" w:hAnsi="Times New Roman"/>
          <w:sz w:val="22"/>
          <w:szCs w:val="22"/>
        </w:rPr>
        <w:t>http://www.federalreserve.gov/releases/h15/</w:t>
      </w:r>
      <w:r>
        <w:rPr>
          <w:rFonts w:ascii="Times New Roman" w:hAnsi="Times New Roman"/>
          <w:sz w:val="22"/>
          <w:szCs w:val="22"/>
        </w:rPr>
        <w:t>, or any successor site or publication or other recognized electronic source used for the purpose of displaying the H.15 Daily Update.</w:t>
      </w:r>
    </w:p>
    <w:p w14:paraId="65BAE87F" w14:textId="77777777" w:rsidR="00BD6DC7" w:rsidRPr="00BD6DC7" w:rsidRDefault="00BD6DC7" w:rsidP="00BD6DC7">
      <w:pPr>
        <w:tabs>
          <w:tab w:val="left" w:pos="360"/>
        </w:tabs>
        <w:spacing w:after="240"/>
        <w:rPr>
          <w:rFonts w:ascii="Times New Roman" w:hAnsi="Times New Roman"/>
          <w:i/>
          <w:sz w:val="22"/>
          <w:szCs w:val="22"/>
        </w:rPr>
      </w:pPr>
      <w:r w:rsidRPr="00BD6DC7">
        <w:rPr>
          <w:rFonts w:ascii="Times New Roman" w:hAnsi="Times New Roman"/>
          <w:i/>
          <w:sz w:val="22"/>
          <w:szCs w:val="22"/>
        </w:rPr>
        <w:t>Prime Rate Notes</w:t>
      </w:r>
    </w:p>
    <w:p w14:paraId="4E763391" w14:textId="1518EA3C"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“Prime Rate” means the rate on any Interest Determination Date as published in H.15</w:t>
      </w:r>
      <w:r w:rsidR="007D45E0">
        <w:rPr>
          <w:rFonts w:ascii="Times New Roman" w:hAnsi="Times New Roman"/>
          <w:sz w:val="22"/>
          <w:szCs w:val="22"/>
        </w:rPr>
        <w:t xml:space="preserve"> Daily Update</w:t>
      </w:r>
      <w:r w:rsidRPr="00BD6DC7">
        <w:rPr>
          <w:rFonts w:ascii="Times New Roman" w:hAnsi="Times New Roman"/>
          <w:sz w:val="22"/>
          <w:szCs w:val="22"/>
        </w:rPr>
        <w:t xml:space="preserve"> under the heading “Bank Prime Loan”.</w:t>
      </w:r>
    </w:p>
    <w:p w14:paraId="27A51CF1" w14:textId="0652991C"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If the above rate is not published in H.15</w:t>
      </w:r>
      <w:r w:rsidR="007D45E0">
        <w:rPr>
          <w:rFonts w:ascii="Times New Roman" w:hAnsi="Times New Roman"/>
          <w:sz w:val="22"/>
          <w:szCs w:val="22"/>
        </w:rPr>
        <w:t xml:space="preserve"> Daily Update</w:t>
      </w:r>
      <w:r w:rsidRPr="00BD6DC7">
        <w:rPr>
          <w:rFonts w:ascii="Times New Roman" w:hAnsi="Times New Roman"/>
          <w:sz w:val="22"/>
          <w:szCs w:val="22"/>
        </w:rPr>
        <w:t xml:space="preserve"> prior to 3:00 p.m. on the Calculation Date, then the Prime Rate will be the rate on such Interest Determination Date as published in H.15 Daily Update opposite the caption “Bank Prime Loan”.</w:t>
      </w:r>
    </w:p>
    <w:p w14:paraId="0454062C" w14:textId="483CEEDE"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lastRenderedPageBreak/>
        <w:t>If the rate is not published prior to 3:00 p.m. on the Calculation Date in H.15</w:t>
      </w:r>
      <w:r w:rsidR="007D45E0">
        <w:rPr>
          <w:rFonts w:ascii="Times New Roman" w:hAnsi="Times New Roman"/>
          <w:sz w:val="22"/>
          <w:szCs w:val="22"/>
        </w:rPr>
        <w:t xml:space="preserve"> Daily Update</w:t>
      </w:r>
      <w:r w:rsidRPr="00BD6DC7">
        <w:rPr>
          <w:rFonts w:ascii="Times New Roman" w:hAnsi="Times New Roman"/>
          <w:sz w:val="22"/>
          <w:szCs w:val="22"/>
        </w:rPr>
        <w:t>, then the Calculation Agent will determine the Prime Rate to be the arithmetic mean of the rates of interest publicly announced by each bank that appears on the Reuters Screen US PRIME1 Page (as defined below) as such bank’s prime rate or base lending rate as of 11:00 a.m., on that Interest Determination Date.</w:t>
      </w:r>
    </w:p>
    <w:p w14:paraId="267D7770"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If fewer than four such rates referred to above are so published by 3:00 p.m. on the Calculation Date, the Calculation Agent will determine the Prime Rate to be the arithmetic mean of the prime rates or base lending rates quoted on the basis of the actual number of days in the year divided by 360 as of the close of business on such Interest Determination Date by three major banks in New York City selected by the Calculation Agent.</w:t>
      </w:r>
    </w:p>
    <w:p w14:paraId="365BD908"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If the banks selected are not quoting as mentioned above, the Prime Rate will remain the Prime Rate in effect on such Interest Determination Date.</w:t>
      </w:r>
    </w:p>
    <w:p w14:paraId="7CA1DD79"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“Reuters Screen US PRIME1 Page” means the display designated as page “US PRIME1” on the Reuters Monitor Money Rates Service (or such other page as may replace the US PRIME1 page on that service for the purpose of displaying prime rates or base lending rates of major United States banks).</w:t>
      </w:r>
    </w:p>
    <w:p w14:paraId="68BA556E" w14:textId="77777777" w:rsidR="00BD6DC7" w:rsidRPr="00BD6DC7" w:rsidRDefault="00BD6DC7" w:rsidP="00BD6DC7">
      <w:pPr>
        <w:tabs>
          <w:tab w:val="left" w:pos="360"/>
        </w:tabs>
        <w:spacing w:after="240"/>
        <w:rPr>
          <w:rFonts w:ascii="Times New Roman" w:hAnsi="Times New Roman"/>
          <w:i/>
          <w:sz w:val="22"/>
          <w:szCs w:val="22"/>
        </w:rPr>
      </w:pPr>
      <w:r w:rsidRPr="00BD6DC7">
        <w:rPr>
          <w:rFonts w:ascii="Times New Roman" w:hAnsi="Times New Roman"/>
          <w:i/>
          <w:sz w:val="22"/>
          <w:szCs w:val="22"/>
        </w:rPr>
        <w:t>Treasury Rate Notes</w:t>
      </w:r>
    </w:p>
    <w:p w14:paraId="4F6C3B25" w14:textId="77777777" w:rsidR="00BD6DC7" w:rsidRPr="00BD6DC7" w:rsidRDefault="00BD6DC7" w:rsidP="00BD6DC7">
      <w:pPr>
        <w:tabs>
          <w:tab w:val="left" w:pos="360"/>
        </w:tabs>
        <w:spacing w:after="240"/>
        <w:rPr>
          <w:rFonts w:ascii="Times New Roman" w:hAnsi="Times New Roman"/>
          <w:sz w:val="22"/>
          <w:szCs w:val="22"/>
        </w:rPr>
      </w:pPr>
      <w:r w:rsidRPr="00BD6DC7">
        <w:rPr>
          <w:rFonts w:ascii="Times New Roman" w:hAnsi="Times New Roman"/>
          <w:sz w:val="22"/>
          <w:szCs w:val="22"/>
        </w:rPr>
        <w:t>“Treasury Rate” means:</w:t>
      </w:r>
    </w:p>
    <w:p w14:paraId="0625E0A6"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(1) the rate from the auction held on the Interest Determination Date (the “Auction”) of direct obligations of the United States (“Treasury Bills”) having the Index Maturity specified in the Supplement under the caption “INVEST RATE” on the display on the Reuters Page designated as USAUCTION10 (or any other page as may replace that page on that service) or the Reuters Page designated as USAUCTION11 (or any other page as may replace that page on that service), or</w:t>
      </w:r>
    </w:p>
    <w:p w14:paraId="7627EA7D"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(2) if the rate referred to in clause (1) is not so published by 3:00 p.m. on the related Calculation Date, the Bond Equivalent Yield (as defined below) of the rate for the applicable Treasury Bills as published in H.15 Daily Update, under the caption “U.S. Government Securities/Treasury Bills/Auction High”, or</w:t>
      </w:r>
    </w:p>
    <w:p w14:paraId="745BA15D"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(3) if the rate referred to in clause (2) is not so published by 3:00 p.m. on the related Calculation Date, the Bond Equivalent Yield of the auction rate of the applicable Treasury Bills as announced by the United States Department of the Treasury, or</w:t>
      </w:r>
    </w:p>
    <w:p w14:paraId="7A4A529C" w14:textId="751431DA"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(4) if the rate referred to in clause (3) is not so announced by the United States Department of the Treasury, or if the Auction is not held, the Bond Equivalent Yield of the rate on the particular Interest Determination Date of the applicable Treasury Bills as published in H.15</w:t>
      </w:r>
      <w:r w:rsidR="007D45E0">
        <w:rPr>
          <w:rFonts w:ascii="Times New Roman" w:hAnsi="Times New Roman"/>
          <w:sz w:val="22"/>
          <w:szCs w:val="22"/>
        </w:rPr>
        <w:t xml:space="preserve"> Daily Update</w:t>
      </w:r>
      <w:r w:rsidRPr="00BD6DC7">
        <w:rPr>
          <w:rFonts w:ascii="Times New Roman" w:hAnsi="Times New Roman"/>
          <w:sz w:val="22"/>
          <w:szCs w:val="22"/>
        </w:rPr>
        <w:t xml:space="preserve"> under the caption “U.S. Government Securities/Treasury Bills/Secondary Market”, or</w:t>
      </w:r>
    </w:p>
    <w:p w14:paraId="1050252F"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(5) if the rate referred to in clause (4) is not so published by 3:00 p.m. on the related Calculation Date, the rate on the particular Interest Determination Date of the applicable Treasury Bills as published in H.15 Daily Update, under the caption “U.S. Government Securities/Treasury Bills/Secondary Market”, or</w:t>
      </w:r>
    </w:p>
    <w:p w14:paraId="6DAF2EF3"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(6) if the rate referred to in clause (5) is not so published by 3:00 p.m. on the related Calculation Date, the rate on the particular Interest Determination Date calculated by the Calculation Agent as the Bond Equivalent Yield of the arithmetic mean of the secondary market bid rates, as of approximately 3:30 p.m. on that Interest Determination Date, of three primary United States government securities dealers selected by the Calculation Agent, for the issue of Treasury Bills with a remaining maturity closest to the Index Maturity specified in the Supplement, or</w:t>
      </w:r>
    </w:p>
    <w:p w14:paraId="74A906ED"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lastRenderedPageBreak/>
        <w:t>(7) if the dealers so selected by the Calculation Agent are not quoting as mentioned in clause (6), the Treasury Rate in effect on the particular Interest Determination Date.</w:t>
      </w:r>
    </w:p>
    <w:p w14:paraId="137BAC9C" w14:textId="77777777" w:rsidR="00BD6DC7" w:rsidRPr="00BD6DC7" w:rsidRDefault="00BD6DC7" w:rsidP="00BD6DC7">
      <w:pPr>
        <w:tabs>
          <w:tab w:val="left" w:pos="360"/>
        </w:tabs>
        <w:spacing w:after="240"/>
        <w:rPr>
          <w:rFonts w:ascii="Times New Roman" w:hAnsi="Times New Roman"/>
          <w:sz w:val="22"/>
          <w:szCs w:val="22"/>
        </w:rPr>
      </w:pPr>
      <w:r w:rsidRPr="00BD6DC7">
        <w:rPr>
          <w:rFonts w:ascii="Times New Roman" w:hAnsi="Times New Roman"/>
          <w:sz w:val="22"/>
          <w:szCs w:val="22"/>
        </w:rPr>
        <w:t>“Bond Equivalent Yield” means a yield (expressed as a percentage) calculated in accordance with the following formula:</w:t>
      </w:r>
    </w:p>
    <w:p w14:paraId="0A998F8D" w14:textId="77777777" w:rsidR="00BD6DC7" w:rsidRPr="00BD6DC7" w:rsidRDefault="00BD6DC7" w:rsidP="00BD6DC7">
      <w:pPr>
        <w:tabs>
          <w:tab w:val="left" w:pos="2610"/>
          <w:tab w:val="left" w:pos="3060"/>
        </w:tabs>
        <w:jc w:val="both"/>
        <w:rPr>
          <w:rFonts w:ascii="Times New Roman" w:hAnsi="Times New Roman"/>
          <w:sz w:val="22"/>
          <w:szCs w:val="22"/>
        </w:rPr>
      </w:pPr>
      <w:r w:rsidRPr="00BD6DC7">
        <w:rPr>
          <w:rFonts w:ascii="Times New Roman" w:hAnsi="Times New Roman"/>
          <w:sz w:val="22"/>
          <w:szCs w:val="22"/>
        </w:rPr>
        <w:tab/>
        <w:t xml:space="preserve">  D x N</w:t>
      </w:r>
    </w:p>
    <w:p w14:paraId="4024D483" w14:textId="77777777" w:rsidR="00BD6DC7" w:rsidRPr="00BD6DC7" w:rsidRDefault="00BD6DC7" w:rsidP="00BD6DC7">
      <w:pPr>
        <w:tabs>
          <w:tab w:val="left" w:pos="2250"/>
          <w:tab w:val="left" w:pos="2610"/>
          <w:tab w:val="left" w:pos="4320"/>
        </w:tabs>
        <w:overflowPunct w:val="0"/>
        <w:autoSpaceDE w:val="0"/>
        <w:autoSpaceDN w:val="0"/>
        <w:adjustRightInd w:val="0"/>
        <w:jc w:val="both"/>
        <w:textAlignment w:val="baseline"/>
        <w:rPr>
          <w:rFonts w:ascii="Times New Roman" w:hAnsi="Times New Roman"/>
          <w:sz w:val="22"/>
          <w:szCs w:val="22"/>
        </w:rPr>
      </w:pPr>
      <w:r w:rsidRPr="00BD6DC7">
        <w:rPr>
          <w:rFonts w:ascii="Times New Roman" w:hAnsi="Times New Roman"/>
          <w:noProof/>
          <w:sz w:val="22"/>
          <w:szCs w:val="22"/>
          <w:lang w:val="en-GB" w:eastAsia="en-GB"/>
        </w:rPr>
        <mc:AlternateContent>
          <mc:Choice Requires="wps">
            <w:drawing>
              <wp:anchor distT="0" distB="0" distL="114300" distR="114300" simplePos="0" relativeHeight="251657728" behindDoc="0" locked="0" layoutInCell="1" allowOverlap="1" wp14:anchorId="36C50B49" wp14:editId="404EC9CF">
                <wp:simplePos x="0" y="0"/>
                <wp:positionH relativeFrom="column">
                  <wp:posOffset>1468120</wp:posOffset>
                </wp:positionH>
                <wp:positionV relativeFrom="paragraph">
                  <wp:posOffset>108585</wp:posOffset>
                </wp:positionV>
                <wp:extent cx="869315" cy="4445"/>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9315" cy="444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C3936" id="Line 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6pt,8.55pt" to="184.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">
                <v:stroke startarrowwidth="narrow" startarrowlength="short" endarrowwidth="narrow" endarrowlength="short"/>
              </v:line>
            </w:pict>
          </mc:Fallback>
        </mc:AlternateContent>
      </w:r>
      <w:r w:rsidRPr="00BD6DC7">
        <w:rPr>
          <w:rFonts w:ascii="Times New Roman" w:hAnsi="Times New Roman"/>
          <w:sz w:val="22"/>
          <w:szCs w:val="22"/>
        </w:rPr>
        <w:t>Bond Equivalent Yield =</w:t>
      </w:r>
      <w:r w:rsidRPr="00BD6DC7">
        <w:rPr>
          <w:rFonts w:ascii="Times New Roman" w:hAnsi="Times New Roman"/>
          <w:sz w:val="22"/>
          <w:szCs w:val="22"/>
        </w:rPr>
        <w:tab/>
        <w:t xml:space="preserve">                               x 100</w:t>
      </w:r>
    </w:p>
    <w:p w14:paraId="5FF97995" w14:textId="77777777" w:rsidR="00BD6DC7" w:rsidRPr="00BD6DC7" w:rsidRDefault="00BD6DC7" w:rsidP="00BD6DC7">
      <w:pPr>
        <w:tabs>
          <w:tab w:val="left" w:pos="2430"/>
          <w:tab w:val="left" w:pos="2880"/>
        </w:tabs>
        <w:spacing w:after="240"/>
        <w:jc w:val="both"/>
        <w:rPr>
          <w:rFonts w:ascii="Times New Roman" w:hAnsi="Times New Roman"/>
          <w:sz w:val="22"/>
          <w:szCs w:val="22"/>
        </w:rPr>
      </w:pPr>
      <w:r w:rsidRPr="00BD6DC7">
        <w:rPr>
          <w:rFonts w:ascii="Times New Roman" w:hAnsi="Times New Roman"/>
          <w:sz w:val="22"/>
          <w:szCs w:val="22"/>
        </w:rPr>
        <w:tab/>
        <w:t>360 - (D x M)</w:t>
      </w:r>
    </w:p>
    <w:p w14:paraId="00BA3AB9" w14:textId="77777777" w:rsidR="00BD6DC7" w:rsidRPr="00BD6DC7" w:rsidRDefault="00BD6DC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where “D” refers to the applicable per annum rate for Treasury Bills quoted on a bank discount basis and expressed as a decimal, “N” refers to 365 or 366, as the case may be, and “M” refers to the actual number of days in the applicable Interest Reset Period.</w:t>
      </w:r>
    </w:p>
    <w:p w14:paraId="500438EF" w14:textId="2475882A" w:rsidR="00BD6DC7" w:rsidRPr="00BD6DC7" w:rsidRDefault="00EF4D07" w:rsidP="00BD6DC7">
      <w:pPr>
        <w:tabs>
          <w:tab w:val="left" w:pos="360"/>
        </w:tabs>
        <w:spacing w:after="240"/>
        <w:ind w:left="360"/>
        <w:rPr>
          <w:rFonts w:ascii="Times New Roman" w:hAnsi="Times New Roman"/>
          <w:sz w:val="22"/>
          <w:szCs w:val="22"/>
        </w:rPr>
      </w:pPr>
      <w:r w:rsidRPr="00BD6DC7">
        <w:rPr>
          <w:rFonts w:ascii="Times New Roman" w:hAnsi="Times New Roman"/>
          <w:sz w:val="22"/>
          <w:szCs w:val="22"/>
        </w:rPr>
        <w:t>"Reuters Page" means the display on Thomson Reuters Eikon, or any successor service, on the page or pages specified in this Statement of Terms or the Supplement, or any replacement page on that service</w:t>
      </w:r>
      <w:r w:rsidR="00A71166">
        <w:rPr>
          <w:rFonts w:ascii="Times New Roman" w:hAnsi="Times New Roman"/>
          <w:sz w:val="22"/>
          <w:szCs w:val="22"/>
        </w:rPr>
        <w:t>.</w:t>
      </w:r>
    </w:p>
    <w:p w14:paraId="4D090638" w14:textId="274F3373" w:rsidR="00BD6DC7" w:rsidRPr="00BD6DC7" w:rsidRDefault="00BD6DC7" w:rsidP="00BD6DC7">
      <w:pPr>
        <w:tabs>
          <w:tab w:val="left" w:pos="360"/>
        </w:tabs>
        <w:spacing w:after="240"/>
        <w:ind w:left="360" w:hanging="360"/>
        <w:rPr>
          <w:rFonts w:ascii="Times New Roman" w:hAnsi="Times New Roman"/>
          <w:sz w:val="22"/>
          <w:szCs w:val="22"/>
        </w:rPr>
      </w:pPr>
      <w:r w:rsidRPr="00BD6DC7">
        <w:rPr>
          <w:rFonts w:ascii="Times New Roman" w:hAnsi="Times New Roman"/>
          <w:sz w:val="22"/>
          <w:szCs w:val="22"/>
        </w:rPr>
        <w:t xml:space="preserve">3.   </w:t>
      </w:r>
      <w:r w:rsidRPr="00BD6DC7">
        <w:rPr>
          <w:rFonts w:ascii="Times New Roman" w:hAnsi="Times New Roman"/>
          <w:sz w:val="22"/>
          <w:szCs w:val="22"/>
          <w:u w:val="single"/>
        </w:rPr>
        <w:t>Final Maturity.</w:t>
      </w:r>
      <w:r w:rsidRPr="00BD6DC7">
        <w:rPr>
          <w:rFonts w:ascii="Times New Roman" w:hAnsi="Times New Roman"/>
          <w:sz w:val="22"/>
          <w:szCs w:val="22"/>
        </w:rPr>
        <w:t xml:space="preserve">  The Stated Maturity Date for any Note will be the date so specified in the Supplement, which shall be no later than </w:t>
      </w:r>
      <w:r w:rsidR="00A71166">
        <w:rPr>
          <w:rFonts w:ascii="Times New Roman" w:hAnsi="Times New Roman"/>
          <w:sz w:val="22"/>
          <w:szCs w:val="22"/>
        </w:rPr>
        <w:t>270</w:t>
      </w:r>
      <w:r w:rsidRPr="00BD6DC7">
        <w:rPr>
          <w:rFonts w:ascii="Times New Roman" w:hAnsi="Times New Roman"/>
          <w:sz w:val="22"/>
          <w:szCs w:val="22"/>
        </w:rPr>
        <w:t xml:space="preserve"> days from the date of issuance.  On its Stated Maturity Date, or any date prior to the Stated Maturity Date on which the particular Note becomes due and payable by the declaration of acceleration, each such date being referred to as a Maturity Date, the principal amount of such Note, together with accrued and unpaid interest thereon, will be immediately due and payable.</w:t>
      </w:r>
    </w:p>
    <w:p w14:paraId="6E406151" w14:textId="288B267A" w:rsidR="00BD6DC7" w:rsidRPr="00BD6DC7" w:rsidRDefault="00BD6DC7" w:rsidP="00BD6DC7">
      <w:pPr>
        <w:tabs>
          <w:tab w:val="left" w:pos="360"/>
        </w:tabs>
        <w:spacing w:after="240"/>
        <w:ind w:left="360" w:hanging="360"/>
        <w:rPr>
          <w:rFonts w:ascii="Times New Roman" w:hAnsi="Times New Roman"/>
          <w:sz w:val="22"/>
          <w:szCs w:val="22"/>
        </w:rPr>
      </w:pPr>
      <w:r w:rsidRPr="00BD6DC7">
        <w:rPr>
          <w:rFonts w:ascii="Times New Roman" w:hAnsi="Times New Roman"/>
          <w:sz w:val="22"/>
          <w:szCs w:val="22"/>
        </w:rPr>
        <w:t xml:space="preserve">4.   </w:t>
      </w:r>
      <w:r w:rsidRPr="00BD6DC7">
        <w:rPr>
          <w:rFonts w:ascii="Times New Roman" w:hAnsi="Times New Roman"/>
          <w:sz w:val="22"/>
          <w:szCs w:val="22"/>
          <w:u w:val="single"/>
        </w:rPr>
        <w:t>Events of Default.</w:t>
      </w:r>
      <w:r w:rsidRPr="00BD6DC7">
        <w:rPr>
          <w:rFonts w:ascii="Times New Roman" w:hAnsi="Times New Roman"/>
          <w:sz w:val="22"/>
          <w:szCs w:val="22"/>
        </w:rPr>
        <w:t xml:space="preserve">  The occurrence of any of the following shall constitute an “Event of Default” with respect to a Note:  (i) default in any payment of principal of or interest on such Note (including on a redemption thereof); (ii) the Issuer </w:t>
      </w:r>
      <w:r w:rsidR="00A2485C">
        <w:rPr>
          <w:rFonts w:ascii="Times New Roman" w:hAnsi="Times New Roman"/>
          <w:sz w:val="22"/>
          <w:szCs w:val="22"/>
        </w:rPr>
        <w:t xml:space="preserve">or the Guarantor </w:t>
      </w:r>
      <w:r w:rsidRPr="00BD6DC7">
        <w:rPr>
          <w:rFonts w:ascii="Times New Roman" w:hAnsi="Times New Roman"/>
          <w:sz w:val="22"/>
          <w:szCs w:val="22"/>
        </w:rPr>
        <w:t xml:space="preserve">makes any compromise arrangement with its creditors generally including the entering into any form of moratorium with its creditors generally; (iii) a court having jurisdiction shall enter a decree or order for relief in respect of the Issuer </w:t>
      </w:r>
      <w:r w:rsidR="00A2485C">
        <w:rPr>
          <w:rFonts w:ascii="Times New Roman" w:hAnsi="Times New Roman"/>
          <w:sz w:val="22"/>
          <w:szCs w:val="22"/>
        </w:rPr>
        <w:t>or the Guarantor</w:t>
      </w:r>
      <w:r w:rsidR="00A2485C" w:rsidRPr="00BD6DC7">
        <w:rPr>
          <w:rFonts w:ascii="Times New Roman" w:hAnsi="Times New Roman"/>
          <w:sz w:val="22"/>
          <w:szCs w:val="22"/>
        </w:rPr>
        <w:t xml:space="preserve"> </w:t>
      </w:r>
      <w:r w:rsidRPr="00BD6DC7">
        <w:rPr>
          <w:rFonts w:ascii="Times New Roman" w:hAnsi="Times New Roman"/>
          <w:sz w:val="22"/>
          <w:szCs w:val="22"/>
        </w:rPr>
        <w:t xml:space="preserve">in an involuntary case under any applicable bankruptcy, insolvency or other similar law now or hereafter in effect, or there shall be appointed a receiver, administrator, liquidator, custodian, trustee or sequestrator (or similar officer) with respect to the whole or substantially the whole of the assets of the Issuer </w:t>
      </w:r>
      <w:r w:rsidR="00A2485C">
        <w:rPr>
          <w:rFonts w:ascii="Times New Roman" w:hAnsi="Times New Roman"/>
          <w:sz w:val="22"/>
          <w:szCs w:val="22"/>
        </w:rPr>
        <w:t>or the Guarantor</w:t>
      </w:r>
      <w:r w:rsidR="00A2485C" w:rsidRPr="00BD6DC7">
        <w:rPr>
          <w:rFonts w:ascii="Times New Roman" w:hAnsi="Times New Roman"/>
          <w:sz w:val="22"/>
          <w:szCs w:val="22"/>
        </w:rPr>
        <w:t xml:space="preserve"> </w:t>
      </w:r>
      <w:r w:rsidRPr="00BD6DC7">
        <w:rPr>
          <w:rFonts w:ascii="Times New Roman" w:hAnsi="Times New Roman"/>
          <w:sz w:val="22"/>
          <w:szCs w:val="22"/>
        </w:rPr>
        <w:t xml:space="preserve">and any such decree, order or appointment is not removed, discharged or withdrawn within 60 days thereafter; or (iv) the Issuer </w:t>
      </w:r>
      <w:r w:rsidR="00A2485C">
        <w:rPr>
          <w:rFonts w:ascii="Times New Roman" w:hAnsi="Times New Roman"/>
          <w:sz w:val="22"/>
          <w:szCs w:val="22"/>
        </w:rPr>
        <w:t>or the Guarantor</w:t>
      </w:r>
      <w:r w:rsidR="00A2485C" w:rsidRPr="00BD6DC7">
        <w:rPr>
          <w:rFonts w:ascii="Times New Roman" w:hAnsi="Times New Roman"/>
          <w:sz w:val="22"/>
          <w:szCs w:val="22"/>
        </w:rPr>
        <w:t xml:space="preserve"> </w:t>
      </w:r>
      <w:r w:rsidRPr="00BD6DC7">
        <w:rPr>
          <w:rFonts w:ascii="Times New Roman" w:hAnsi="Times New Roman"/>
          <w:sz w:val="22"/>
          <w:szCs w:val="22"/>
        </w:rPr>
        <w:t xml:space="preserve">shall commence a voluntary case under any applicable bankruptcy, insolvency or other similar law now or hereafter in effect, or consent to the entry of an order for relief in an involuntary case under any such law, or consent to the appointment of or taking possession by a receiver, administrator, liquidator, assignee, custodian, trustee or sequestrator (or similar official), with respect to the whole or substantially the whole of the assets of the Issuer </w:t>
      </w:r>
      <w:r w:rsidR="00A2485C">
        <w:rPr>
          <w:rFonts w:ascii="Times New Roman" w:hAnsi="Times New Roman"/>
          <w:sz w:val="22"/>
          <w:szCs w:val="22"/>
        </w:rPr>
        <w:t>or the Guarantor</w:t>
      </w:r>
      <w:r w:rsidR="00A2485C" w:rsidRPr="00BD6DC7">
        <w:rPr>
          <w:rFonts w:ascii="Times New Roman" w:hAnsi="Times New Roman"/>
          <w:sz w:val="22"/>
          <w:szCs w:val="22"/>
        </w:rPr>
        <w:t xml:space="preserve"> </w:t>
      </w:r>
      <w:r w:rsidRPr="00BD6DC7">
        <w:rPr>
          <w:rFonts w:ascii="Times New Roman" w:hAnsi="Times New Roman"/>
          <w:sz w:val="22"/>
          <w:szCs w:val="22"/>
        </w:rPr>
        <w:t>or make any general assignment for the benefit of creditors.  Upon the occurrence of an Event of Default, the principal of such Note (together with interest accrued and unpaid thereon) shall become, without any notice or demand, immediately due and payable.</w:t>
      </w:r>
      <w:r w:rsidRPr="00BD6DC7">
        <w:rPr>
          <w:rFonts w:ascii="Times New Roman" w:hAnsi="Times New Roman"/>
          <w:sz w:val="22"/>
          <w:szCs w:val="22"/>
          <w:vertAlign w:val="superscript"/>
        </w:rPr>
        <w:footnoteReference w:id="6"/>
      </w:r>
    </w:p>
    <w:p w14:paraId="36E24B80" w14:textId="77777777" w:rsidR="00BD6DC7" w:rsidRPr="00BD6DC7" w:rsidRDefault="00BD6DC7" w:rsidP="00BD6DC7">
      <w:pPr>
        <w:tabs>
          <w:tab w:val="left" w:pos="360"/>
        </w:tabs>
        <w:spacing w:after="240"/>
        <w:ind w:left="360" w:hanging="360"/>
        <w:rPr>
          <w:rFonts w:ascii="Times New Roman" w:hAnsi="Times New Roman"/>
          <w:sz w:val="22"/>
          <w:szCs w:val="22"/>
        </w:rPr>
      </w:pPr>
      <w:r w:rsidRPr="00BD6DC7">
        <w:rPr>
          <w:rFonts w:ascii="Times New Roman" w:hAnsi="Times New Roman"/>
          <w:sz w:val="22"/>
          <w:szCs w:val="22"/>
        </w:rPr>
        <w:t xml:space="preserve">5.    </w:t>
      </w:r>
      <w:r w:rsidRPr="00BD6DC7">
        <w:rPr>
          <w:rFonts w:ascii="Times New Roman" w:hAnsi="Times New Roman"/>
          <w:sz w:val="22"/>
          <w:szCs w:val="22"/>
          <w:u w:val="single"/>
        </w:rPr>
        <w:t>Obligation Absolute.</w:t>
      </w:r>
      <w:r w:rsidRPr="00BD6DC7">
        <w:rPr>
          <w:rFonts w:ascii="Times New Roman" w:hAnsi="Times New Roman"/>
          <w:sz w:val="22"/>
          <w:szCs w:val="22"/>
        </w:rPr>
        <w:t xml:space="preserve">  No provision of the Issuing and Paying Agency Agreement under which the Notes are issued shall alter or impair the obligation of the Issuer, which is absolute and unconditional, to pay the principal of and interest on each Note at the times, place and rate, and in the coin or currency, herein prescribed.</w:t>
      </w:r>
    </w:p>
    <w:p w14:paraId="227736B5" w14:textId="77777777" w:rsidR="00BD6DC7" w:rsidRPr="00BD6DC7" w:rsidRDefault="00BD6DC7" w:rsidP="00BD6DC7">
      <w:pPr>
        <w:tabs>
          <w:tab w:val="left" w:pos="360"/>
        </w:tabs>
        <w:spacing w:after="240"/>
        <w:ind w:left="360" w:hanging="360"/>
        <w:rPr>
          <w:rFonts w:ascii="Times New Roman" w:hAnsi="Times New Roman"/>
          <w:sz w:val="22"/>
          <w:szCs w:val="22"/>
        </w:rPr>
      </w:pPr>
      <w:r w:rsidRPr="00BD6DC7">
        <w:rPr>
          <w:rFonts w:ascii="Times New Roman" w:hAnsi="Times New Roman"/>
          <w:sz w:val="22"/>
          <w:szCs w:val="22"/>
        </w:rPr>
        <w:t xml:space="preserve">6.    </w:t>
      </w:r>
      <w:r w:rsidRPr="00BD6DC7">
        <w:rPr>
          <w:rFonts w:ascii="Times New Roman" w:hAnsi="Times New Roman"/>
          <w:sz w:val="22"/>
          <w:szCs w:val="22"/>
          <w:u w:val="single"/>
        </w:rPr>
        <w:t>Supplement</w:t>
      </w:r>
      <w:r w:rsidRPr="00BD6DC7">
        <w:rPr>
          <w:rFonts w:ascii="Times New Roman" w:hAnsi="Times New Roman"/>
          <w:sz w:val="22"/>
          <w:szCs w:val="22"/>
        </w:rPr>
        <w:t>.  Any term contained in the Supplement shall supersede any conflicting term contained herein.</w:t>
      </w:r>
    </w:p>
    <w:p w14:paraId="608BBE58" w14:textId="3E3DF147" w:rsidR="00A62459" w:rsidRDefault="00A62459" w:rsidP="00AE3F54"/>
    <w:p w14:paraId="56D9C6AC" w14:textId="77777777" w:rsidR="004E55CB" w:rsidRDefault="004E55CB">
      <w:pPr>
        <w:rPr>
          <w:rFonts w:ascii="Times New Roman" w:hAnsi="Times New Roman" w:cs="Times New Roman Bold"/>
          <w:b/>
          <w:szCs w:val="24"/>
          <w:lang w:eastAsia="zh-CN" w:bidi="he-IL"/>
        </w:rPr>
      </w:pPr>
      <w:r>
        <w:rPr>
          <w:rFonts w:ascii="Times New Roman" w:hAnsi="Times New Roman" w:cs="Times New Roman Bold"/>
          <w:b/>
          <w:szCs w:val="24"/>
          <w:lang w:eastAsia="zh-CN" w:bidi="he-IL"/>
        </w:rPr>
        <w:br w:type="page"/>
      </w:r>
    </w:p>
    <w:p w14:paraId="4E3C9EAA" w14:textId="4375F22E" w:rsidR="007D3E3C" w:rsidRPr="00A71166" w:rsidRDefault="007D3E3C" w:rsidP="00041B42">
      <w:pPr>
        <w:rPr>
          <w:rFonts w:ascii="Times New Roman" w:hAnsi="Times New Roman" w:cs="Times New Roman Bold"/>
          <w:b/>
          <w:sz w:val="22"/>
          <w:szCs w:val="22"/>
          <w:lang w:eastAsia="zh-CN" w:bidi="he-IL"/>
        </w:rPr>
      </w:pPr>
      <w:r w:rsidRPr="00A71166">
        <w:rPr>
          <w:rFonts w:ascii="Times New Roman" w:hAnsi="Times New Roman" w:cs="Times New Roman Bold"/>
          <w:b/>
          <w:sz w:val="22"/>
          <w:szCs w:val="22"/>
          <w:lang w:eastAsia="zh-CN" w:bidi="he-IL"/>
        </w:rPr>
        <w:lastRenderedPageBreak/>
        <w:t xml:space="preserve">EXHIBIT </w:t>
      </w:r>
      <w:r w:rsidR="00237EC9" w:rsidRPr="00A71166">
        <w:rPr>
          <w:rFonts w:ascii="Times New Roman" w:hAnsi="Times New Roman" w:cs="Times New Roman Bold"/>
          <w:b/>
          <w:sz w:val="22"/>
          <w:szCs w:val="22"/>
          <w:lang w:eastAsia="zh-CN" w:bidi="he-IL"/>
        </w:rPr>
        <w:t>B</w:t>
      </w:r>
    </w:p>
    <w:p w14:paraId="069FBE65" w14:textId="77777777" w:rsidR="007D3E3C" w:rsidRPr="00A71166" w:rsidRDefault="007D3E3C" w:rsidP="007D3E3C">
      <w:pPr>
        <w:keepNext/>
        <w:keepLines/>
        <w:spacing w:before="240" w:after="240"/>
        <w:jc w:val="center"/>
        <w:rPr>
          <w:rFonts w:ascii="Times New Roman" w:hAnsi="Times New Roman" w:cs="Times New Roman Bold"/>
          <w:b/>
          <w:sz w:val="22"/>
          <w:szCs w:val="22"/>
          <w:lang w:eastAsia="zh-CN" w:bidi="he-IL"/>
        </w:rPr>
      </w:pPr>
      <w:r w:rsidRPr="00A71166">
        <w:rPr>
          <w:rFonts w:ascii="Times New Roman" w:hAnsi="Times New Roman" w:cs="Times New Roman Bold"/>
          <w:b/>
          <w:sz w:val="22"/>
          <w:szCs w:val="22"/>
          <w:lang w:eastAsia="zh-CN" w:bidi="he-IL"/>
        </w:rPr>
        <w:t>Notification Letter for an Increase in the Maximum Amount</w:t>
      </w:r>
    </w:p>
    <w:p w14:paraId="3957EBFA" w14:textId="77777777" w:rsidR="007D3E3C" w:rsidRPr="00A71166" w:rsidRDefault="007D3E3C" w:rsidP="007D3E3C">
      <w:pPr>
        <w:spacing w:before="240" w:after="240"/>
        <w:ind w:firstLine="720"/>
        <w:jc w:val="right"/>
        <w:rPr>
          <w:rFonts w:ascii="Times New Roman" w:hAnsi="Times New Roman"/>
          <w:sz w:val="22"/>
          <w:szCs w:val="22"/>
          <w:lang w:eastAsia="zh-CN" w:bidi="he-IL"/>
        </w:rPr>
      </w:pPr>
      <w:r w:rsidRPr="00A71166">
        <w:rPr>
          <w:rFonts w:ascii="Times New Roman" w:hAnsi="Times New Roman"/>
          <w:sz w:val="22"/>
          <w:szCs w:val="22"/>
          <w:lang w:eastAsia="zh-CN" w:bidi="he-IL"/>
        </w:rPr>
        <w:t>[_____________], 20[__]</w:t>
      </w:r>
    </w:p>
    <w:p w14:paraId="7D04B400" w14:textId="6162E8BC" w:rsidR="007D3E3C" w:rsidRPr="00A71166" w:rsidRDefault="007D3E3C" w:rsidP="007D3E3C">
      <w:pPr>
        <w:spacing w:before="240" w:after="240"/>
        <w:jc w:val="both"/>
        <w:rPr>
          <w:rFonts w:ascii="Times New Roman" w:hAnsi="Times New Roman"/>
          <w:sz w:val="22"/>
          <w:szCs w:val="22"/>
          <w:lang w:eastAsia="zh-CN" w:bidi="he-IL"/>
        </w:rPr>
      </w:pPr>
      <w:r w:rsidRPr="00A71166">
        <w:rPr>
          <w:rFonts w:ascii="Times New Roman" w:hAnsi="Times New Roman"/>
          <w:sz w:val="22"/>
          <w:szCs w:val="22"/>
          <w:lang w:eastAsia="zh-CN" w:bidi="he-IL"/>
        </w:rPr>
        <w:t>To:</w:t>
      </w:r>
      <w:r w:rsidRPr="00A71166">
        <w:rPr>
          <w:rFonts w:ascii="Times New Roman" w:hAnsi="Times New Roman"/>
          <w:sz w:val="22"/>
          <w:szCs w:val="22"/>
          <w:lang w:eastAsia="zh-CN" w:bidi="he-IL"/>
        </w:rPr>
        <w:tab/>
        <w:t>[__], as Dealer</w:t>
      </w:r>
      <w:r w:rsidRPr="00A71166">
        <w:rPr>
          <w:rFonts w:ascii="Times New Roman" w:hAnsi="Times New Roman"/>
          <w:sz w:val="22"/>
          <w:szCs w:val="22"/>
          <w:lang w:eastAsia="zh-CN" w:bidi="he-IL"/>
        </w:rPr>
        <w:br/>
      </w:r>
      <w:r w:rsidRPr="00A71166">
        <w:rPr>
          <w:rFonts w:ascii="Times New Roman" w:hAnsi="Times New Roman"/>
          <w:sz w:val="22"/>
          <w:szCs w:val="22"/>
          <w:lang w:eastAsia="zh-CN" w:bidi="he-IL"/>
        </w:rPr>
        <w:br/>
        <w:t>cc.</w:t>
      </w:r>
      <w:r w:rsidRPr="00A71166">
        <w:rPr>
          <w:rFonts w:ascii="Times New Roman" w:hAnsi="Times New Roman"/>
          <w:sz w:val="22"/>
          <w:szCs w:val="22"/>
          <w:lang w:eastAsia="zh-CN" w:bidi="he-IL"/>
        </w:rPr>
        <w:tab/>
      </w:r>
      <w:r w:rsidR="003D1C3D" w:rsidRPr="00A71166">
        <w:rPr>
          <w:rFonts w:ascii="Times New Roman" w:hAnsi="Times New Roman"/>
          <w:sz w:val="22"/>
          <w:szCs w:val="22"/>
          <w:lang w:eastAsia="zh-CN" w:bidi="he-IL"/>
        </w:rPr>
        <w:t>[______________]</w:t>
      </w:r>
      <w:r w:rsidRPr="00A71166">
        <w:rPr>
          <w:rFonts w:ascii="Times New Roman" w:hAnsi="Times New Roman"/>
          <w:sz w:val="22"/>
          <w:szCs w:val="22"/>
          <w:lang w:eastAsia="zh-CN" w:bidi="he-IL"/>
        </w:rPr>
        <w:t>, as Issuing and Paying Agent</w:t>
      </w:r>
    </w:p>
    <w:p w14:paraId="387A7091" w14:textId="0A79190D" w:rsidR="007D3E3C" w:rsidRPr="00A71166" w:rsidRDefault="007D3E3C" w:rsidP="007D3E3C">
      <w:pPr>
        <w:spacing w:before="240" w:after="240"/>
        <w:ind w:firstLine="720"/>
        <w:jc w:val="center"/>
        <w:rPr>
          <w:rFonts w:ascii="Times New Roman" w:hAnsi="Times New Roman"/>
          <w:sz w:val="22"/>
          <w:szCs w:val="22"/>
          <w:lang w:eastAsia="zh-CN" w:bidi="he-IL"/>
        </w:rPr>
      </w:pPr>
      <w:r w:rsidRPr="00A71166">
        <w:rPr>
          <w:rFonts w:ascii="Times New Roman" w:hAnsi="Times New Roman"/>
          <w:sz w:val="22"/>
          <w:szCs w:val="22"/>
          <w:lang w:eastAsia="zh-CN" w:bidi="he-IL"/>
        </w:rPr>
        <w:t>Re:</w:t>
      </w:r>
      <w:r w:rsidRPr="00A71166">
        <w:rPr>
          <w:rFonts w:ascii="Times New Roman" w:hAnsi="Times New Roman"/>
          <w:sz w:val="22"/>
          <w:szCs w:val="22"/>
          <w:lang w:eastAsia="zh-CN" w:bidi="he-IL"/>
        </w:rPr>
        <w:tab/>
      </w:r>
      <w:r w:rsidRPr="00A71166">
        <w:rPr>
          <w:rFonts w:ascii="Times New Roman" w:hAnsi="Times New Roman"/>
          <w:sz w:val="22"/>
          <w:szCs w:val="22"/>
          <w:u w:val="single"/>
          <w:lang w:eastAsia="zh-CN" w:bidi="he-IL"/>
        </w:rPr>
        <w:t xml:space="preserve">Commercial Paper Program of </w:t>
      </w:r>
      <w:r w:rsidR="003D1C3D" w:rsidRPr="00A71166">
        <w:rPr>
          <w:rFonts w:ascii="Times New Roman" w:hAnsi="Times New Roman"/>
          <w:sz w:val="22"/>
          <w:szCs w:val="22"/>
          <w:u w:val="single"/>
          <w:lang w:eastAsia="zh-CN" w:bidi="he-IL"/>
        </w:rPr>
        <w:t>[Insert Name of Issuer]</w:t>
      </w:r>
    </w:p>
    <w:p w14:paraId="4C3D3B39" w14:textId="77777777" w:rsidR="007D3E3C" w:rsidRPr="00A71166" w:rsidRDefault="007D3E3C" w:rsidP="007D3E3C">
      <w:pPr>
        <w:spacing w:before="240" w:after="240"/>
        <w:jc w:val="both"/>
        <w:rPr>
          <w:rFonts w:ascii="Times New Roman" w:hAnsi="Times New Roman"/>
          <w:sz w:val="22"/>
          <w:szCs w:val="22"/>
          <w:lang w:eastAsia="zh-CN" w:bidi="he-IL"/>
        </w:rPr>
      </w:pPr>
      <w:r w:rsidRPr="00A71166">
        <w:rPr>
          <w:rFonts w:ascii="Times New Roman" w:hAnsi="Times New Roman"/>
          <w:sz w:val="22"/>
          <w:szCs w:val="22"/>
          <w:lang w:eastAsia="zh-CN" w:bidi="he-IL"/>
        </w:rPr>
        <w:t>Ladies and Gentlemen,</w:t>
      </w:r>
    </w:p>
    <w:p w14:paraId="6415DDA9" w14:textId="0086DDF9" w:rsidR="007D3E3C" w:rsidRPr="00A71166" w:rsidRDefault="007D3E3C" w:rsidP="007D3E3C">
      <w:pPr>
        <w:spacing w:before="240" w:after="240"/>
        <w:ind w:firstLine="720"/>
        <w:jc w:val="both"/>
        <w:rPr>
          <w:rFonts w:ascii="Times New Roman" w:hAnsi="Times New Roman"/>
          <w:sz w:val="22"/>
          <w:szCs w:val="22"/>
          <w:lang w:eastAsia="zh-CN" w:bidi="he-IL"/>
        </w:rPr>
      </w:pPr>
      <w:r w:rsidRPr="00A71166">
        <w:rPr>
          <w:rFonts w:ascii="Times New Roman" w:hAnsi="Times New Roman"/>
          <w:sz w:val="22"/>
          <w:szCs w:val="22"/>
          <w:lang w:eastAsia="zh-CN" w:bidi="he-IL"/>
        </w:rPr>
        <w:t xml:space="preserve">We refer to a </w:t>
      </w:r>
      <w:r w:rsidR="000B3DA9" w:rsidRPr="00A71166">
        <w:rPr>
          <w:rFonts w:ascii="Times New Roman" w:hAnsi="Times New Roman"/>
          <w:sz w:val="22"/>
          <w:szCs w:val="22"/>
          <w:lang w:eastAsia="zh-CN" w:bidi="he-IL"/>
        </w:rPr>
        <w:t xml:space="preserve">commercial paper </w:t>
      </w:r>
      <w:r w:rsidRPr="00A71166">
        <w:rPr>
          <w:rFonts w:ascii="Times New Roman" w:hAnsi="Times New Roman"/>
          <w:sz w:val="22"/>
          <w:szCs w:val="22"/>
          <w:lang w:eastAsia="zh-CN" w:bidi="he-IL"/>
        </w:rPr>
        <w:t>dealer agreement, dated</w:t>
      </w:r>
      <w:r w:rsidR="000B3DA9" w:rsidRPr="00A71166">
        <w:rPr>
          <w:rFonts w:ascii="Times New Roman" w:hAnsi="Times New Roman"/>
          <w:sz w:val="22"/>
          <w:szCs w:val="22"/>
          <w:lang w:eastAsia="zh-CN" w:bidi="he-IL"/>
        </w:rPr>
        <w:t xml:space="preserve"> as of</w:t>
      </w:r>
      <w:r w:rsidRPr="00A71166">
        <w:rPr>
          <w:rFonts w:ascii="Times New Roman" w:hAnsi="Times New Roman"/>
          <w:sz w:val="22"/>
          <w:szCs w:val="22"/>
          <w:lang w:eastAsia="zh-CN" w:bidi="he-IL"/>
        </w:rPr>
        <w:t xml:space="preserve"> [  ], 20</w:t>
      </w:r>
      <w:r w:rsidR="00293907" w:rsidRPr="00A71166">
        <w:rPr>
          <w:rFonts w:ascii="Times New Roman" w:hAnsi="Times New Roman"/>
          <w:sz w:val="22"/>
          <w:szCs w:val="22"/>
          <w:lang w:eastAsia="zh-CN" w:bidi="he-IL"/>
        </w:rPr>
        <w:t>2</w:t>
      </w:r>
      <w:r w:rsidR="00D318D4">
        <w:rPr>
          <w:rFonts w:ascii="Times New Roman" w:hAnsi="Times New Roman"/>
          <w:sz w:val="22"/>
          <w:szCs w:val="22"/>
          <w:lang w:eastAsia="zh-CN" w:bidi="he-IL"/>
        </w:rPr>
        <w:t>[_]</w:t>
      </w:r>
      <w:r w:rsidRPr="00A71166">
        <w:rPr>
          <w:rFonts w:ascii="Times New Roman" w:hAnsi="Times New Roman"/>
          <w:sz w:val="22"/>
          <w:szCs w:val="22"/>
          <w:lang w:eastAsia="zh-CN" w:bidi="he-IL"/>
        </w:rPr>
        <w:t xml:space="preserve"> (as amended, supplemented and otherwise modified from time to time, the “</w:t>
      </w:r>
      <w:r w:rsidRPr="00A71166">
        <w:rPr>
          <w:rFonts w:ascii="Times New Roman" w:hAnsi="Times New Roman"/>
          <w:sz w:val="22"/>
          <w:szCs w:val="22"/>
          <w:u w:val="single"/>
          <w:lang w:eastAsia="zh-CN" w:bidi="he-IL"/>
        </w:rPr>
        <w:t>Dealer Agreement</w:t>
      </w:r>
      <w:r w:rsidRPr="00A71166">
        <w:rPr>
          <w:rFonts w:ascii="Times New Roman" w:hAnsi="Times New Roman"/>
          <w:sz w:val="22"/>
          <w:szCs w:val="22"/>
          <w:lang w:eastAsia="zh-CN" w:bidi="he-IL"/>
        </w:rPr>
        <w:t xml:space="preserve">”) </w:t>
      </w:r>
      <w:r w:rsidR="00584CFD" w:rsidRPr="00A71166">
        <w:rPr>
          <w:rFonts w:ascii="Times New Roman" w:hAnsi="Times New Roman"/>
          <w:sz w:val="22"/>
          <w:szCs w:val="22"/>
          <w:lang w:eastAsia="zh-CN" w:bidi="he-IL"/>
        </w:rPr>
        <w:t xml:space="preserve">among </w:t>
      </w:r>
      <w:r w:rsidR="003D1C3D" w:rsidRPr="00A71166">
        <w:rPr>
          <w:rFonts w:ascii="Times New Roman" w:hAnsi="Times New Roman"/>
          <w:sz w:val="22"/>
          <w:szCs w:val="22"/>
          <w:lang w:eastAsia="zh-CN" w:bidi="he-IL"/>
        </w:rPr>
        <w:t>[Insert Name of Issuer]</w:t>
      </w:r>
      <w:r w:rsidRPr="00A71166">
        <w:rPr>
          <w:rFonts w:ascii="Times New Roman" w:hAnsi="Times New Roman"/>
          <w:sz w:val="22"/>
          <w:szCs w:val="22"/>
          <w:lang w:eastAsia="zh-CN" w:bidi="he-IL"/>
        </w:rPr>
        <w:t>, as Issuer</w:t>
      </w:r>
      <w:r w:rsidR="000B3DA9" w:rsidRPr="00A71166">
        <w:rPr>
          <w:rFonts w:ascii="Times New Roman" w:hAnsi="Times New Roman"/>
          <w:sz w:val="22"/>
          <w:szCs w:val="22"/>
          <w:lang w:eastAsia="zh-CN" w:bidi="he-IL"/>
        </w:rPr>
        <w:t>,</w:t>
      </w:r>
      <w:r w:rsidRPr="00A71166">
        <w:rPr>
          <w:rFonts w:ascii="Times New Roman" w:hAnsi="Times New Roman"/>
          <w:sz w:val="22"/>
          <w:szCs w:val="22"/>
          <w:lang w:eastAsia="zh-CN" w:bidi="he-IL"/>
        </w:rPr>
        <w:t xml:space="preserve"> </w:t>
      </w:r>
      <w:r w:rsidR="00584CFD" w:rsidRPr="00A71166">
        <w:rPr>
          <w:rFonts w:ascii="Times New Roman" w:hAnsi="Times New Roman"/>
          <w:sz w:val="22"/>
          <w:szCs w:val="22"/>
          <w:lang w:eastAsia="zh-CN" w:bidi="he-IL"/>
        </w:rPr>
        <w:t xml:space="preserve">[Insert Name of Guarantor], as Guarantor </w:t>
      </w:r>
      <w:r w:rsidRPr="00A71166">
        <w:rPr>
          <w:rFonts w:ascii="Times New Roman" w:hAnsi="Times New Roman"/>
          <w:sz w:val="22"/>
          <w:szCs w:val="22"/>
          <w:lang w:eastAsia="zh-CN" w:bidi="he-IL"/>
        </w:rPr>
        <w:t xml:space="preserve">and you, as Dealer, relating to a </w:t>
      </w:r>
      <w:r w:rsidR="000B3DA9" w:rsidRPr="00A71166">
        <w:rPr>
          <w:rFonts w:ascii="Times New Roman" w:hAnsi="Times New Roman"/>
          <w:sz w:val="22"/>
          <w:szCs w:val="22"/>
          <w:lang w:eastAsia="zh-CN" w:bidi="he-IL"/>
        </w:rPr>
        <w:t>c</w:t>
      </w:r>
      <w:r w:rsidRPr="00A71166">
        <w:rPr>
          <w:rFonts w:ascii="Times New Roman" w:hAnsi="Times New Roman"/>
          <w:sz w:val="22"/>
          <w:szCs w:val="22"/>
          <w:lang w:eastAsia="zh-CN" w:bidi="he-IL"/>
        </w:rPr>
        <w:t xml:space="preserve">ommercial </w:t>
      </w:r>
      <w:r w:rsidR="000B3DA9" w:rsidRPr="00A71166">
        <w:rPr>
          <w:rFonts w:ascii="Times New Roman" w:hAnsi="Times New Roman"/>
          <w:sz w:val="22"/>
          <w:szCs w:val="22"/>
          <w:lang w:eastAsia="zh-CN" w:bidi="he-IL"/>
        </w:rPr>
        <w:t>p</w:t>
      </w:r>
      <w:r w:rsidRPr="00A71166">
        <w:rPr>
          <w:rFonts w:ascii="Times New Roman" w:hAnsi="Times New Roman"/>
          <w:sz w:val="22"/>
          <w:szCs w:val="22"/>
          <w:lang w:eastAsia="zh-CN" w:bidi="he-IL"/>
        </w:rPr>
        <w:t xml:space="preserve">aper </w:t>
      </w:r>
      <w:r w:rsidR="000B3DA9" w:rsidRPr="00A71166">
        <w:rPr>
          <w:rFonts w:ascii="Times New Roman" w:hAnsi="Times New Roman"/>
          <w:sz w:val="22"/>
          <w:szCs w:val="22"/>
          <w:lang w:eastAsia="zh-CN" w:bidi="he-IL"/>
        </w:rPr>
        <w:t>p</w:t>
      </w:r>
      <w:r w:rsidRPr="00A71166">
        <w:rPr>
          <w:rFonts w:ascii="Times New Roman" w:hAnsi="Times New Roman"/>
          <w:sz w:val="22"/>
          <w:szCs w:val="22"/>
          <w:lang w:eastAsia="zh-CN" w:bidi="he-IL"/>
        </w:rPr>
        <w:t xml:space="preserve">rogram with a Maximum Amount of $[_________] as of the date hereof. </w:t>
      </w:r>
    </w:p>
    <w:p w14:paraId="35E58213" w14:textId="1805CF91" w:rsidR="007D3E3C" w:rsidRPr="00A71166" w:rsidRDefault="007D3E3C" w:rsidP="007D3E3C">
      <w:pPr>
        <w:spacing w:before="240" w:after="240"/>
        <w:ind w:firstLine="720"/>
        <w:jc w:val="both"/>
        <w:rPr>
          <w:rFonts w:ascii="Times New Roman" w:hAnsi="Times New Roman"/>
          <w:sz w:val="22"/>
          <w:szCs w:val="22"/>
          <w:lang w:eastAsia="zh-CN" w:bidi="he-IL"/>
        </w:rPr>
      </w:pPr>
      <w:r w:rsidRPr="00A71166">
        <w:rPr>
          <w:rFonts w:ascii="Times New Roman" w:hAnsi="Times New Roman"/>
          <w:sz w:val="22"/>
          <w:szCs w:val="22"/>
          <w:lang w:eastAsia="zh-CN" w:bidi="he-IL"/>
        </w:rPr>
        <w:t xml:space="preserve">Capitalized terms used in this letter shall have </w:t>
      </w:r>
      <w:r w:rsidR="00C11237" w:rsidRPr="00A71166">
        <w:rPr>
          <w:rFonts w:ascii="Times New Roman" w:hAnsi="Times New Roman"/>
          <w:sz w:val="22"/>
          <w:szCs w:val="22"/>
          <w:lang w:eastAsia="zh-CN" w:bidi="he-IL"/>
        </w:rPr>
        <w:t xml:space="preserve">the </w:t>
      </w:r>
      <w:r w:rsidRPr="00A71166">
        <w:rPr>
          <w:rFonts w:ascii="Times New Roman" w:hAnsi="Times New Roman"/>
          <w:sz w:val="22"/>
          <w:szCs w:val="22"/>
          <w:lang w:eastAsia="zh-CN" w:bidi="he-IL"/>
        </w:rPr>
        <w:t>meanings ascribed to such terms in the Dealer Agreement.</w:t>
      </w:r>
    </w:p>
    <w:p w14:paraId="40BBD909" w14:textId="10CE0462" w:rsidR="007D3E3C" w:rsidRPr="00A71166" w:rsidRDefault="007D3E3C" w:rsidP="007D3E3C">
      <w:pPr>
        <w:spacing w:before="240" w:after="240"/>
        <w:ind w:firstLine="720"/>
        <w:jc w:val="both"/>
        <w:rPr>
          <w:rFonts w:ascii="Times New Roman" w:hAnsi="Times New Roman"/>
          <w:sz w:val="22"/>
          <w:szCs w:val="22"/>
          <w:lang w:eastAsia="zh-CN" w:bidi="he-IL"/>
        </w:rPr>
      </w:pPr>
      <w:r w:rsidRPr="00A71166">
        <w:rPr>
          <w:rFonts w:ascii="Times New Roman" w:hAnsi="Times New Roman"/>
          <w:sz w:val="22"/>
          <w:szCs w:val="22"/>
          <w:lang w:eastAsia="zh-CN" w:bidi="he-IL"/>
        </w:rPr>
        <w:t xml:space="preserve">In accordance with Section 1.8 of the Dealer Agreement, we hereby notify you that the Maximum Amount </w:t>
      </w:r>
      <w:r w:rsidR="00AE3F54" w:rsidRPr="00A71166">
        <w:rPr>
          <w:rFonts w:ascii="Times New Roman" w:hAnsi="Times New Roman"/>
          <w:sz w:val="22"/>
          <w:szCs w:val="22"/>
          <w:lang w:eastAsia="zh-CN" w:bidi="he-IL"/>
        </w:rPr>
        <w:t>shall</w:t>
      </w:r>
      <w:r w:rsidRPr="00A71166">
        <w:rPr>
          <w:rFonts w:ascii="Times New Roman" w:hAnsi="Times New Roman"/>
          <w:sz w:val="22"/>
          <w:szCs w:val="22"/>
          <w:lang w:eastAsia="zh-CN" w:bidi="he-IL"/>
        </w:rPr>
        <w:t xml:space="preserve"> be increased from [_________] to [_________], effective on [_____________], 20[__], subject to the delivery to you and the Issuing and Paying Agent of the following documents:</w:t>
      </w:r>
    </w:p>
    <w:p w14:paraId="018208B6" w14:textId="2D2F17EB" w:rsidR="007D3E3C" w:rsidRPr="00A71166" w:rsidRDefault="007D3E3C" w:rsidP="007D3E3C">
      <w:pPr>
        <w:spacing w:before="240" w:after="240"/>
        <w:ind w:left="1080" w:hanging="720"/>
        <w:jc w:val="both"/>
        <w:rPr>
          <w:rFonts w:ascii="Times New Roman" w:hAnsi="Times New Roman"/>
          <w:sz w:val="22"/>
          <w:szCs w:val="22"/>
          <w:lang w:eastAsia="zh-CN" w:bidi="he-IL"/>
        </w:rPr>
      </w:pPr>
      <w:bookmarkStart w:id="6" w:name="_Ref475481505"/>
      <w:r w:rsidRPr="00A71166">
        <w:rPr>
          <w:rFonts w:ascii="Times New Roman" w:hAnsi="Times New Roman"/>
          <w:sz w:val="22"/>
          <w:szCs w:val="22"/>
          <w:lang w:eastAsia="zh-CN" w:bidi="he-IL"/>
        </w:rPr>
        <w:t>(i)</w:t>
      </w:r>
      <w:r w:rsidRPr="00A71166">
        <w:rPr>
          <w:rFonts w:ascii="Times New Roman" w:hAnsi="Times New Roman"/>
          <w:sz w:val="22"/>
          <w:szCs w:val="22"/>
          <w:lang w:eastAsia="zh-CN" w:bidi="he-IL"/>
        </w:rPr>
        <w:tab/>
        <w:t xml:space="preserve">a certificate from a duly authorized officer of </w:t>
      </w:r>
      <w:r w:rsidR="00584CFD" w:rsidRPr="00A71166">
        <w:rPr>
          <w:rFonts w:ascii="Times New Roman" w:hAnsi="Times New Roman"/>
          <w:sz w:val="22"/>
          <w:szCs w:val="22"/>
          <w:lang w:eastAsia="zh-CN" w:bidi="he-IL"/>
        </w:rPr>
        <w:t xml:space="preserve">each of </w:t>
      </w:r>
      <w:r w:rsidRPr="00A71166">
        <w:rPr>
          <w:rFonts w:ascii="Times New Roman" w:hAnsi="Times New Roman"/>
          <w:sz w:val="22"/>
          <w:szCs w:val="22"/>
          <w:lang w:eastAsia="zh-CN" w:bidi="he-IL"/>
        </w:rPr>
        <w:t xml:space="preserve">the Issuer </w:t>
      </w:r>
      <w:r w:rsidR="00584CFD" w:rsidRPr="00A71166">
        <w:rPr>
          <w:rFonts w:ascii="Times New Roman" w:hAnsi="Times New Roman"/>
          <w:sz w:val="22"/>
          <w:szCs w:val="22"/>
          <w:lang w:eastAsia="zh-CN" w:bidi="he-IL"/>
        </w:rPr>
        <w:t xml:space="preserve">and the Guarantor </w:t>
      </w:r>
      <w:r w:rsidRPr="00A71166">
        <w:rPr>
          <w:rFonts w:ascii="Times New Roman" w:hAnsi="Times New Roman"/>
          <w:sz w:val="22"/>
          <w:szCs w:val="22"/>
          <w:lang w:eastAsia="zh-CN" w:bidi="he-IL"/>
        </w:rPr>
        <w:t>confirming that no changes have been made to the organizational documents of the Issuer</w:t>
      </w:r>
      <w:r w:rsidR="00584CFD" w:rsidRPr="00A71166">
        <w:rPr>
          <w:rFonts w:ascii="Times New Roman" w:hAnsi="Times New Roman"/>
          <w:sz w:val="22"/>
          <w:szCs w:val="22"/>
          <w:lang w:eastAsia="zh-CN" w:bidi="he-IL"/>
        </w:rPr>
        <w:t xml:space="preserve"> or the Guarantor</w:t>
      </w:r>
      <w:r w:rsidRPr="00A71166">
        <w:rPr>
          <w:rFonts w:ascii="Times New Roman" w:hAnsi="Times New Roman"/>
          <w:sz w:val="22"/>
          <w:szCs w:val="22"/>
          <w:lang w:eastAsia="zh-CN" w:bidi="he-IL"/>
        </w:rPr>
        <w:t xml:space="preserve"> since the date of the Dealer Agreement or, if there have been any changes, a certified copy of the related organizational documents currently in force;</w:t>
      </w:r>
      <w:bookmarkEnd w:id="6"/>
    </w:p>
    <w:p w14:paraId="1000E5FD" w14:textId="26EBC1DD" w:rsidR="007D3E3C" w:rsidRPr="00A71166" w:rsidRDefault="007D3E3C" w:rsidP="007D3E3C">
      <w:pPr>
        <w:spacing w:before="240" w:after="240"/>
        <w:ind w:left="1080" w:hanging="720"/>
        <w:jc w:val="both"/>
        <w:rPr>
          <w:rFonts w:ascii="Times New Roman" w:hAnsi="Times New Roman"/>
          <w:sz w:val="22"/>
          <w:szCs w:val="22"/>
          <w:lang w:eastAsia="zh-CN" w:bidi="he-IL"/>
        </w:rPr>
      </w:pPr>
      <w:bookmarkStart w:id="7" w:name="_Ref475481518"/>
      <w:r w:rsidRPr="00A71166">
        <w:rPr>
          <w:rFonts w:ascii="Times New Roman" w:hAnsi="Times New Roman"/>
          <w:sz w:val="22"/>
          <w:szCs w:val="22"/>
          <w:lang w:eastAsia="zh-CN" w:bidi="he-IL"/>
        </w:rPr>
        <w:t>(ii)</w:t>
      </w:r>
      <w:r w:rsidRPr="00A71166">
        <w:rPr>
          <w:rFonts w:ascii="Times New Roman" w:hAnsi="Times New Roman"/>
          <w:sz w:val="22"/>
          <w:szCs w:val="22"/>
          <w:lang w:eastAsia="zh-CN" w:bidi="he-IL"/>
        </w:rPr>
        <w:tab/>
        <w:t>certified copies of all documents evidencing the internal authorization and approval</w:t>
      </w:r>
      <w:r w:rsidR="00584CFD" w:rsidRPr="00A71166">
        <w:rPr>
          <w:rFonts w:ascii="Times New Roman" w:hAnsi="Times New Roman"/>
          <w:sz w:val="22"/>
          <w:szCs w:val="22"/>
          <w:lang w:eastAsia="zh-CN" w:bidi="he-IL"/>
        </w:rPr>
        <w:t xml:space="preserve"> of the Issuer and the Guarantor</w:t>
      </w:r>
      <w:r w:rsidRPr="00A71166">
        <w:rPr>
          <w:rFonts w:ascii="Times New Roman" w:hAnsi="Times New Roman"/>
          <w:sz w:val="22"/>
          <w:szCs w:val="22"/>
          <w:lang w:eastAsia="zh-CN" w:bidi="he-IL"/>
        </w:rPr>
        <w:t xml:space="preserve"> required for such an increase in the Maximum Amount;</w:t>
      </w:r>
      <w:bookmarkEnd w:id="7"/>
    </w:p>
    <w:p w14:paraId="15047877" w14:textId="0EF04528" w:rsidR="007D3E3C" w:rsidRPr="00A71166" w:rsidRDefault="007D3E3C" w:rsidP="007D3E3C">
      <w:pPr>
        <w:spacing w:before="240" w:after="240"/>
        <w:ind w:left="1080" w:hanging="720"/>
        <w:jc w:val="both"/>
        <w:rPr>
          <w:rFonts w:ascii="Times New Roman" w:hAnsi="Times New Roman"/>
          <w:sz w:val="22"/>
          <w:szCs w:val="22"/>
          <w:lang w:eastAsia="zh-CN" w:bidi="he-IL"/>
        </w:rPr>
      </w:pPr>
      <w:r w:rsidRPr="00A71166">
        <w:rPr>
          <w:rFonts w:ascii="Times New Roman" w:hAnsi="Times New Roman"/>
          <w:sz w:val="22"/>
          <w:szCs w:val="22"/>
          <w:lang w:eastAsia="zh-CN" w:bidi="he-IL"/>
        </w:rPr>
        <w:t>(</w:t>
      </w:r>
      <w:r w:rsidR="002843D6" w:rsidRPr="00A71166">
        <w:rPr>
          <w:rFonts w:ascii="Times New Roman" w:hAnsi="Times New Roman"/>
          <w:sz w:val="22"/>
          <w:szCs w:val="22"/>
          <w:lang w:eastAsia="zh-CN" w:bidi="he-IL"/>
        </w:rPr>
        <w:t>iii</w:t>
      </w:r>
      <w:r w:rsidRPr="00A71166">
        <w:rPr>
          <w:rFonts w:ascii="Times New Roman" w:hAnsi="Times New Roman"/>
          <w:sz w:val="22"/>
          <w:szCs w:val="22"/>
          <w:lang w:eastAsia="zh-CN" w:bidi="he-IL"/>
        </w:rPr>
        <w:t>)</w:t>
      </w:r>
      <w:r w:rsidRPr="00A71166">
        <w:rPr>
          <w:rFonts w:ascii="Times New Roman" w:hAnsi="Times New Roman"/>
          <w:sz w:val="22"/>
          <w:szCs w:val="22"/>
          <w:lang w:eastAsia="zh-CN" w:bidi="he-IL"/>
        </w:rPr>
        <w:tab/>
        <w:t xml:space="preserve">updated or supplemental </w:t>
      </w:r>
      <w:r w:rsidR="00237EC9" w:rsidRPr="00A71166">
        <w:rPr>
          <w:rFonts w:ascii="Times New Roman" w:hAnsi="Times New Roman"/>
          <w:sz w:val="22"/>
          <w:szCs w:val="22"/>
          <w:lang w:eastAsia="zh-CN" w:bidi="he-IL"/>
        </w:rPr>
        <w:t xml:space="preserve">Offering Materials </w:t>
      </w:r>
      <w:r w:rsidRPr="00A71166">
        <w:rPr>
          <w:rFonts w:ascii="Times New Roman" w:hAnsi="Times New Roman"/>
          <w:sz w:val="22"/>
          <w:szCs w:val="22"/>
          <w:lang w:eastAsia="zh-CN" w:bidi="he-IL"/>
        </w:rPr>
        <w:t>reflecting the increase in the Maximum Amount of the Program;</w:t>
      </w:r>
    </w:p>
    <w:p w14:paraId="678E3B3B" w14:textId="4D0CA1D6" w:rsidR="007D3E3C" w:rsidRPr="00A71166" w:rsidRDefault="007D3E3C" w:rsidP="007D3E3C">
      <w:pPr>
        <w:spacing w:before="240" w:after="240"/>
        <w:ind w:left="1080" w:hanging="720"/>
        <w:jc w:val="both"/>
        <w:rPr>
          <w:rFonts w:ascii="Times New Roman" w:hAnsi="Times New Roman"/>
          <w:sz w:val="22"/>
          <w:szCs w:val="22"/>
          <w:lang w:eastAsia="zh-CN" w:bidi="he-IL"/>
        </w:rPr>
      </w:pPr>
      <w:r w:rsidRPr="00A71166">
        <w:rPr>
          <w:rFonts w:ascii="Times New Roman" w:hAnsi="Times New Roman"/>
          <w:sz w:val="22"/>
          <w:szCs w:val="22"/>
          <w:lang w:eastAsia="zh-CN" w:bidi="he-IL"/>
        </w:rPr>
        <w:t>(</w:t>
      </w:r>
      <w:r w:rsidR="002843D6" w:rsidRPr="00A71166">
        <w:rPr>
          <w:rFonts w:ascii="Times New Roman" w:hAnsi="Times New Roman"/>
          <w:sz w:val="22"/>
          <w:szCs w:val="22"/>
          <w:lang w:eastAsia="zh-CN" w:bidi="he-IL"/>
        </w:rPr>
        <w:t>i</w:t>
      </w:r>
      <w:r w:rsidRPr="00A71166">
        <w:rPr>
          <w:rFonts w:ascii="Times New Roman" w:hAnsi="Times New Roman"/>
          <w:sz w:val="22"/>
          <w:szCs w:val="22"/>
          <w:lang w:eastAsia="zh-CN" w:bidi="he-IL"/>
        </w:rPr>
        <w:t>v)</w:t>
      </w:r>
      <w:r w:rsidRPr="00A71166">
        <w:rPr>
          <w:rFonts w:ascii="Times New Roman" w:hAnsi="Times New Roman"/>
          <w:sz w:val="22"/>
          <w:szCs w:val="22"/>
          <w:lang w:eastAsia="zh-CN" w:bidi="he-IL"/>
        </w:rPr>
        <w:tab/>
      </w:r>
      <w:r w:rsidR="00584CFD" w:rsidRPr="00A71166">
        <w:rPr>
          <w:rFonts w:ascii="Times New Roman" w:hAnsi="Times New Roman"/>
          <w:sz w:val="22"/>
          <w:szCs w:val="22"/>
          <w:lang w:eastAsia="zh-CN" w:bidi="he-IL"/>
        </w:rPr>
        <w:t xml:space="preserve">one or more </w:t>
      </w:r>
      <w:r w:rsidR="000F02FD" w:rsidRPr="00A71166">
        <w:rPr>
          <w:rFonts w:ascii="Times New Roman" w:hAnsi="Times New Roman"/>
          <w:sz w:val="22"/>
          <w:szCs w:val="22"/>
          <w:lang w:eastAsia="zh-CN" w:bidi="he-IL"/>
        </w:rPr>
        <w:t>legal opinion</w:t>
      </w:r>
      <w:r w:rsidR="00584CFD" w:rsidRPr="00A71166">
        <w:rPr>
          <w:rFonts w:ascii="Times New Roman" w:hAnsi="Times New Roman"/>
          <w:sz w:val="22"/>
          <w:szCs w:val="22"/>
          <w:lang w:eastAsia="zh-CN" w:bidi="he-IL"/>
        </w:rPr>
        <w:t>s</w:t>
      </w:r>
      <w:r w:rsidR="000F02FD" w:rsidRPr="00A71166">
        <w:rPr>
          <w:rFonts w:ascii="Times New Roman" w:hAnsi="Times New Roman"/>
          <w:sz w:val="22"/>
          <w:szCs w:val="22"/>
          <w:lang w:eastAsia="zh-CN" w:bidi="he-IL"/>
        </w:rPr>
        <w:t xml:space="preserve"> </w:t>
      </w:r>
      <w:r w:rsidR="00EE5B6C" w:rsidRPr="00A71166">
        <w:rPr>
          <w:rFonts w:ascii="Times New Roman" w:hAnsi="Times New Roman"/>
          <w:sz w:val="22"/>
          <w:szCs w:val="22"/>
          <w:lang w:eastAsia="zh-CN" w:bidi="he-IL"/>
        </w:rPr>
        <w:t>of counsel to the Issuer</w:t>
      </w:r>
      <w:r w:rsidR="00672587" w:rsidRPr="00A71166">
        <w:rPr>
          <w:rFonts w:ascii="Times New Roman" w:hAnsi="Times New Roman"/>
          <w:sz w:val="22"/>
          <w:szCs w:val="22"/>
          <w:lang w:eastAsia="zh-CN" w:bidi="he-IL"/>
        </w:rPr>
        <w:t xml:space="preserve"> and the Guarantor</w:t>
      </w:r>
      <w:r w:rsidR="00EE5B6C" w:rsidRPr="00A71166">
        <w:rPr>
          <w:rFonts w:ascii="Times New Roman" w:hAnsi="Times New Roman"/>
          <w:sz w:val="22"/>
          <w:szCs w:val="22"/>
          <w:lang w:eastAsia="zh-CN" w:bidi="he-IL"/>
        </w:rPr>
        <w:t>, addressed to the Dealer, in form and substance reasonably satisfactory to the Dealer</w:t>
      </w:r>
      <w:r w:rsidRPr="00A71166">
        <w:rPr>
          <w:rFonts w:ascii="Times New Roman" w:hAnsi="Times New Roman"/>
          <w:sz w:val="22"/>
          <w:szCs w:val="22"/>
          <w:lang w:eastAsia="zh-CN" w:bidi="he-IL"/>
        </w:rPr>
        <w:t>; and</w:t>
      </w:r>
    </w:p>
    <w:p w14:paraId="568323A5" w14:textId="51343D4C" w:rsidR="007D3E3C" w:rsidRPr="00A71166" w:rsidRDefault="007D3E3C" w:rsidP="007D3E3C">
      <w:pPr>
        <w:spacing w:before="240" w:after="240"/>
        <w:ind w:left="1080" w:hanging="720"/>
        <w:jc w:val="both"/>
        <w:rPr>
          <w:rFonts w:ascii="Times New Roman" w:hAnsi="Times New Roman"/>
          <w:sz w:val="22"/>
          <w:szCs w:val="22"/>
          <w:lang w:eastAsia="zh-CN" w:bidi="he-IL"/>
        </w:rPr>
      </w:pPr>
      <w:r w:rsidRPr="00A71166">
        <w:rPr>
          <w:rFonts w:ascii="Times New Roman" w:hAnsi="Times New Roman"/>
          <w:sz w:val="22"/>
          <w:szCs w:val="22"/>
          <w:lang w:eastAsia="zh-CN" w:bidi="he-IL"/>
        </w:rPr>
        <w:t>(v)</w:t>
      </w:r>
      <w:r w:rsidRPr="00A71166">
        <w:rPr>
          <w:rFonts w:ascii="Times New Roman" w:hAnsi="Times New Roman"/>
          <w:sz w:val="22"/>
          <w:szCs w:val="22"/>
          <w:lang w:eastAsia="zh-CN" w:bidi="he-IL"/>
        </w:rPr>
        <w:tab/>
        <w:t>evidence from each nationally recognized statistical rating organization providing a rating of the Notes either (A) that such rating has been confirmed after giving effect to the increase in the Maximum Amount or (B) setting forth any change in the rating of the Notes after giving effect to the increase in the Maximum Amount.</w:t>
      </w:r>
    </w:p>
    <w:p w14:paraId="45EF5B53" w14:textId="67E7C71C" w:rsidR="002843D6" w:rsidRPr="00A71166" w:rsidRDefault="002843D6" w:rsidP="00F22CD5">
      <w:pPr>
        <w:spacing w:before="240" w:after="240"/>
        <w:ind w:firstLine="720"/>
        <w:jc w:val="both"/>
        <w:rPr>
          <w:rFonts w:ascii="Times New Roman" w:hAnsi="Times New Roman"/>
          <w:sz w:val="22"/>
          <w:szCs w:val="22"/>
          <w:lang w:eastAsia="zh-CN" w:bidi="he-IL"/>
        </w:rPr>
      </w:pPr>
      <w:r w:rsidRPr="00A71166">
        <w:rPr>
          <w:rFonts w:ascii="Times New Roman" w:hAnsi="Times New Roman"/>
          <w:sz w:val="22"/>
          <w:szCs w:val="22"/>
          <w:lang w:eastAsia="zh-CN" w:bidi="he-IL"/>
        </w:rPr>
        <w:t xml:space="preserve">By its execution hereof, the Issuer shall be deemed to represent and warrant that its representations and warranties in the Dealer Agreement are true and correct </w:t>
      </w:r>
      <w:r w:rsidR="004C6928" w:rsidRPr="00A71166">
        <w:rPr>
          <w:rFonts w:ascii="Times New Roman" w:hAnsi="Times New Roman"/>
          <w:sz w:val="22"/>
          <w:szCs w:val="22"/>
          <w:lang w:eastAsia="zh-CN" w:bidi="he-IL"/>
        </w:rPr>
        <w:t xml:space="preserve">on and as of the date hereof as if made on and as of the date hereof </w:t>
      </w:r>
      <w:r w:rsidRPr="00A71166">
        <w:rPr>
          <w:rFonts w:ascii="Times New Roman" w:hAnsi="Times New Roman"/>
          <w:sz w:val="22"/>
          <w:szCs w:val="22"/>
          <w:lang w:eastAsia="zh-CN" w:bidi="he-IL"/>
        </w:rPr>
        <w:t>and shall be true and correct</w:t>
      </w:r>
      <w:r w:rsidR="004C6928" w:rsidRPr="00A71166">
        <w:rPr>
          <w:rFonts w:ascii="Times New Roman" w:hAnsi="Times New Roman"/>
          <w:sz w:val="22"/>
          <w:szCs w:val="22"/>
          <w:lang w:eastAsia="zh-CN" w:bidi="he-IL"/>
        </w:rPr>
        <w:t xml:space="preserve"> </w:t>
      </w:r>
      <w:r w:rsidRPr="00A71166">
        <w:rPr>
          <w:rFonts w:ascii="Times New Roman" w:hAnsi="Times New Roman"/>
          <w:sz w:val="22"/>
          <w:szCs w:val="22"/>
          <w:lang w:eastAsia="zh-CN" w:bidi="he-IL"/>
        </w:rPr>
        <w:t>after giving effect to the increase of the Maximum Amount.</w:t>
      </w:r>
      <w:r w:rsidR="004C6928" w:rsidRPr="00A71166">
        <w:rPr>
          <w:sz w:val="22"/>
          <w:szCs w:val="22"/>
        </w:rPr>
        <w:t xml:space="preserve"> </w:t>
      </w:r>
    </w:p>
    <w:p w14:paraId="7FFB4947" w14:textId="5952A070" w:rsidR="00840C57" w:rsidRDefault="007D3E3C" w:rsidP="007D3E3C">
      <w:pPr>
        <w:keepNext/>
        <w:keepLines/>
        <w:spacing w:before="240" w:after="240"/>
        <w:jc w:val="center"/>
        <w:rPr>
          <w:rFonts w:ascii="Times New Roman" w:hAnsi="Times New Roman"/>
          <w:sz w:val="22"/>
          <w:szCs w:val="22"/>
          <w:lang w:eastAsia="zh-CN" w:bidi="he-IL"/>
        </w:rPr>
      </w:pPr>
      <w:r w:rsidRPr="00A71166">
        <w:rPr>
          <w:rFonts w:ascii="Times New Roman" w:hAnsi="Times New Roman"/>
          <w:sz w:val="22"/>
          <w:szCs w:val="22"/>
          <w:lang w:eastAsia="zh-CN" w:bidi="he-IL"/>
        </w:rPr>
        <w:t>[</w:t>
      </w:r>
      <w:r w:rsidRPr="00A71166">
        <w:rPr>
          <w:rFonts w:ascii="Times New Roman" w:hAnsi="Times New Roman"/>
          <w:i/>
          <w:sz w:val="22"/>
          <w:szCs w:val="22"/>
          <w:lang w:eastAsia="zh-CN" w:bidi="he-IL"/>
        </w:rPr>
        <w:t>Signature Page Follows</w:t>
      </w:r>
      <w:r w:rsidRPr="00A71166">
        <w:rPr>
          <w:rFonts w:ascii="Times New Roman" w:hAnsi="Times New Roman"/>
          <w:sz w:val="22"/>
          <w:szCs w:val="22"/>
          <w:lang w:eastAsia="zh-CN" w:bidi="he-IL"/>
        </w:rPr>
        <w:t>]</w:t>
      </w:r>
    </w:p>
    <w:p w14:paraId="51E1C78C" w14:textId="77777777" w:rsidR="00840C57" w:rsidRDefault="00840C57">
      <w:pPr>
        <w:rPr>
          <w:rFonts w:ascii="Times New Roman" w:hAnsi="Times New Roman"/>
          <w:sz w:val="22"/>
          <w:szCs w:val="22"/>
          <w:lang w:eastAsia="zh-CN" w:bidi="he-IL"/>
        </w:rPr>
      </w:pPr>
      <w:r>
        <w:rPr>
          <w:rFonts w:ascii="Times New Roman" w:hAnsi="Times New Roman"/>
          <w:sz w:val="22"/>
          <w:szCs w:val="22"/>
          <w:lang w:eastAsia="zh-CN" w:bidi="he-IL"/>
        </w:rPr>
        <w:br w:type="page"/>
      </w:r>
    </w:p>
    <w:p w14:paraId="2987C9BA" w14:textId="77777777" w:rsidR="007D3E3C" w:rsidRPr="00A71166" w:rsidRDefault="007D3E3C" w:rsidP="007D3E3C">
      <w:pPr>
        <w:keepNext/>
        <w:keepLines/>
        <w:spacing w:before="240" w:after="240"/>
        <w:jc w:val="center"/>
        <w:rPr>
          <w:rFonts w:ascii="Times New Roman" w:hAnsi="Times New Roman"/>
          <w:sz w:val="22"/>
          <w:szCs w:val="22"/>
          <w:lang w:eastAsia="zh-CN" w:bidi="he-IL"/>
        </w:rPr>
      </w:pPr>
    </w:p>
    <w:p w14:paraId="6E0FA63D" w14:textId="12B329A9" w:rsidR="007D3E3C" w:rsidRPr="00A71166" w:rsidRDefault="007D3E3C" w:rsidP="007D3E3C">
      <w:pPr>
        <w:spacing w:before="240" w:after="240"/>
        <w:ind w:firstLine="720"/>
        <w:jc w:val="both"/>
        <w:rPr>
          <w:rFonts w:ascii="Times New Roman" w:hAnsi="Times New Roman"/>
          <w:sz w:val="22"/>
          <w:szCs w:val="22"/>
          <w:lang w:eastAsia="zh-CN" w:bidi="he-IL"/>
        </w:rPr>
      </w:pPr>
      <w:r w:rsidRPr="00A71166">
        <w:rPr>
          <w:rFonts w:ascii="Times New Roman" w:hAnsi="Times New Roman"/>
          <w:sz w:val="22"/>
          <w:szCs w:val="22"/>
          <w:lang w:eastAsia="zh-CN" w:bidi="he-IL"/>
        </w:rPr>
        <w:t>IN WITNESS WHEREOF, the Issuer has caused this Letter to be executed as of the date and year first above written.</w:t>
      </w:r>
    </w:p>
    <w:p w14:paraId="32183AF5" w14:textId="77777777" w:rsidR="00672587" w:rsidRPr="00A71166" w:rsidRDefault="00672587" w:rsidP="00672587">
      <w:pPr>
        <w:keepLines/>
        <w:tabs>
          <w:tab w:val="left" w:pos="5472"/>
          <w:tab w:val="left" w:pos="6192"/>
          <w:tab w:val="right" w:pos="9360"/>
        </w:tabs>
        <w:spacing w:before="480"/>
        <w:ind w:left="5040"/>
        <w:rPr>
          <w:rFonts w:ascii="Times New Roman" w:hAnsi="Times New Roman"/>
          <w:sz w:val="22"/>
          <w:szCs w:val="22"/>
          <w:lang w:eastAsia="zh-CN" w:bidi="he-IL"/>
        </w:rPr>
      </w:pPr>
      <w:r w:rsidRPr="00A71166">
        <w:rPr>
          <w:rFonts w:ascii="Times New Roman" w:hAnsi="Times New Roman"/>
          <w:sz w:val="22"/>
          <w:szCs w:val="22"/>
          <w:lang w:eastAsia="zh-CN" w:bidi="he-IL"/>
        </w:rPr>
        <w:t>[Name of Issuer],</w:t>
      </w:r>
      <w:r w:rsidRPr="00A71166">
        <w:rPr>
          <w:rFonts w:ascii="Times New Roman" w:hAnsi="Times New Roman"/>
          <w:sz w:val="22"/>
          <w:szCs w:val="22"/>
          <w:lang w:eastAsia="zh-CN" w:bidi="he-IL"/>
        </w:rPr>
        <w:br/>
        <w:t>as Issuer</w:t>
      </w:r>
    </w:p>
    <w:p w14:paraId="61DC189F" w14:textId="0B9B4191" w:rsidR="00672587" w:rsidRPr="00A71166" w:rsidRDefault="00672587" w:rsidP="00672587">
      <w:pPr>
        <w:keepLines/>
        <w:tabs>
          <w:tab w:val="left" w:pos="5472"/>
          <w:tab w:val="left" w:pos="6192"/>
          <w:tab w:val="right" w:pos="9360"/>
        </w:tabs>
        <w:spacing w:before="480"/>
        <w:ind w:left="5040"/>
        <w:rPr>
          <w:rFonts w:ascii="Times New Roman" w:hAnsi="Times New Roman"/>
          <w:sz w:val="22"/>
          <w:szCs w:val="22"/>
          <w:lang w:eastAsia="zh-CN" w:bidi="he-IL"/>
        </w:rPr>
      </w:pPr>
      <w:r w:rsidRPr="00A71166">
        <w:rPr>
          <w:rFonts w:ascii="Times New Roman" w:hAnsi="Times New Roman"/>
          <w:sz w:val="22"/>
          <w:szCs w:val="22"/>
          <w:lang w:eastAsia="zh-CN" w:bidi="he-IL"/>
        </w:rPr>
        <w:t>________________________________</w:t>
      </w:r>
      <w:r w:rsidRPr="00A71166">
        <w:rPr>
          <w:rFonts w:ascii="Times New Roman" w:hAnsi="Times New Roman"/>
          <w:sz w:val="22"/>
          <w:szCs w:val="22"/>
          <w:lang w:eastAsia="zh-CN" w:bidi="he-IL"/>
        </w:rPr>
        <w:br/>
        <w:t xml:space="preserve">Name: </w:t>
      </w:r>
      <w:r w:rsidRPr="00A71166">
        <w:rPr>
          <w:rFonts w:ascii="Times New Roman" w:hAnsi="Times New Roman"/>
          <w:sz w:val="22"/>
          <w:szCs w:val="22"/>
          <w:lang w:eastAsia="zh-CN" w:bidi="he-IL"/>
        </w:rPr>
        <w:tab/>
      </w:r>
      <w:r w:rsidRPr="00A71166">
        <w:rPr>
          <w:rFonts w:ascii="Times New Roman" w:hAnsi="Times New Roman"/>
          <w:sz w:val="22"/>
          <w:szCs w:val="22"/>
          <w:lang w:eastAsia="zh-CN" w:bidi="he-IL"/>
        </w:rPr>
        <w:br/>
        <w:t>Title:</w:t>
      </w:r>
      <w:r w:rsidRPr="00A71166">
        <w:rPr>
          <w:rFonts w:ascii="Times New Roman" w:hAnsi="Times New Roman"/>
          <w:sz w:val="22"/>
          <w:szCs w:val="22"/>
          <w:lang w:eastAsia="zh-CN" w:bidi="he-IL"/>
        </w:rPr>
        <w:tab/>
      </w:r>
    </w:p>
    <w:p w14:paraId="69696D31" w14:textId="14941F85" w:rsidR="007D3E3C" w:rsidRPr="00A71166" w:rsidRDefault="000556EF" w:rsidP="007D3E3C">
      <w:pPr>
        <w:keepLines/>
        <w:tabs>
          <w:tab w:val="left" w:pos="5472"/>
          <w:tab w:val="left" w:pos="6192"/>
          <w:tab w:val="right" w:pos="9360"/>
        </w:tabs>
        <w:spacing w:before="480"/>
        <w:ind w:left="5040"/>
        <w:rPr>
          <w:rFonts w:ascii="Times New Roman" w:hAnsi="Times New Roman"/>
          <w:sz w:val="22"/>
          <w:szCs w:val="22"/>
          <w:lang w:eastAsia="zh-CN" w:bidi="he-IL"/>
        </w:rPr>
      </w:pPr>
      <w:r w:rsidRPr="00A71166">
        <w:rPr>
          <w:rFonts w:ascii="Times New Roman" w:hAnsi="Times New Roman"/>
          <w:sz w:val="22"/>
          <w:szCs w:val="22"/>
          <w:lang w:eastAsia="zh-CN" w:bidi="he-IL"/>
        </w:rPr>
        <w:t xml:space="preserve">[Name of </w:t>
      </w:r>
      <w:r w:rsidR="00672587" w:rsidRPr="00A71166">
        <w:rPr>
          <w:rFonts w:ascii="Times New Roman" w:hAnsi="Times New Roman"/>
          <w:sz w:val="22"/>
          <w:szCs w:val="22"/>
          <w:lang w:eastAsia="zh-CN" w:bidi="he-IL"/>
        </w:rPr>
        <w:t>Guarantor</w:t>
      </w:r>
      <w:r w:rsidRPr="00A71166">
        <w:rPr>
          <w:rFonts w:ascii="Times New Roman" w:hAnsi="Times New Roman"/>
          <w:sz w:val="22"/>
          <w:szCs w:val="22"/>
          <w:lang w:eastAsia="zh-CN" w:bidi="he-IL"/>
        </w:rPr>
        <w:t>]</w:t>
      </w:r>
      <w:r w:rsidR="007D3E3C" w:rsidRPr="00A71166">
        <w:rPr>
          <w:rFonts w:ascii="Times New Roman" w:hAnsi="Times New Roman"/>
          <w:sz w:val="22"/>
          <w:szCs w:val="22"/>
          <w:lang w:eastAsia="zh-CN" w:bidi="he-IL"/>
        </w:rPr>
        <w:t>,</w:t>
      </w:r>
      <w:r w:rsidR="007D3E3C" w:rsidRPr="00A71166">
        <w:rPr>
          <w:rFonts w:ascii="Times New Roman" w:hAnsi="Times New Roman"/>
          <w:sz w:val="22"/>
          <w:szCs w:val="22"/>
          <w:lang w:eastAsia="zh-CN" w:bidi="he-IL"/>
        </w:rPr>
        <w:br/>
        <w:t xml:space="preserve">as </w:t>
      </w:r>
      <w:r w:rsidR="00672587" w:rsidRPr="00A71166">
        <w:rPr>
          <w:rFonts w:ascii="Times New Roman" w:hAnsi="Times New Roman"/>
          <w:sz w:val="22"/>
          <w:szCs w:val="22"/>
          <w:lang w:eastAsia="zh-CN" w:bidi="he-IL"/>
        </w:rPr>
        <w:t>Guarantor</w:t>
      </w:r>
    </w:p>
    <w:p w14:paraId="7F034090" w14:textId="28276F6F" w:rsidR="00F2321F" w:rsidRPr="00A71166" w:rsidRDefault="007D3E3C" w:rsidP="007D3E3C">
      <w:pPr>
        <w:keepLines/>
        <w:tabs>
          <w:tab w:val="left" w:pos="5472"/>
          <w:tab w:val="left" w:pos="6192"/>
          <w:tab w:val="right" w:pos="9360"/>
        </w:tabs>
        <w:spacing w:before="480"/>
        <w:ind w:left="5040"/>
        <w:rPr>
          <w:rFonts w:ascii="Times New Roman" w:hAnsi="Times New Roman"/>
          <w:sz w:val="22"/>
          <w:szCs w:val="22"/>
          <w:lang w:eastAsia="zh-CN" w:bidi="he-IL"/>
        </w:rPr>
      </w:pPr>
      <w:r w:rsidRPr="00A71166">
        <w:rPr>
          <w:rFonts w:ascii="Times New Roman" w:hAnsi="Times New Roman"/>
          <w:sz w:val="22"/>
          <w:szCs w:val="22"/>
          <w:lang w:eastAsia="zh-CN" w:bidi="he-IL"/>
        </w:rPr>
        <w:t>________________________________</w:t>
      </w:r>
      <w:r w:rsidRPr="00A71166">
        <w:rPr>
          <w:rFonts w:ascii="Times New Roman" w:hAnsi="Times New Roman"/>
          <w:sz w:val="22"/>
          <w:szCs w:val="22"/>
          <w:lang w:eastAsia="zh-CN" w:bidi="he-IL"/>
        </w:rPr>
        <w:br/>
        <w:t xml:space="preserve">Name: </w:t>
      </w:r>
      <w:r w:rsidRPr="00A71166">
        <w:rPr>
          <w:rFonts w:ascii="Times New Roman" w:hAnsi="Times New Roman"/>
          <w:sz w:val="22"/>
          <w:szCs w:val="22"/>
          <w:lang w:eastAsia="zh-CN" w:bidi="he-IL"/>
        </w:rPr>
        <w:tab/>
      </w:r>
      <w:r w:rsidRPr="00A71166">
        <w:rPr>
          <w:rFonts w:ascii="Times New Roman" w:hAnsi="Times New Roman"/>
          <w:sz w:val="22"/>
          <w:szCs w:val="22"/>
          <w:lang w:eastAsia="zh-CN" w:bidi="he-IL"/>
        </w:rPr>
        <w:br/>
        <w:t>Title:</w:t>
      </w:r>
      <w:r w:rsidRPr="00A71166">
        <w:rPr>
          <w:rFonts w:ascii="Times New Roman" w:hAnsi="Times New Roman"/>
          <w:sz w:val="22"/>
          <w:szCs w:val="22"/>
          <w:lang w:eastAsia="zh-CN" w:bidi="he-IL"/>
        </w:rPr>
        <w:tab/>
      </w:r>
    </w:p>
    <w:p w14:paraId="0BEAB012" w14:textId="03E4CA09" w:rsidR="0072380A" w:rsidRPr="00A71166" w:rsidRDefault="0072380A">
      <w:pPr>
        <w:rPr>
          <w:rFonts w:ascii="Times New Roman" w:hAnsi="Times New Roman"/>
          <w:sz w:val="22"/>
          <w:szCs w:val="22"/>
          <w:lang w:eastAsia="zh-CN" w:bidi="he-IL"/>
        </w:rPr>
      </w:pPr>
      <w:r w:rsidRPr="00A71166">
        <w:rPr>
          <w:rFonts w:ascii="Times New Roman" w:hAnsi="Times New Roman"/>
          <w:sz w:val="22"/>
          <w:szCs w:val="22"/>
          <w:lang w:eastAsia="zh-CN" w:bidi="he-IL"/>
        </w:rPr>
        <w:br w:type="page"/>
      </w:r>
    </w:p>
    <w:p w14:paraId="04F08DFE" w14:textId="3299BAFE" w:rsidR="0072380A" w:rsidRPr="0072380A" w:rsidRDefault="0072380A" w:rsidP="0072380A">
      <w:pPr>
        <w:tabs>
          <w:tab w:val="left" w:pos="360"/>
        </w:tabs>
        <w:spacing w:before="120" w:after="160" w:line="280" w:lineRule="exact"/>
        <w:rPr>
          <w:rFonts w:ascii="Times New Roman" w:hAnsi="Times New Roman"/>
          <w:b/>
          <w:bCs/>
          <w:szCs w:val="24"/>
        </w:rPr>
      </w:pPr>
      <w:r w:rsidRPr="0072380A">
        <w:rPr>
          <w:rFonts w:ascii="Times New Roman" w:hAnsi="Times New Roman"/>
          <w:b/>
          <w:bCs/>
          <w:szCs w:val="24"/>
        </w:rPr>
        <w:lastRenderedPageBreak/>
        <w:t xml:space="preserve">Exhibit </w:t>
      </w:r>
      <w:r w:rsidR="001F0D70">
        <w:rPr>
          <w:rFonts w:ascii="Times New Roman" w:hAnsi="Times New Roman"/>
          <w:b/>
          <w:bCs/>
          <w:szCs w:val="24"/>
        </w:rPr>
        <w:t>C</w:t>
      </w:r>
    </w:p>
    <w:p w14:paraId="1B840585" w14:textId="77777777" w:rsidR="0072380A" w:rsidRPr="0072380A" w:rsidRDefault="0072380A" w:rsidP="0072380A">
      <w:pPr>
        <w:tabs>
          <w:tab w:val="left" w:pos="360"/>
        </w:tabs>
        <w:spacing w:before="120" w:after="160" w:line="280" w:lineRule="exact"/>
        <w:rPr>
          <w:rFonts w:ascii="Times New Roman" w:hAnsi="Times New Roman"/>
          <w:b/>
          <w:bCs/>
          <w:szCs w:val="24"/>
        </w:rPr>
      </w:pPr>
      <w:r w:rsidRPr="0072380A">
        <w:rPr>
          <w:rFonts w:ascii="Times New Roman" w:hAnsi="Times New Roman"/>
          <w:b/>
          <w:bCs/>
          <w:szCs w:val="24"/>
        </w:rPr>
        <w:t>Form of Guarantee</w:t>
      </w:r>
    </w:p>
    <w:p w14:paraId="32D4744B" w14:textId="77777777" w:rsidR="0072380A" w:rsidRPr="0072380A" w:rsidRDefault="0072380A" w:rsidP="0072380A">
      <w:pPr>
        <w:tabs>
          <w:tab w:val="left" w:pos="360"/>
        </w:tabs>
        <w:spacing w:before="120" w:after="160" w:line="280" w:lineRule="exact"/>
        <w:jc w:val="center"/>
        <w:rPr>
          <w:rFonts w:ascii="Times New Roman" w:hAnsi="Times New Roman"/>
          <w:b/>
          <w:bCs/>
          <w:sz w:val="22"/>
          <w:szCs w:val="22"/>
        </w:rPr>
      </w:pPr>
      <w:r w:rsidRPr="0072380A">
        <w:rPr>
          <w:rFonts w:ascii="Times New Roman" w:hAnsi="Times New Roman"/>
          <w:b/>
          <w:bCs/>
          <w:sz w:val="22"/>
          <w:szCs w:val="22"/>
        </w:rPr>
        <w:t>GUARANTEE</w:t>
      </w:r>
    </w:p>
    <w:p w14:paraId="1B7E24D5" w14:textId="77777777" w:rsidR="0072380A" w:rsidRPr="0072380A" w:rsidRDefault="0072380A" w:rsidP="0072380A">
      <w:pPr>
        <w:tabs>
          <w:tab w:val="left" w:pos="360"/>
        </w:tabs>
        <w:spacing w:before="120" w:after="160" w:line="280" w:lineRule="exact"/>
        <w:rPr>
          <w:rFonts w:ascii="Times New Roman" w:hAnsi="Times New Roman"/>
          <w:sz w:val="22"/>
          <w:szCs w:val="22"/>
        </w:rPr>
      </w:pPr>
      <w:r w:rsidRPr="0072380A">
        <w:rPr>
          <w:rFonts w:ascii="Times New Roman" w:hAnsi="Times New Roman"/>
          <w:sz w:val="22"/>
          <w:szCs w:val="22"/>
        </w:rPr>
        <w:t>GUARANTEE, dated as of __________, ____, of _______________, a corporation organized under the laws of __________ (the “Guarantor”).</w:t>
      </w:r>
    </w:p>
    <w:p w14:paraId="5157D313" w14:textId="77777777" w:rsidR="0072380A" w:rsidRPr="0072380A" w:rsidRDefault="0072380A" w:rsidP="0072380A">
      <w:pPr>
        <w:tabs>
          <w:tab w:val="left" w:pos="360"/>
        </w:tabs>
        <w:spacing w:before="120" w:after="160" w:line="280" w:lineRule="exact"/>
        <w:rPr>
          <w:rFonts w:ascii="Times New Roman" w:hAnsi="Times New Roman"/>
          <w:sz w:val="22"/>
          <w:szCs w:val="22"/>
        </w:rPr>
      </w:pPr>
      <w:r w:rsidRPr="0072380A">
        <w:rPr>
          <w:rFonts w:ascii="Times New Roman" w:hAnsi="Times New Roman"/>
          <w:sz w:val="22"/>
          <w:szCs w:val="22"/>
        </w:rPr>
        <w:t>The Guarantor, for value received, hereby agrees as follows for the benefit of the holders from time to time of the Notes hereinafter described:</w:t>
      </w:r>
    </w:p>
    <w:p w14:paraId="3149559F" w14:textId="2345F054" w:rsidR="0072380A" w:rsidRPr="0072380A" w:rsidRDefault="0072380A" w:rsidP="0072380A">
      <w:pPr>
        <w:tabs>
          <w:tab w:val="left" w:pos="360"/>
        </w:tabs>
        <w:spacing w:before="120" w:after="160" w:line="280" w:lineRule="exact"/>
        <w:ind w:left="720" w:hanging="720"/>
        <w:rPr>
          <w:rFonts w:ascii="Times New Roman" w:hAnsi="Times New Roman"/>
          <w:sz w:val="22"/>
          <w:szCs w:val="22"/>
        </w:rPr>
      </w:pPr>
      <w:r w:rsidRPr="0072380A">
        <w:rPr>
          <w:rFonts w:ascii="Times New Roman" w:hAnsi="Times New Roman"/>
          <w:sz w:val="22"/>
          <w:szCs w:val="22"/>
        </w:rPr>
        <w:tab/>
        <w:t>1.</w:t>
      </w:r>
      <w:r w:rsidRPr="0072380A">
        <w:rPr>
          <w:rFonts w:ascii="Times New Roman" w:hAnsi="Times New Roman"/>
          <w:sz w:val="22"/>
          <w:szCs w:val="22"/>
        </w:rPr>
        <w:tab/>
        <w:t xml:space="preserve">The Guarantor irrevocably guarantees payment in full, as and when the same becomes due and payable, of the principal of and interest, if any, on the promissory notes (the “Notes”) issued by ____________________, </w:t>
      </w:r>
      <w:r w:rsidRPr="0072380A">
        <w:rPr>
          <w:rFonts w:ascii="Times New Roman" w:hAnsi="Times New Roman"/>
          <w:sz w:val="22"/>
        </w:rPr>
        <w:t xml:space="preserve">a ____________ </w:t>
      </w:r>
      <w:r w:rsidR="00672587">
        <w:rPr>
          <w:rFonts w:ascii="Times New Roman" w:hAnsi="Times New Roman"/>
          <w:sz w:val="22"/>
        </w:rPr>
        <w:t>[</w:t>
      </w:r>
      <w:r w:rsidRPr="0072380A">
        <w:rPr>
          <w:rFonts w:ascii="Times New Roman" w:hAnsi="Times New Roman"/>
          <w:sz w:val="22"/>
        </w:rPr>
        <w:t>corporation</w:t>
      </w:r>
      <w:r w:rsidR="00672587">
        <w:rPr>
          <w:rFonts w:ascii="Times New Roman" w:hAnsi="Times New Roman"/>
          <w:sz w:val="22"/>
        </w:rPr>
        <w:t>]</w:t>
      </w:r>
      <w:r w:rsidRPr="0072380A">
        <w:rPr>
          <w:rFonts w:ascii="Times New Roman" w:hAnsi="Times New Roman"/>
          <w:sz w:val="22"/>
        </w:rPr>
        <w:t xml:space="preserve"> and a [wholly-owned subsidiary</w:t>
      </w:r>
      <w:r w:rsidR="00672587">
        <w:rPr>
          <w:rFonts w:ascii="Times New Roman" w:hAnsi="Times New Roman"/>
          <w:sz w:val="22"/>
        </w:rPr>
        <w:t>]</w:t>
      </w:r>
      <w:r w:rsidRPr="0072380A">
        <w:rPr>
          <w:rFonts w:ascii="Times New Roman" w:hAnsi="Times New Roman"/>
          <w:sz w:val="22"/>
        </w:rPr>
        <w:t xml:space="preserve"> of the Guarantor (the “Issuer”), from time to time pursuant to the Issuing and Paying Agent Agreement, dated as of __________, ____, as the same may be amended, supplemented or modified from time to time, between the Issuer, the Guarantor and ____________ (the “Agreement”).</w:t>
      </w:r>
    </w:p>
    <w:p w14:paraId="656686CE" w14:textId="77777777" w:rsidR="0072380A" w:rsidRPr="0072380A" w:rsidRDefault="0072380A" w:rsidP="0072380A">
      <w:pPr>
        <w:tabs>
          <w:tab w:val="left" w:pos="360"/>
        </w:tabs>
        <w:spacing w:before="120" w:after="160" w:line="280" w:lineRule="exact"/>
        <w:ind w:left="720" w:hanging="720"/>
        <w:rPr>
          <w:rFonts w:ascii="Times New Roman" w:hAnsi="Times New Roman"/>
          <w:sz w:val="22"/>
          <w:szCs w:val="22"/>
        </w:rPr>
      </w:pPr>
      <w:r w:rsidRPr="0072380A">
        <w:rPr>
          <w:rFonts w:ascii="Times New Roman" w:hAnsi="Times New Roman"/>
          <w:sz w:val="22"/>
          <w:szCs w:val="22"/>
        </w:rPr>
        <w:tab/>
        <w:t>2.</w:t>
      </w:r>
      <w:r w:rsidRPr="0072380A">
        <w:rPr>
          <w:rFonts w:ascii="Times New Roman" w:hAnsi="Times New Roman"/>
          <w:sz w:val="22"/>
          <w:szCs w:val="22"/>
        </w:rPr>
        <w:tab/>
        <w:t>The Guarantor’s obligations under this Guarantee shall be unconditional, irrespective of the validity or enforceability of any provision of the Agreement or the Notes.</w:t>
      </w:r>
    </w:p>
    <w:p w14:paraId="294E8912" w14:textId="77777777" w:rsidR="0072380A" w:rsidRPr="0072380A" w:rsidRDefault="0072380A" w:rsidP="0072380A">
      <w:pPr>
        <w:tabs>
          <w:tab w:val="left" w:pos="360"/>
        </w:tabs>
        <w:spacing w:before="120" w:after="160" w:line="280" w:lineRule="exact"/>
        <w:ind w:left="720" w:hanging="720"/>
        <w:rPr>
          <w:rFonts w:ascii="Times New Roman" w:hAnsi="Times New Roman"/>
          <w:sz w:val="22"/>
          <w:szCs w:val="22"/>
        </w:rPr>
      </w:pPr>
      <w:r w:rsidRPr="0072380A">
        <w:rPr>
          <w:rFonts w:ascii="Times New Roman" w:hAnsi="Times New Roman"/>
          <w:sz w:val="22"/>
          <w:szCs w:val="22"/>
        </w:rPr>
        <w:tab/>
        <w:t>3.</w:t>
      </w:r>
      <w:r w:rsidRPr="0072380A">
        <w:rPr>
          <w:rFonts w:ascii="Times New Roman" w:hAnsi="Times New Roman"/>
          <w:sz w:val="22"/>
          <w:szCs w:val="22"/>
        </w:rPr>
        <w:tab/>
        <w:t xml:space="preserve">This Guarantee is a guaranty of the due and punctual </w:t>
      </w:r>
      <w:r w:rsidRPr="0072380A">
        <w:rPr>
          <w:rFonts w:ascii="Times New Roman" w:hAnsi="Times New Roman"/>
          <w:sz w:val="22"/>
        </w:rPr>
        <w:t xml:space="preserve">payment (and not merely of collection) of </w:t>
      </w:r>
      <w:r w:rsidRPr="0072380A">
        <w:rPr>
          <w:rFonts w:ascii="Times New Roman" w:hAnsi="Times New Roman"/>
          <w:sz w:val="22"/>
          <w:szCs w:val="22"/>
        </w:rPr>
        <w:t>the principal of and interest, if any, on the Notes by the Issuer and shall remain in full force and effect until all amounts have been validly, finally and irrev</w:t>
      </w:r>
      <w:r w:rsidRPr="0072380A">
        <w:rPr>
          <w:rFonts w:ascii="Times New Roman" w:hAnsi="Times New Roman"/>
          <w:sz w:val="22"/>
        </w:rPr>
        <w:t>ocably paid in full, and shall not be affected in any way by any circumstance or condition whatsoever, including without limitation (a) the absence of any action to obtain such amounts from the Issuer, (b) any variation, extension, waiver, compromise or release of any or all of the obligations of the Issuer under the Agreement of the Notes or of any collateral security therefore or (c) any change in the existence or structure of, or the bankruptcy or insolvency of, the Issuer or by any other circumstance (other than by complete, irrevocable payment) that might otherwise constitute a legal or equitable discharge or defense of a guarantor or surety.  The Guarantor waives all requirements as to diligence, presentment, demand for payment, protest and notice of any kind with respect to the Agreement and the Notes.</w:t>
      </w:r>
    </w:p>
    <w:p w14:paraId="44ED3129" w14:textId="77777777" w:rsidR="0072380A" w:rsidRPr="0072380A" w:rsidRDefault="0072380A" w:rsidP="0072380A">
      <w:pPr>
        <w:tabs>
          <w:tab w:val="left" w:pos="360"/>
        </w:tabs>
        <w:spacing w:before="120" w:after="160" w:line="280" w:lineRule="exact"/>
        <w:ind w:left="720" w:hanging="720"/>
        <w:rPr>
          <w:rFonts w:ascii="Times New Roman" w:hAnsi="Times New Roman"/>
          <w:sz w:val="22"/>
          <w:szCs w:val="22"/>
        </w:rPr>
      </w:pPr>
      <w:r w:rsidRPr="0072380A">
        <w:rPr>
          <w:rFonts w:ascii="Times New Roman" w:hAnsi="Times New Roman"/>
          <w:sz w:val="22"/>
          <w:szCs w:val="22"/>
        </w:rPr>
        <w:tab/>
        <w:t>4.</w:t>
      </w:r>
      <w:r w:rsidRPr="0072380A">
        <w:rPr>
          <w:rFonts w:ascii="Times New Roman" w:hAnsi="Times New Roman"/>
          <w:sz w:val="22"/>
          <w:szCs w:val="22"/>
        </w:rPr>
        <w:tab/>
        <w:t>In the event of a default in payment of principal of or interest on any Notes, the holders of such Notes, may institute legal proceedings directly</w:t>
      </w:r>
      <w:r w:rsidRPr="0072380A">
        <w:rPr>
          <w:rFonts w:ascii="Times New Roman" w:hAnsi="Times New Roman"/>
          <w:sz w:val="22"/>
        </w:rPr>
        <w:t xml:space="preserve"> against the Guarantor to enforce this Guarantee without first </w:t>
      </w:r>
      <w:r w:rsidRPr="0072380A">
        <w:rPr>
          <w:rFonts w:ascii="Times New Roman" w:hAnsi="Times New Roman"/>
          <w:sz w:val="22"/>
          <w:szCs w:val="22"/>
        </w:rPr>
        <w:t>proceeding against the Issuer.</w:t>
      </w:r>
    </w:p>
    <w:p w14:paraId="5A83BF85" w14:textId="77777777" w:rsidR="0072380A" w:rsidRPr="0072380A" w:rsidRDefault="0072380A" w:rsidP="0072380A">
      <w:pPr>
        <w:tabs>
          <w:tab w:val="left" w:pos="360"/>
        </w:tabs>
        <w:spacing w:before="120" w:after="160" w:line="280" w:lineRule="exact"/>
        <w:ind w:left="720" w:hanging="720"/>
        <w:rPr>
          <w:rFonts w:ascii="Times New Roman" w:hAnsi="Times New Roman"/>
          <w:sz w:val="22"/>
          <w:szCs w:val="22"/>
        </w:rPr>
      </w:pPr>
      <w:r w:rsidRPr="0072380A">
        <w:rPr>
          <w:rFonts w:ascii="Times New Roman" w:hAnsi="Times New Roman"/>
          <w:sz w:val="22"/>
          <w:szCs w:val="22"/>
        </w:rPr>
        <w:tab/>
        <w:t>5.</w:t>
      </w:r>
      <w:r w:rsidRPr="0072380A">
        <w:rPr>
          <w:rFonts w:ascii="Times New Roman" w:hAnsi="Times New Roman"/>
          <w:sz w:val="22"/>
          <w:szCs w:val="22"/>
        </w:rPr>
        <w:tab/>
        <w:t>This Guarantee shall remain in full force and effect or shall be reinstated (as the case may be) if at any time any payment by the Issuer of the principal of or interest, if any, on the Notes, in whole or in part, is rescinded or must otherwise be returned by the holder upon the insolvency, bankruptcy or reorganization of the Issuer or otherwise, all as though such payment had not been made.</w:t>
      </w:r>
    </w:p>
    <w:p w14:paraId="0B57320D" w14:textId="77777777" w:rsidR="0072380A" w:rsidRDefault="0072380A" w:rsidP="0072380A">
      <w:pPr>
        <w:tabs>
          <w:tab w:val="left" w:pos="360"/>
        </w:tabs>
        <w:spacing w:before="120" w:after="160" w:line="280" w:lineRule="exact"/>
        <w:ind w:left="720" w:hanging="720"/>
        <w:rPr>
          <w:rFonts w:ascii="Times New Roman" w:hAnsi="Times New Roman"/>
          <w:sz w:val="22"/>
          <w:szCs w:val="22"/>
        </w:rPr>
      </w:pPr>
      <w:r w:rsidRPr="0072380A">
        <w:rPr>
          <w:rFonts w:ascii="Times New Roman" w:hAnsi="Times New Roman"/>
          <w:sz w:val="22"/>
          <w:szCs w:val="22"/>
        </w:rPr>
        <w:tab/>
        <w:t>6.</w:t>
      </w:r>
      <w:r w:rsidRPr="0072380A">
        <w:rPr>
          <w:rFonts w:ascii="Times New Roman" w:hAnsi="Times New Roman"/>
          <w:sz w:val="22"/>
          <w:szCs w:val="22"/>
        </w:rPr>
        <w:tab/>
        <w:t>This Guarantee shall be governed by and construed in accordance with the laws of the State of New York.</w:t>
      </w:r>
    </w:p>
    <w:p w14:paraId="1FAC45C2" w14:textId="687E81AF" w:rsidR="008A4B07" w:rsidRPr="0072380A" w:rsidRDefault="008A4B07" w:rsidP="0072380A">
      <w:pPr>
        <w:tabs>
          <w:tab w:val="left" w:pos="360"/>
        </w:tabs>
        <w:spacing w:before="120" w:after="160" w:line="280" w:lineRule="exact"/>
        <w:ind w:left="720" w:hanging="720"/>
        <w:rPr>
          <w:rFonts w:ascii="Times New Roman" w:hAnsi="Times New Roman"/>
          <w:sz w:val="22"/>
          <w:szCs w:val="22"/>
        </w:rPr>
      </w:pPr>
      <w:r>
        <w:rPr>
          <w:rFonts w:ascii="Times New Roman" w:hAnsi="Times New Roman"/>
          <w:sz w:val="22"/>
          <w:szCs w:val="22"/>
        </w:rPr>
        <w:tab/>
        <w:t>7.</w:t>
      </w:r>
      <w:r>
        <w:rPr>
          <w:rFonts w:ascii="Times New Roman" w:hAnsi="Times New Roman"/>
          <w:sz w:val="22"/>
          <w:szCs w:val="22"/>
        </w:rPr>
        <w:tab/>
        <w:t>The Guarantor hereby irrevocably accepts and submits to the non-exclusive jurisdiction of the United States federal courts located in the Borough of Manhattan and the courts of the State of New York located in the Borough of Manhattan.</w:t>
      </w:r>
    </w:p>
    <w:p w14:paraId="34480539" w14:textId="5E13A2C9" w:rsidR="0072380A" w:rsidRPr="0072380A" w:rsidRDefault="0072380A" w:rsidP="00E26F49">
      <w:pPr>
        <w:rPr>
          <w:rFonts w:ascii="Times New Roman" w:hAnsi="Times New Roman"/>
          <w:sz w:val="22"/>
          <w:szCs w:val="22"/>
        </w:rPr>
      </w:pPr>
      <w:r w:rsidRPr="0072380A">
        <w:rPr>
          <w:rFonts w:ascii="Times New Roman" w:hAnsi="Times New Roman"/>
          <w:sz w:val="22"/>
          <w:szCs w:val="22"/>
        </w:rPr>
        <w:t>IN WITNESS WHEREOF, the Guarantor has caused this Guarantee to be duly executed as of the day and year first above written.</w:t>
      </w:r>
    </w:p>
    <w:p w14:paraId="49FD2609" w14:textId="77777777" w:rsidR="0072380A" w:rsidRPr="0072380A" w:rsidRDefault="0072380A" w:rsidP="0072380A">
      <w:pPr>
        <w:tabs>
          <w:tab w:val="left" w:pos="360"/>
        </w:tabs>
        <w:spacing w:before="120" w:after="160" w:line="280" w:lineRule="exact"/>
        <w:jc w:val="center"/>
        <w:rPr>
          <w:rFonts w:ascii="Times New Roman" w:hAnsi="Times New Roman"/>
          <w:sz w:val="22"/>
          <w:szCs w:val="22"/>
        </w:rPr>
      </w:pPr>
      <w:r w:rsidRPr="0072380A">
        <w:rPr>
          <w:rFonts w:ascii="Times New Roman" w:hAnsi="Times New Roman"/>
          <w:sz w:val="22"/>
          <w:szCs w:val="22"/>
        </w:rPr>
        <w:tab/>
      </w:r>
      <w:r w:rsidRPr="0072380A">
        <w:rPr>
          <w:rFonts w:ascii="Times New Roman" w:hAnsi="Times New Roman"/>
          <w:sz w:val="22"/>
          <w:szCs w:val="22"/>
        </w:rPr>
        <w:tab/>
      </w:r>
      <w:r w:rsidRPr="0072380A">
        <w:rPr>
          <w:rFonts w:ascii="Times New Roman" w:hAnsi="Times New Roman"/>
          <w:sz w:val="22"/>
          <w:szCs w:val="22"/>
        </w:rPr>
        <w:tab/>
      </w:r>
      <w:r w:rsidRPr="0072380A">
        <w:rPr>
          <w:rFonts w:ascii="Times New Roman" w:hAnsi="Times New Roman"/>
          <w:sz w:val="22"/>
          <w:szCs w:val="22"/>
        </w:rPr>
        <w:tab/>
      </w:r>
      <w:r w:rsidRPr="0072380A">
        <w:rPr>
          <w:rFonts w:ascii="Times New Roman" w:hAnsi="Times New Roman"/>
          <w:sz w:val="22"/>
          <w:szCs w:val="22"/>
        </w:rPr>
        <w:tab/>
      </w:r>
      <w:r w:rsidRPr="0072380A">
        <w:rPr>
          <w:rFonts w:ascii="Times New Roman" w:hAnsi="Times New Roman"/>
          <w:sz w:val="22"/>
          <w:szCs w:val="22"/>
        </w:rPr>
        <w:tab/>
      </w:r>
      <w:r w:rsidRPr="0072380A">
        <w:rPr>
          <w:rFonts w:ascii="Times New Roman" w:hAnsi="Times New Roman"/>
          <w:sz w:val="22"/>
          <w:szCs w:val="22"/>
        </w:rPr>
        <w:tab/>
      </w:r>
      <w:r w:rsidRPr="0072380A">
        <w:rPr>
          <w:rFonts w:ascii="Times New Roman" w:hAnsi="Times New Roman"/>
          <w:sz w:val="22"/>
          <w:szCs w:val="22"/>
        </w:rPr>
        <w:tab/>
        <w:t>[Name of Guarantor]</w:t>
      </w:r>
    </w:p>
    <w:p w14:paraId="57A62763" w14:textId="3DE58698" w:rsidR="00840C57" w:rsidRDefault="0072380A" w:rsidP="00A71166">
      <w:pPr>
        <w:tabs>
          <w:tab w:val="left" w:pos="360"/>
        </w:tabs>
        <w:spacing w:before="120" w:after="160" w:line="280" w:lineRule="exact"/>
        <w:jc w:val="right"/>
        <w:rPr>
          <w:rFonts w:ascii="Times New Roman" w:hAnsi="Times New Roman"/>
          <w:sz w:val="22"/>
          <w:szCs w:val="22"/>
        </w:rPr>
      </w:pPr>
      <w:r w:rsidRPr="0072380A">
        <w:rPr>
          <w:rFonts w:ascii="Times New Roman" w:hAnsi="Times New Roman"/>
          <w:sz w:val="22"/>
          <w:szCs w:val="22"/>
        </w:rPr>
        <w:lastRenderedPageBreak/>
        <w:t>By: ________________________</w:t>
      </w:r>
    </w:p>
    <w:p w14:paraId="38238C25" w14:textId="4A2A2038" w:rsidR="00DA20EB" w:rsidRDefault="00DA20EB" w:rsidP="00DA20EB">
      <w:pPr>
        <w:pStyle w:val="SKDocID"/>
      </w:pPr>
    </w:p>
    <w:sectPr w:rsidR="00DA20EB">
      <w:footerReference w:type="default" r:id="rId10"/>
      <w:headerReference w:type="first" r:id="rId11"/>
      <w:footerReference w:type="first" r:id="rId12"/>
      <w:pgSz w:w="12240" w:h="15840"/>
      <w:pgMar w:top="531" w:right="1625" w:bottom="332" w:left="169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96577" w14:textId="77777777" w:rsidR="008B24C3" w:rsidRDefault="008B24C3" w:rsidP="00BF741A">
      <w:r>
        <w:separator/>
      </w:r>
    </w:p>
  </w:endnote>
  <w:endnote w:type="continuationSeparator" w:id="0">
    <w:p w14:paraId="570E8DA7" w14:textId="77777777" w:rsidR="008B24C3" w:rsidRDefault="008B24C3" w:rsidP="00BF741A">
      <w:r>
        <w:continuationSeparator/>
      </w:r>
    </w:p>
  </w:endnote>
  <w:endnote w:type="continuationNotice" w:id="1">
    <w:p w14:paraId="61AE4D26" w14:textId="77777777" w:rsidR="008B24C3" w:rsidRDefault="008B2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harterITC BT">
    <w:altName w:val="Cambria"/>
    <w:charset w:val="00"/>
    <w:family w:val="roman"/>
    <w:pitch w:val="variable"/>
    <w:sig w:usb0="00000087" w:usb1="00000000" w:usb2="00000000" w:usb3="00000000" w:csb0="0000001B" w:csb1="00000000"/>
  </w:font>
  <w:font w:name="Times New">
    <w:panose1 w:val="00000000000000000000"/>
    <w:charset w:val="00"/>
    <w:family w:val="roman"/>
    <w:notTrueType/>
    <w:pitch w:val="default"/>
    <w:sig w:usb0="00000003" w:usb1="00000000" w:usb2="00000000" w:usb3="00000000" w:csb0="00000001" w:csb1="00000000"/>
  </w:font>
  <w:font w:name="Helvetica-Black">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nion Pro">
    <w:charset w:val="00"/>
    <w:family w:val="roman"/>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DF970" w14:textId="77777777" w:rsidR="00CD5095" w:rsidRDefault="00CD5095">
    <w:pPr>
      <w:pStyle w:val="Footer"/>
      <w:framePr w:wrap="around" w:vAnchor="text" w:hAnchor="margin" w:xAlign="center"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523ACA">
      <w:rPr>
        <w:rStyle w:val="PageNumber"/>
        <w:rFonts w:ascii="Times New Roman" w:hAnsi="Times New Roman"/>
        <w:noProof/>
      </w:rPr>
      <w:t>2</w:t>
    </w:r>
    <w:r>
      <w:rPr>
        <w:rStyle w:val="PageNumber"/>
        <w:rFonts w:ascii="Times New Roman" w:hAnsi="Times New Roman"/>
      </w:rPr>
      <w:fldChar w:fldCharType="end"/>
    </w:r>
  </w:p>
  <w:p w14:paraId="0DF52C82" w14:textId="50CCFD9C" w:rsidR="00D85FDC" w:rsidRDefault="00D85FDC">
    <w:pPr>
      <w:pStyle w:val="Footer"/>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C8449" w14:textId="450489C1" w:rsidR="00D85FDC" w:rsidRDefault="00D85FDC">
    <w:pPr>
      <w:pStyle w:val="Footer"/>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2088A" w14:textId="77777777" w:rsidR="008B24C3" w:rsidRDefault="008B24C3" w:rsidP="00BF741A">
      <w:r>
        <w:separator/>
      </w:r>
    </w:p>
  </w:footnote>
  <w:footnote w:type="continuationSeparator" w:id="0">
    <w:p w14:paraId="6BF82857" w14:textId="77777777" w:rsidR="008B24C3" w:rsidRDefault="008B24C3" w:rsidP="00BF741A">
      <w:r>
        <w:continuationSeparator/>
      </w:r>
    </w:p>
  </w:footnote>
  <w:footnote w:type="continuationNotice" w:id="1">
    <w:p w14:paraId="219EE33F" w14:textId="77777777" w:rsidR="008B24C3" w:rsidRDefault="008B24C3"/>
  </w:footnote>
  <w:footnote w:id="2">
    <w:p w14:paraId="4F58C24F" w14:textId="4B639069" w:rsidR="00DE3305" w:rsidRDefault="00DE3305">
      <w:pPr>
        <w:pStyle w:val="FootnoteText"/>
      </w:pPr>
      <w:r>
        <w:rPr>
          <w:rStyle w:val="FootnoteReference"/>
        </w:rPr>
        <w:footnoteRef/>
      </w:r>
      <w:r>
        <w:t xml:space="preserve"> To be included if the Guarantor is a subsidiary of the Issuer.</w:t>
      </w:r>
    </w:p>
  </w:footnote>
  <w:footnote w:id="3">
    <w:p w14:paraId="29A0DF52" w14:textId="77777777" w:rsidR="00CD5095" w:rsidRDefault="00CD5095" w:rsidP="00BD6DC7">
      <w:pPr>
        <w:pStyle w:val="FootnoteText"/>
      </w:pPr>
      <w:r>
        <w:rPr>
          <w:rStyle w:val="FootnoteReference"/>
        </w:rPr>
        <w:footnoteRef/>
      </w:r>
      <w:r>
        <w:t xml:space="preserve"> In addition, Notes may be issued utilizing index rates other than those set forth herein, including, without limitation, SOFR, BSBY, Ameribor, and OBFR, and such index rates may be incorporated by (i) modifying this </w:t>
      </w:r>
      <w:r w:rsidRPr="001D4995">
        <w:t xml:space="preserve">Statement of Terms </w:t>
      </w:r>
      <w:r>
        <w:t>through the Supplement to accommodate such alternative index rates, or (ii) expressly modifying the Statement of Terms to include such index rates.</w:t>
      </w:r>
    </w:p>
  </w:footnote>
  <w:footnote w:id="4">
    <w:p w14:paraId="61B08E7D" w14:textId="12E6E65F" w:rsidR="00CD5095" w:rsidRDefault="00CD5095">
      <w:pPr>
        <w:pStyle w:val="FootnoteText"/>
      </w:pPr>
      <w:r>
        <w:rPr>
          <w:rStyle w:val="FootnoteReference"/>
        </w:rPr>
        <w:footnoteRef/>
      </w:r>
      <w:r>
        <w:t xml:space="preserve"> Choose based on nature of Issuer</w:t>
      </w:r>
    </w:p>
  </w:footnote>
  <w:footnote w:id="5">
    <w:p w14:paraId="59284E86" w14:textId="56BC45AF" w:rsidR="00CD5095" w:rsidRDefault="00CD5095">
      <w:pPr>
        <w:pStyle w:val="FootnoteText"/>
      </w:pPr>
      <w:r>
        <w:rPr>
          <w:rStyle w:val="FootnoteReference"/>
        </w:rPr>
        <w:footnoteRef/>
      </w:r>
      <w:r>
        <w:t xml:space="preserve"> Choose based on nature of Issuer</w:t>
      </w:r>
    </w:p>
  </w:footnote>
  <w:footnote w:id="6">
    <w:p w14:paraId="74EFC305" w14:textId="77777777" w:rsidR="00CD5095" w:rsidRPr="009B7AE5" w:rsidRDefault="00CD5095" w:rsidP="00BD6DC7">
      <w:pPr>
        <w:pStyle w:val="SAnotes"/>
        <w:ind w:left="180" w:hanging="180"/>
        <w:rPr>
          <w:sz w:val="20"/>
        </w:rPr>
      </w:pPr>
      <w:r w:rsidRPr="009B7AE5">
        <w:rPr>
          <w:rStyle w:val="FootnoteReference"/>
          <w:sz w:val="20"/>
        </w:rPr>
        <w:footnoteRef/>
      </w:r>
      <w:r w:rsidRPr="009B7AE5">
        <w:rPr>
          <w:sz w:val="20"/>
        </w:rPr>
        <w:t xml:space="preserve"> Unlike single payment notes, where a default arises only at the stated maturity, interest-bearing notes with multiple payment dates should contain a default provision permitting acceleration of the maturity if the Issuer defaults on an interest payment.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C7403" w14:textId="4C5B8775" w:rsidR="00303D05" w:rsidRPr="00715436" w:rsidRDefault="00303D05" w:rsidP="00303D05">
    <w:pPr>
      <w:pStyle w:val="Header"/>
      <w:jc w:val="right"/>
      <w:rPr>
        <w:b/>
        <w:bCs/>
      </w:rPr>
    </w:pPr>
    <w:r w:rsidRPr="00715436">
      <w:rPr>
        <w:b/>
        <w:bCs/>
      </w:rPr>
      <w:t>SIFMA Model Form Version: 6/26/2025</w:t>
    </w:r>
    <w:r w:rsidR="00E629D7">
      <w:rPr>
        <w:b/>
        <w:bCs/>
      </w:rPr>
      <w:t xml:space="preserve"> DIDG</w:t>
    </w:r>
  </w:p>
  <w:p w14:paraId="309B90A0" w14:textId="77777777" w:rsidR="00303D05" w:rsidRDefault="00303D05" w:rsidP="00303D05">
    <w:pPr>
      <w:pStyle w:val="Header"/>
      <w:tabs>
        <w:tab w:val="left" w:pos="4739"/>
      </w:tabs>
      <w:ind w:left="-630"/>
    </w:pPr>
    <w:r>
      <w:tab/>
    </w:r>
    <w:r>
      <w:tab/>
    </w:r>
    <w:r>
      <w:tab/>
    </w:r>
  </w:p>
  <w:p w14:paraId="5B08156D" w14:textId="77777777" w:rsidR="00303D05" w:rsidRPr="004C5209" w:rsidRDefault="00303D05" w:rsidP="00303D05">
    <w:pPr>
      <w:pStyle w:val="Header"/>
      <w:ind w:left="-630"/>
    </w:pPr>
    <w:r>
      <w:rPr>
        <w:noProof/>
      </w:rPr>
      <w:drawing>
        <wp:inline distT="0" distB="0" distL="0" distR="0" wp14:anchorId="602AE57D" wp14:editId="68B2E604">
          <wp:extent cx="1943100" cy="876300"/>
          <wp:effectExtent l="0" t="0" r="0" b="0"/>
          <wp:docPr id="2" name="Picture 2" descr="SIFMA_logo_rgb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FMA_logo_rgb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876300"/>
                  </a:xfrm>
                  <a:prstGeom prst="rect">
                    <a:avLst/>
                  </a:prstGeom>
                  <a:noFill/>
                  <a:ln>
                    <a:noFill/>
                  </a:ln>
                </pic:spPr>
              </pic:pic>
            </a:graphicData>
          </a:graphic>
        </wp:inline>
      </w:drawing>
    </w:r>
  </w:p>
  <w:p w14:paraId="49DB38BD" w14:textId="77777777" w:rsidR="00303D05" w:rsidRDefault="00303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7FF"/>
    <w:multiLevelType w:val="multilevel"/>
    <w:tmpl w:val="BF3029A0"/>
    <w:name w:val="FlatBulletsListTemplate"/>
    <w:styleLink w:val="FlatBulletsList"/>
    <w:lvl w:ilvl="0">
      <w:start w:val="1"/>
      <w:numFmt w:val="bullet"/>
      <w:pStyle w:val="BulletPara"/>
      <w:lvlText w:val=""/>
      <w:lvlJc w:val="left"/>
      <w:pPr>
        <w:ind w:left="1080" w:hanging="360"/>
      </w:pPr>
      <w:rPr>
        <w:rFonts w:ascii="Symbol" w:hAnsi="Symbol" w:hint="default"/>
      </w:rPr>
    </w:lvl>
    <w:lvl w:ilvl="1">
      <w:start w:val="1"/>
      <w:numFmt w:val="bullet"/>
      <w:lvlRestart w:val="0"/>
      <w:pStyle w:val="BulletPara2"/>
      <w:lvlText w:val=""/>
      <w:lvlJc w:val="left"/>
      <w:pPr>
        <w:ind w:left="1440" w:hanging="360"/>
      </w:pPr>
      <w:rPr>
        <w:rFonts w:ascii="Symbol" w:hAnsi="Symbol" w:hint="default"/>
      </w:rPr>
    </w:lvl>
    <w:lvl w:ilvl="2">
      <w:start w:val="1"/>
      <w:numFmt w:val="bullet"/>
      <w:lvlRestart w:val="0"/>
      <w:pStyle w:val="BulletParaAlt"/>
      <w:lvlText w:val="▪"/>
      <w:lvlJc w:val="left"/>
      <w:pPr>
        <w:ind w:left="1080" w:hanging="360"/>
      </w:pPr>
      <w:rPr>
        <w:rFonts w:ascii="Times New Roman" w:hAnsi="Times New Roman" w:cs="Times New Roman" w:hint="default"/>
        <w:color w:val="auto"/>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b/>
        <w:i w:val="0"/>
      </w:rPr>
    </w:lvl>
    <w:lvl w:ilvl="5">
      <w:start w:val="1"/>
      <w:numFmt w:val="none"/>
      <w:lvlRestart w:val="0"/>
      <w:suff w:val="nothing"/>
      <w:lvlText w:val=""/>
      <w:lvlJc w:val="left"/>
      <w:pPr>
        <w:ind w:left="0" w:firstLine="0"/>
      </w:pPr>
      <w:rPr>
        <w:rFonts w:hint="default"/>
        <w:b/>
        <w:i w:val="0"/>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color w:val="auto"/>
      </w:rPr>
    </w:lvl>
    <w:lvl w:ilvl="8">
      <w:start w:val="1"/>
      <w:numFmt w:val="none"/>
      <w:lvlRestart w:val="0"/>
      <w:suff w:val="nothing"/>
      <w:lvlText w:val="%9"/>
      <w:lvlJc w:val="left"/>
      <w:pPr>
        <w:ind w:left="0" w:firstLine="0"/>
      </w:pPr>
      <w:rPr>
        <w:rFonts w:hint="default"/>
      </w:rPr>
    </w:lvl>
  </w:abstractNum>
  <w:abstractNum w:abstractNumId="1" w15:restartNumberingAfterBreak="0">
    <w:nsid w:val="079343AC"/>
    <w:multiLevelType w:val="singleLevel"/>
    <w:tmpl w:val="BAA6206C"/>
    <w:lvl w:ilvl="0">
      <w:start w:val="1"/>
      <w:numFmt w:val="bullet"/>
      <w:pStyle w:val="BodyText"/>
      <w:lvlText w:val=""/>
      <w:lvlJc w:val="left"/>
      <w:pPr>
        <w:tabs>
          <w:tab w:val="num" w:pos="576"/>
        </w:tabs>
        <w:ind w:left="576" w:hanging="288"/>
      </w:pPr>
      <w:rPr>
        <w:rFonts w:ascii="Symbol" w:hAnsi="Symbol"/>
        <w:position w:val="2"/>
        <w:sz w:val="18"/>
      </w:rPr>
    </w:lvl>
  </w:abstractNum>
  <w:abstractNum w:abstractNumId="2" w15:restartNumberingAfterBreak="0">
    <w:nsid w:val="08012E77"/>
    <w:multiLevelType w:val="multilevel"/>
    <w:tmpl w:val="580E9C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BF924B2"/>
    <w:multiLevelType w:val="multilevel"/>
    <w:tmpl w:val="7DDE1D4C"/>
    <w:lvl w:ilvl="0">
      <w:start w:val="1"/>
      <w:numFmt w:val="decimal"/>
      <w:pStyle w:val="SAlevel3"/>
      <w:lvlText w:val="%1."/>
      <w:lvlJc w:val="left"/>
      <w:pPr>
        <w:tabs>
          <w:tab w:val="num" w:pos="1224"/>
        </w:tabs>
        <w:ind w:left="1224" w:hanging="360"/>
      </w:pPr>
      <w:rPr>
        <w:rFonts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SASubhd3"/>
      <w:lvlText w:val="%1.%2."/>
      <w:lvlJc w:val="left"/>
      <w:pPr>
        <w:tabs>
          <w:tab w:val="num" w:pos="1454"/>
        </w:tabs>
        <w:ind w:left="1656" w:hanging="79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SAlevel3"/>
      <w:lvlText w:val="(%3)"/>
      <w:lvlJc w:val="left"/>
      <w:pPr>
        <w:tabs>
          <w:tab w:val="num" w:pos="2304"/>
        </w:tabs>
        <w:ind w:left="2304" w:hanging="360"/>
      </w:pPr>
      <w:rPr>
        <w:rFonts w:hint="default"/>
      </w:rPr>
    </w:lvl>
    <w:lvl w:ilvl="3">
      <w:start w:val="1"/>
      <w:numFmt w:val="decimal"/>
      <w:lvlText w:val="%1.%2.%3.%4."/>
      <w:lvlJc w:val="left"/>
      <w:pPr>
        <w:tabs>
          <w:tab w:val="num" w:pos="3384"/>
        </w:tabs>
        <w:ind w:left="2952" w:hanging="648"/>
      </w:pPr>
      <w:rPr>
        <w:rFonts w:hint="default"/>
      </w:rPr>
    </w:lvl>
    <w:lvl w:ilvl="4">
      <w:start w:val="1"/>
      <w:numFmt w:val="decimal"/>
      <w:lvlText w:val="%1.%2.%3.%4.%5."/>
      <w:lvlJc w:val="left"/>
      <w:pPr>
        <w:tabs>
          <w:tab w:val="num" w:pos="4104"/>
        </w:tabs>
        <w:ind w:left="3456" w:hanging="792"/>
      </w:pPr>
      <w:rPr>
        <w:rFonts w:hint="default"/>
      </w:rPr>
    </w:lvl>
    <w:lvl w:ilvl="5">
      <w:start w:val="1"/>
      <w:numFmt w:val="decimal"/>
      <w:lvlText w:val="%1.%2.%3.%4.%5.%6."/>
      <w:lvlJc w:val="left"/>
      <w:pPr>
        <w:tabs>
          <w:tab w:val="num" w:pos="4824"/>
        </w:tabs>
        <w:ind w:left="3960" w:hanging="936"/>
      </w:pPr>
      <w:rPr>
        <w:rFonts w:hint="default"/>
      </w:rPr>
    </w:lvl>
    <w:lvl w:ilvl="6">
      <w:start w:val="1"/>
      <w:numFmt w:val="decimal"/>
      <w:lvlText w:val="%1.%2.%3.%4.%5.%6.%7."/>
      <w:lvlJc w:val="left"/>
      <w:pPr>
        <w:tabs>
          <w:tab w:val="num" w:pos="5544"/>
        </w:tabs>
        <w:ind w:left="4464" w:hanging="1080"/>
      </w:pPr>
      <w:rPr>
        <w:rFonts w:hint="default"/>
      </w:rPr>
    </w:lvl>
    <w:lvl w:ilvl="7">
      <w:start w:val="1"/>
      <w:numFmt w:val="decimal"/>
      <w:lvlText w:val="%1.%2.%3.%4.%5.%6.%7.%8."/>
      <w:lvlJc w:val="left"/>
      <w:pPr>
        <w:tabs>
          <w:tab w:val="num" w:pos="5904"/>
        </w:tabs>
        <w:ind w:left="4968" w:hanging="1224"/>
      </w:pPr>
      <w:rPr>
        <w:rFonts w:hint="default"/>
      </w:rPr>
    </w:lvl>
    <w:lvl w:ilvl="8">
      <w:start w:val="1"/>
      <w:numFmt w:val="decimal"/>
      <w:lvlText w:val="%1.%2.%3.%4.%5.%6.%7.%8.%9."/>
      <w:lvlJc w:val="left"/>
      <w:pPr>
        <w:tabs>
          <w:tab w:val="num" w:pos="6624"/>
        </w:tabs>
        <w:ind w:left="5544" w:hanging="1440"/>
      </w:pPr>
      <w:rPr>
        <w:rFonts w:hint="default"/>
      </w:rPr>
    </w:lvl>
  </w:abstractNum>
  <w:abstractNum w:abstractNumId="4" w15:restartNumberingAfterBreak="0">
    <w:nsid w:val="2CDA531F"/>
    <w:multiLevelType w:val="singleLevel"/>
    <w:tmpl w:val="77CE8ED8"/>
    <w:lvl w:ilvl="0">
      <w:start w:val="1"/>
      <w:numFmt w:val="decimal"/>
      <w:pStyle w:val="CG-NumberA"/>
      <w:lvlText w:val="%1."/>
      <w:lvlJc w:val="left"/>
      <w:pPr>
        <w:tabs>
          <w:tab w:val="num" w:pos="360"/>
        </w:tabs>
        <w:ind w:left="360" w:hanging="360"/>
      </w:pPr>
    </w:lvl>
  </w:abstractNum>
  <w:abstractNum w:abstractNumId="5" w15:restartNumberingAfterBreak="0">
    <w:nsid w:val="2ED56A8F"/>
    <w:multiLevelType w:val="multilevel"/>
    <w:tmpl w:val="C5887D8C"/>
    <w:lvl w:ilvl="0">
      <w:start w:val="1"/>
      <w:numFmt w:val="decimal"/>
      <w:pStyle w:val="SASubhd2"/>
      <w:lvlText w:val="%1."/>
      <w:lvlJc w:val="left"/>
      <w:pPr>
        <w:tabs>
          <w:tab w:val="num" w:pos="360"/>
        </w:tabs>
        <w:ind w:left="360" w:hanging="360"/>
      </w:pPr>
      <w:rPr>
        <w:rFonts w:hint="default"/>
        <w:b/>
        <w:i w:val="0"/>
      </w:rPr>
    </w:lvl>
    <w:lvl w:ilvl="1">
      <w:numFmt w:val="none"/>
      <w:lvlRestart w:val="0"/>
      <w:pStyle w:val="Style7"/>
      <w:lvlText w:val="%2%1.1."/>
      <w:lvlJc w:val="left"/>
      <w:pPr>
        <w:tabs>
          <w:tab w:val="num" w:pos="590"/>
        </w:tabs>
        <w:ind w:left="792" w:hanging="792"/>
      </w:pPr>
      <w:rPr>
        <w:rFonts w:hint="default"/>
        <w:b w:val="0"/>
      </w:rPr>
    </w:lvl>
    <w:lvl w:ilvl="2">
      <w:start w:val="1"/>
      <w:numFmt w:val="lowerLetter"/>
      <w:lvlText w:val="(%3)"/>
      <w:lvlJc w:val="left"/>
      <w:pPr>
        <w:tabs>
          <w:tab w:val="num" w:pos="1440"/>
        </w:tabs>
        <w:ind w:left="1440" w:hanging="360"/>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6" w15:restartNumberingAfterBreak="0">
    <w:nsid w:val="31315C4A"/>
    <w:multiLevelType w:val="hybridMultilevel"/>
    <w:tmpl w:val="8098AFD2"/>
    <w:lvl w:ilvl="0" w:tplc="8A8C9F22">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7" w15:restartNumberingAfterBreak="0">
    <w:nsid w:val="38764E26"/>
    <w:multiLevelType w:val="hybridMultilevel"/>
    <w:tmpl w:val="F8D2432E"/>
    <w:lvl w:ilvl="0" w:tplc="2E56219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B051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C652DF3"/>
    <w:multiLevelType w:val="multilevel"/>
    <w:tmpl w:val="DD8CD9A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4A777C18"/>
    <w:multiLevelType w:val="multilevel"/>
    <w:tmpl w:val="2EEEB7DA"/>
    <w:name w:val="zzmpLegal3||Legal3|2|1|1|1|0|33||1|0|32||1|0|32||1|0|32||1|0|32||1|0|32||1|0|32||mpNA||mpNA||"/>
    <w:lvl w:ilvl="0">
      <w:start w:val="1"/>
      <w:numFmt w:val="decimal"/>
      <w:lvlRestart w:val="0"/>
      <w:pStyle w:val="Legal3L1"/>
      <w:lvlText w:val="%1."/>
      <w:lvlJc w:val="left"/>
      <w:pPr>
        <w:tabs>
          <w:tab w:val="num" w:pos="720"/>
        </w:tabs>
        <w:ind w:left="720" w:hanging="720"/>
      </w:pPr>
      <w:rPr>
        <w:rFonts w:ascii="Times New Roman" w:hAnsi="Times New Roman"/>
        <w:b w:val="0"/>
        <w:i w:val="0"/>
        <w:caps w:val="0"/>
        <w:color w:val="auto"/>
        <w:sz w:val="24"/>
        <w:u w:val="none"/>
      </w:rPr>
    </w:lvl>
    <w:lvl w:ilvl="1">
      <w:start w:val="1"/>
      <w:numFmt w:val="decimal"/>
      <w:pStyle w:val="Legal3L2"/>
      <w:lvlText w:val="%1.%2"/>
      <w:lvlJc w:val="left"/>
      <w:pPr>
        <w:tabs>
          <w:tab w:val="num" w:pos="1440"/>
        </w:tabs>
        <w:ind w:left="1440" w:hanging="720"/>
      </w:pPr>
      <w:rPr>
        <w:rFonts w:ascii="Times New Roman" w:hAnsi="Times New Roman"/>
        <w:b w:val="0"/>
        <w:i w:val="0"/>
        <w:caps w:val="0"/>
        <w:color w:val="auto"/>
        <w:sz w:val="24"/>
        <w:u w:val="none"/>
      </w:rPr>
    </w:lvl>
    <w:lvl w:ilvl="2">
      <w:start w:val="1"/>
      <w:numFmt w:val="lowerLetter"/>
      <w:pStyle w:val="Legal3L3"/>
      <w:lvlText w:val="(%3)"/>
      <w:lvlJc w:val="left"/>
      <w:pPr>
        <w:tabs>
          <w:tab w:val="num" w:pos="2160"/>
        </w:tabs>
        <w:ind w:left="2160" w:hanging="720"/>
      </w:pPr>
      <w:rPr>
        <w:rFonts w:ascii="Times New Roman" w:hAnsi="Times New Roman"/>
        <w:b w:val="0"/>
        <w:i w:val="0"/>
        <w:caps w:val="0"/>
        <w:color w:val="auto"/>
        <w:sz w:val="24"/>
        <w:u w:val="none"/>
      </w:rPr>
    </w:lvl>
    <w:lvl w:ilvl="3">
      <w:start w:val="1"/>
      <w:numFmt w:val="lowerRoman"/>
      <w:pStyle w:val="Legal3L4"/>
      <w:lvlText w:val="(%4)"/>
      <w:lvlJc w:val="left"/>
      <w:pPr>
        <w:tabs>
          <w:tab w:val="num" w:pos="2160"/>
        </w:tabs>
        <w:ind w:left="2160" w:hanging="720"/>
      </w:pPr>
      <w:rPr>
        <w:rFonts w:ascii="Times New Roman" w:hAnsi="Times New Roman"/>
        <w:b w:val="0"/>
        <w:i w:val="0"/>
        <w:caps w:val="0"/>
        <w:color w:val="auto"/>
        <w:sz w:val="22"/>
        <w:szCs w:val="22"/>
        <w:u w:val="none"/>
      </w:rPr>
    </w:lvl>
    <w:lvl w:ilvl="4">
      <w:start w:val="1"/>
      <w:numFmt w:val="upperLetter"/>
      <w:pStyle w:val="Legal3L5"/>
      <w:lvlText w:val="(%5)"/>
      <w:lvlJc w:val="left"/>
      <w:pPr>
        <w:tabs>
          <w:tab w:val="num" w:pos="2880"/>
        </w:tabs>
        <w:ind w:left="2880" w:hanging="720"/>
      </w:pPr>
      <w:rPr>
        <w:rFonts w:ascii="Times New Roman" w:hAnsi="Times New Roman"/>
        <w:b w:val="0"/>
        <w:i w:val="0"/>
        <w:caps w:val="0"/>
        <w:color w:val="auto"/>
        <w:sz w:val="24"/>
        <w:u w:val="none"/>
      </w:rPr>
    </w:lvl>
    <w:lvl w:ilvl="5">
      <w:start w:val="1"/>
      <w:numFmt w:val="decimal"/>
      <w:pStyle w:val="Legal3L6"/>
      <w:lvlText w:val="(%6)"/>
      <w:lvlJc w:val="left"/>
      <w:pPr>
        <w:tabs>
          <w:tab w:val="num" w:pos="3600"/>
        </w:tabs>
        <w:ind w:left="3600" w:hanging="720"/>
      </w:pPr>
      <w:rPr>
        <w:rFonts w:ascii="Times New Roman" w:hAnsi="Times New Roman"/>
        <w:b w:val="0"/>
        <w:i w:val="0"/>
        <w:caps w:val="0"/>
        <w:color w:val="auto"/>
        <w:sz w:val="24"/>
        <w:u w:val="none"/>
      </w:rPr>
    </w:lvl>
    <w:lvl w:ilvl="6">
      <w:start w:val="1"/>
      <w:numFmt w:val="upperLetter"/>
      <w:pStyle w:val="Legal3L7"/>
      <w:lvlText w:val="%7."/>
      <w:lvlJc w:val="left"/>
      <w:pPr>
        <w:tabs>
          <w:tab w:val="num" w:pos="4320"/>
        </w:tabs>
        <w:ind w:left="4320" w:hanging="720"/>
      </w:pPr>
      <w:rPr>
        <w:rFonts w:ascii="Times New Roman" w:hAnsi="Times New Roman"/>
        <w:b w:val="0"/>
        <w:i w:val="0"/>
        <w:caps w:val="0"/>
        <w:color w:val="auto"/>
        <w:sz w:val="24"/>
        <w:u w:val="none"/>
      </w:rPr>
    </w:lvl>
    <w:lvl w:ilvl="7">
      <w:start w:val="1"/>
      <w:numFmt w:val="lowerLetter"/>
      <w:lvlText w:val="%8."/>
      <w:lvlJc w:val="left"/>
      <w:pPr>
        <w:tabs>
          <w:tab w:val="num" w:pos="2880"/>
        </w:tabs>
        <w:ind w:left="2880" w:hanging="360"/>
      </w:pPr>
      <w:rPr>
        <w:rFonts w:ascii="Times New Roman" w:hAnsi="Times New Roman"/>
        <w:sz w:val="24"/>
      </w:rPr>
    </w:lvl>
    <w:lvl w:ilvl="8">
      <w:start w:val="1"/>
      <w:numFmt w:val="lowerRoman"/>
      <w:lvlText w:val="%9."/>
      <w:lvlJc w:val="left"/>
      <w:pPr>
        <w:tabs>
          <w:tab w:val="num" w:pos="3240"/>
        </w:tabs>
        <w:ind w:left="3240" w:hanging="360"/>
      </w:pPr>
      <w:rPr>
        <w:rFonts w:ascii="Times New Roman" w:hAnsi="Times New Roman"/>
        <w:sz w:val="24"/>
      </w:rPr>
    </w:lvl>
  </w:abstractNum>
  <w:abstractNum w:abstractNumId="11" w15:restartNumberingAfterBreak="0">
    <w:nsid w:val="60197688"/>
    <w:multiLevelType w:val="multilevel"/>
    <w:tmpl w:val="DD8CD9A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5F36E56"/>
    <w:multiLevelType w:val="hybridMultilevel"/>
    <w:tmpl w:val="DECCEB50"/>
    <w:lvl w:ilvl="0" w:tplc="F528C4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7480434"/>
    <w:multiLevelType w:val="multilevel"/>
    <w:tmpl w:val="DD8CD9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6CF966DF"/>
    <w:multiLevelType w:val="multilevel"/>
    <w:tmpl w:val="DD8CD9A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530"/>
        </w:tabs>
        <w:ind w:left="153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754D5DB2"/>
    <w:multiLevelType w:val="multilevel"/>
    <w:tmpl w:val="1B5C04E8"/>
    <w:styleLink w:val="ShortLegalList"/>
    <w:lvl w:ilvl="0">
      <w:start w:val="1"/>
      <w:numFmt w:val="decimal"/>
      <w:lvlRestart w:val="0"/>
      <w:pStyle w:val="ShortLegal1"/>
      <w:lvlText w:val="%1."/>
      <w:lvlJc w:val="left"/>
      <w:pPr>
        <w:tabs>
          <w:tab w:val="num" w:pos="720"/>
        </w:tabs>
        <w:ind w:left="720" w:hanging="720"/>
      </w:pPr>
      <w:rPr>
        <w:rFonts w:hint="default"/>
        <w:b/>
        <w:i w:val="0"/>
        <w:color w:val="000000"/>
      </w:rPr>
    </w:lvl>
    <w:lvl w:ilvl="1">
      <w:start w:val="1"/>
      <w:numFmt w:val="decimal"/>
      <w:pStyle w:val="ShortLegal2"/>
      <w:isLgl/>
      <w:lvlText w:val="%1.%2"/>
      <w:lvlJc w:val="left"/>
      <w:pPr>
        <w:tabs>
          <w:tab w:val="num" w:pos="1440"/>
        </w:tabs>
        <w:ind w:left="1440" w:hanging="720"/>
      </w:pPr>
      <w:rPr>
        <w:rFonts w:hint="default"/>
        <w:color w:val="000000"/>
      </w:rPr>
    </w:lvl>
    <w:lvl w:ilvl="2">
      <w:start w:val="1"/>
      <w:numFmt w:val="lowerLetter"/>
      <w:pStyle w:val="ShortLegal3"/>
      <w:lvlText w:val="(%3)"/>
      <w:lvlJc w:val="left"/>
      <w:pPr>
        <w:tabs>
          <w:tab w:val="num" w:pos="2160"/>
        </w:tabs>
        <w:ind w:left="2160" w:hanging="720"/>
      </w:pPr>
      <w:rPr>
        <w:rFonts w:hint="default"/>
        <w:b w:val="0"/>
        <w:i w:val="0"/>
        <w:color w:val="000000"/>
      </w:rPr>
    </w:lvl>
    <w:lvl w:ilvl="3">
      <w:start w:val="1"/>
      <w:numFmt w:val="lowerRoman"/>
      <w:pStyle w:val="ShortLegal4"/>
      <w:lvlText w:val="(%4)"/>
      <w:lvlJc w:val="left"/>
      <w:pPr>
        <w:tabs>
          <w:tab w:val="num" w:pos="2880"/>
        </w:tabs>
        <w:ind w:left="2880" w:hanging="720"/>
      </w:pPr>
      <w:rPr>
        <w:rFonts w:hint="default"/>
        <w:color w:val="000000"/>
      </w:rPr>
    </w:lvl>
    <w:lvl w:ilvl="4">
      <w:start w:val="1"/>
      <w:numFmt w:val="decimal"/>
      <w:pStyle w:val="ShortLegal5"/>
      <w:lvlText w:val="(%5)"/>
      <w:lvlJc w:val="left"/>
      <w:pPr>
        <w:tabs>
          <w:tab w:val="num" w:pos="3600"/>
        </w:tabs>
        <w:ind w:left="3600" w:hanging="720"/>
      </w:pPr>
      <w:rPr>
        <w:rFonts w:hint="default"/>
        <w:color w:val="000000"/>
      </w:rPr>
    </w:lvl>
    <w:lvl w:ilvl="5">
      <w:start w:val="1"/>
      <w:numFmt w:val="upperLetter"/>
      <w:pStyle w:val="ShortLegal6"/>
      <w:lvlText w:val="(%6)"/>
      <w:lvlJc w:val="left"/>
      <w:pPr>
        <w:tabs>
          <w:tab w:val="num" w:pos="4320"/>
        </w:tabs>
        <w:ind w:left="4320" w:hanging="720"/>
      </w:pPr>
      <w:rPr>
        <w:rFonts w:hint="default"/>
        <w:color w:val="00000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77327FC0"/>
    <w:multiLevelType w:val="multilevel"/>
    <w:tmpl w:val="DD8CD9A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AC661D5"/>
    <w:multiLevelType w:val="hybridMultilevel"/>
    <w:tmpl w:val="C1766DA2"/>
    <w:lvl w:ilvl="0" w:tplc="724081C6">
      <w:start w:val="2"/>
      <w:numFmt w:val="lowerLetter"/>
      <w:lvlText w:val="(%1)"/>
      <w:lvlJc w:val="left"/>
      <w:pPr>
        <w:tabs>
          <w:tab w:val="num" w:pos="1260"/>
        </w:tabs>
        <w:ind w:left="1260" w:hanging="360"/>
      </w:pPr>
      <w:rPr>
        <w:rFonts w:hint="default"/>
        <w:b w:val="0"/>
      </w:rPr>
    </w:lvl>
    <w:lvl w:ilvl="1" w:tplc="E9E205B8">
      <w:start w:val="1"/>
      <w:numFmt w:val="decimal"/>
      <w:lvlText w:val="%2."/>
      <w:lvlJc w:val="left"/>
      <w:pPr>
        <w:tabs>
          <w:tab w:val="num" w:pos="1440"/>
        </w:tabs>
        <w:ind w:left="1440" w:hanging="360"/>
      </w:pPr>
      <w:rPr>
        <w:rFonts w:hint="default"/>
      </w:rPr>
    </w:lvl>
    <w:lvl w:ilvl="2" w:tplc="97287FAE">
      <w:start w:val="2"/>
      <w:numFmt w:val="low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627205">
    <w:abstractNumId w:val="1"/>
  </w:num>
  <w:num w:numId="2" w16cid:durableId="1893617879">
    <w:abstractNumId w:val="2"/>
  </w:num>
  <w:num w:numId="3" w16cid:durableId="1284314358">
    <w:abstractNumId w:val="6"/>
  </w:num>
  <w:num w:numId="4" w16cid:durableId="1618559803">
    <w:abstractNumId w:val="12"/>
  </w:num>
  <w:num w:numId="5" w16cid:durableId="1837645026">
    <w:abstractNumId w:val="9"/>
  </w:num>
  <w:num w:numId="6" w16cid:durableId="4869438">
    <w:abstractNumId w:val="10"/>
  </w:num>
  <w:num w:numId="7" w16cid:durableId="975715837">
    <w:abstractNumId w:val="17"/>
  </w:num>
  <w:num w:numId="8" w16cid:durableId="822307610">
    <w:abstractNumId w:val="11"/>
  </w:num>
  <w:num w:numId="9" w16cid:durableId="628169663">
    <w:abstractNumId w:val="14"/>
  </w:num>
  <w:num w:numId="10" w16cid:durableId="340398094">
    <w:abstractNumId w:val="13"/>
  </w:num>
  <w:num w:numId="11" w16cid:durableId="1193886221">
    <w:abstractNumId w:val="4"/>
  </w:num>
  <w:num w:numId="12" w16cid:durableId="2106265870">
    <w:abstractNumId w:val="15"/>
  </w:num>
  <w:num w:numId="13" w16cid:durableId="574824148">
    <w:abstractNumId w:val="0"/>
  </w:num>
  <w:num w:numId="14" w16cid:durableId="222716699">
    <w:abstractNumId w:val="16"/>
  </w:num>
  <w:num w:numId="15" w16cid:durableId="1045442983">
    <w:abstractNumId w:val="8"/>
  </w:num>
  <w:num w:numId="16" w16cid:durableId="1246719895">
    <w:abstractNumId w:val="7"/>
  </w:num>
  <w:num w:numId="17" w16cid:durableId="1515268955">
    <w:abstractNumId w:val="3"/>
  </w:num>
  <w:num w:numId="18" w16cid:durableId="77290746">
    <w:abstractNumId w:val="5"/>
  </w:num>
  <w:num w:numId="19" w16cid:durableId="349331047">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DMS_Work10" w:val="0~WSACTIVE||1~11556943||2~1||3~Model 3(a)(3) CP Dealer Agreement - Domestic Issuer Domestic Guarantor (January 2025)||5~BERMANJ||6~BERMANJ||7~WORDX||8~AGMT||10~1/2/2025 4:00:36 PM||11~12/27/2024 10:19:14 PM||13~82809||14~False||17~public||18~BERMANJ||19~BERMANJ||21~True||22~True||23~False||25~07274||26~0001||60~Securities Industry and Financial Market||61~Model Commercial Paper Dealer Agreement Updating Project||74~Berman, Jeff||75~Berman, Jeff||76~WORD 2007||77~Agreement||82~docx||85~1/2/2025 4:00:41 PM||99~1/1/0001 12:00:00 AM||106~C:\Users\bermanj\AppData\Roaming\iManage\Work\Recent\07274.0001 - Model Commercial Paper Dealer Agreement Updating Project\Model 3(a)(3) CP Dealer Agreement - Domestic Issuer Domestic Guarantor (Januar(11556943.1).docx||107~1/1/0001 12:00:00 AM||109~1/14/2025 3:00:25 PM||113~12/27/2024 10:19:14 PM||114~1/2/2025 4:00:36 PM||124~False||"/>
    <w:docVar w:name="ForteTempFile" w:val="C:\Users\Natalie\AppData\Local\Temp\380baab5-b757-4e52-ae96-3f74b1df19dc.docx"/>
    <w:docVar w:name="MPDocID" w:val="C:\Users\davisjo\AppData\Roaming\iManage\Work\Recent\02852.0008 - General\SIFMA Model 3(a)(3) CP Dealer Agreement - Domestic Issuer Domestic Guarantor (2024)(11021368.1).docx"/>
    <w:docVar w:name="NewDocStampType" w:val="1"/>
    <w:docVar w:name="zzmp10LastTrailerInserted" w:val="^`~#mp!@`⌗⌡#-┖┧5:;zŖmaſ@⌐Äc⌖FâUp‛⌈HD%Õ±Y&amp;⌎Ý!,d.ť$⌕&amp;jÕ|ƀò@`ƀÈ⌝M‼⌃ℤÜÝß¬⌎K‟/Ω‚‟*kU÷¢jäJÎ[‾•ëðÅYòHÊÌ_ñp&gt;|V­˞·“„k‡ýÚ±î]ïvrÓ⌓×?⌂8&amp;¹ªöFåÒ⌉⌟5zèE=⌕m‥⌝⌚ýΩý&lt;⌞ℤ⌃NS³‾⌘&lt;A…ÕÅÑ1⌅e&quot;L6N_V?I011"/>
    <w:docVar w:name="zzmp10LastTrailerInserted_6938" w:val="^`~#mp!@`⌗⌡#-┖┧5:;zŖmaſ@⌐Äc⌖FâUp‛⌈HD%Õ±Y&amp;⌎Ý!,d.ť$⌕&amp;jÕ|ƀò@`ƀÈ⌝M‼⌃ℤÜÝß¬⌎K‟/Ω‚‟*kU÷¢jäJÎ[‾•ëðÅYòHÊÌ_ñp&gt;|V­˞·“„k‡ýÚ±î]ïvrÓ⌓×?⌂8&amp;¹ªöFåÒ⌉⌟5zèE=⌕m‥⌝⌚ýΩý&lt;⌞ℤ⌃NS³‾⌘&lt;A…ÕÅÑ1⌅e&quot;L6N_V?I011"/>
    <w:docVar w:name="zzmp10mSEGsValidated" w:val="1"/>
    <w:docVar w:name="zzmpCompatibilityMode" w:val="15"/>
    <w:docVar w:name="zzmpLegacyTrailerRemoved" w:val="True"/>
  </w:docVars>
  <w:rsids>
    <w:rsidRoot w:val="00D2221C"/>
    <w:rsid w:val="00013F7D"/>
    <w:rsid w:val="0002122F"/>
    <w:rsid w:val="00030BFE"/>
    <w:rsid w:val="00041B42"/>
    <w:rsid w:val="000430DC"/>
    <w:rsid w:val="0004496F"/>
    <w:rsid w:val="00047195"/>
    <w:rsid w:val="00050A3F"/>
    <w:rsid w:val="000520F6"/>
    <w:rsid w:val="000530A0"/>
    <w:rsid w:val="000556EF"/>
    <w:rsid w:val="00057A77"/>
    <w:rsid w:val="00077175"/>
    <w:rsid w:val="00082504"/>
    <w:rsid w:val="00086242"/>
    <w:rsid w:val="000906F9"/>
    <w:rsid w:val="00093245"/>
    <w:rsid w:val="00096028"/>
    <w:rsid w:val="000A0766"/>
    <w:rsid w:val="000A1853"/>
    <w:rsid w:val="000A68DE"/>
    <w:rsid w:val="000B2316"/>
    <w:rsid w:val="000B243A"/>
    <w:rsid w:val="000B3DA9"/>
    <w:rsid w:val="000B4A09"/>
    <w:rsid w:val="000E39FB"/>
    <w:rsid w:val="000E565C"/>
    <w:rsid w:val="000F02FD"/>
    <w:rsid w:val="000F6587"/>
    <w:rsid w:val="00116E78"/>
    <w:rsid w:val="001203EF"/>
    <w:rsid w:val="00122120"/>
    <w:rsid w:val="00123043"/>
    <w:rsid w:val="00123761"/>
    <w:rsid w:val="00130C5C"/>
    <w:rsid w:val="00133973"/>
    <w:rsid w:val="00135ED6"/>
    <w:rsid w:val="00136FD4"/>
    <w:rsid w:val="001401FE"/>
    <w:rsid w:val="00140403"/>
    <w:rsid w:val="00141A7C"/>
    <w:rsid w:val="001529AA"/>
    <w:rsid w:val="001636E0"/>
    <w:rsid w:val="001761EF"/>
    <w:rsid w:val="00177120"/>
    <w:rsid w:val="00181304"/>
    <w:rsid w:val="001833E6"/>
    <w:rsid w:val="001A26AB"/>
    <w:rsid w:val="001A2FF2"/>
    <w:rsid w:val="001A31AF"/>
    <w:rsid w:val="001A4AB9"/>
    <w:rsid w:val="001B147A"/>
    <w:rsid w:val="001B336F"/>
    <w:rsid w:val="001B3727"/>
    <w:rsid w:val="001B4F16"/>
    <w:rsid w:val="001B50E7"/>
    <w:rsid w:val="001C3186"/>
    <w:rsid w:val="001C3937"/>
    <w:rsid w:val="001C4210"/>
    <w:rsid w:val="001C5125"/>
    <w:rsid w:val="001C7BB6"/>
    <w:rsid w:val="001D4AD8"/>
    <w:rsid w:val="001D564C"/>
    <w:rsid w:val="001E217C"/>
    <w:rsid w:val="001F0D70"/>
    <w:rsid w:val="001F1C39"/>
    <w:rsid w:val="001F53BB"/>
    <w:rsid w:val="00206C1B"/>
    <w:rsid w:val="002127CF"/>
    <w:rsid w:val="00213969"/>
    <w:rsid w:val="002301F9"/>
    <w:rsid w:val="00232F7E"/>
    <w:rsid w:val="002342CD"/>
    <w:rsid w:val="002363AE"/>
    <w:rsid w:val="002369D0"/>
    <w:rsid w:val="00237EC9"/>
    <w:rsid w:val="00241B29"/>
    <w:rsid w:val="00246F99"/>
    <w:rsid w:val="00251E01"/>
    <w:rsid w:val="002534C0"/>
    <w:rsid w:val="00261E0C"/>
    <w:rsid w:val="002646F8"/>
    <w:rsid w:val="002650A7"/>
    <w:rsid w:val="00277CC9"/>
    <w:rsid w:val="002843D6"/>
    <w:rsid w:val="00293907"/>
    <w:rsid w:val="00294548"/>
    <w:rsid w:val="002A25FD"/>
    <w:rsid w:val="002A39DF"/>
    <w:rsid w:val="002A7DB9"/>
    <w:rsid w:val="002B1A14"/>
    <w:rsid w:val="002C19C3"/>
    <w:rsid w:val="002C25F7"/>
    <w:rsid w:val="002C5A81"/>
    <w:rsid w:val="002C6318"/>
    <w:rsid w:val="002D136E"/>
    <w:rsid w:val="002E1E18"/>
    <w:rsid w:val="002E45CF"/>
    <w:rsid w:val="002F18F1"/>
    <w:rsid w:val="002F71C4"/>
    <w:rsid w:val="00301B80"/>
    <w:rsid w:val="003025D5"/>
    <w:rsid w:val="00303D05"/>
    <w:rsid w:val="00304AB4"/>
    <w:rsid w:val="003124D5"/>
    <w:rsid w:val="00314945"/>
    <w:rsid w:val="00320BB7"/>
    <w:rsid w:val="00324DE5"/>
    <w:rsid w:val="00325EC8"/>
    <w:rsid w:val="00327F4C"/>
    <w:rsid w:val="0033247D"/>
    <w:rsid w:val="00340DE9"/>
    <w:rsid w:val="00352947"/>
    <w:rsid w:val="00353B9D"/>
    <w:rsid w:val="00356242"/>
    <w:rsid w:val="0037040B"/>
    <w:rsid w:val="00373417"/>
    <w:rsid w:val="0038230F"/>
    <w:rsid w:val="00382E51"/>
    <w:rsid w:val="00391B85"/>
    <w:rsid w:val="00391FE0"/>
    <w:rsid w:val="003922C0"/>
    <w:rsid w:val="003923EE"/>
    <w:rsid w:val="00397F0A"/>
    <w:rsid w:val="003B3BB0"/>
    <w:rsid w:val="003B77DC"/>
    <w:rsid w:val="003C20A9"/>
    <w:rsid w:val="003C7A31"/>
    <w:rsid w:val="003C7A43"/>
    <w:rsid w:val="003D1C3D"/>
    <w:rsid w:val="003D62CD"/>
    <w:rsid w:val="003D6C39"/>
    <w:rsid w:val="003E1070"/>
    <w:rsid w:val="003E1F94"/>
    <w:rsid w:val="003E5595"/>
    <w:rsid w:val="003F1290"/>
    <w:rsid w:val="003F6DEC"/>
    <w:rsid w:val="003F7A67"/>
    <w:rsid w:val="003F7BE1"/>
    <w:rsid w:val="004017F8"/>
    <w:rsid w:val="00403484"/>
    <w:rsid w:val="004209D4"/>
    <w:rsid w:val="00423CA7"/>
    <w:rsid w:val="00426311"/>
    <w:rsid w:val="00434D66"/>
    <w:rsid w:val="00437C06"/>
    <w:rsid w:val="00445D8D"/>
    <w:rsid w:val="00453D5D"/>
    <w:rsid w:val="00454922"/>
    <w:rsid w:val="00461594"/>
    <w:rsid w:val="00462D55"/>
    <w:rsid w:val="00463B53"/>
    <w:rsid w:val="00464BCC"/>
    <w:rsid w:val="0046774B"/>
    <w:rsid w:val="00475C6E"/>
    <w:rsid w:val="00497ABF"/>
    <w:rsid w:val="004A09A7"/>
    <w:rsid w:val="004B0536"/>
    <w:rsid w:val="004B28A0"/>
    <w:rsid w:val="004B4FC5"/>
    <w:rsid w:val="004B7DC4"/>
    <w:rsid w:val="004C34EB"/>
    <w:rsid w:val="004C6928"/>
    <w:rsid w:val="004D10A2"/>
    <w:rsid w:val="004D1362"/>
    <w:rsid w:val="004D3482"/>
    <w:rsid w:val="004D61B9"/>
    <w:rsid w:val="004E00E6"/>
    <w:rsid w:val="004E02B4"/>
    <w:rsid w:val="004E55CB"/>
    <w:rsid w:val="004E5967"/>
    <w:rsid w:val="00506075"/>
    <w:rsid w:val="005117DB"/>
    <w:rsid w:val="0051558F"/>
    <w:rsid w:val="00520B1F"/>
    <w:rsid w:val="005237BE"/>
    <w:rsid w:val="00523ACA"/>
    <w:rsid w:val="00525235"/>
    <w:rsid w:val="00526DEB"/>
    <w:rsid w:val="0053090C"/>
    <w:rsid w:val="005328F1"/>
    <w:rsid w:val="00532A2D"/>
    <w:rsid w:val="00535D1D"/>
    <w:rsid w:val="005552F5"/>
    <w:rsid w:val="00574959"/>
    <w:rsid w:val="0057621C"/>
    <w:rsid w:val="00576D8C"/>
    <w:rsid w:val="00584CFD"/>
    <w:rsid w:val="00585837"/>
    <w:rsid w:val="005916E5"/>
    <w:rsid w:val="0059192A"/>
    <w:rsid w:val="0059498D"/>
    <w:rsid w:val="005957C2"/>
    <w:rsid w:val="005A5385"/>
    <w:rsid w:val="005B2207"/>
    <w:rsid w:val="005C40CD"/>
    <w:rsid w:val="005D00E9"/>
    <w:rsid w:val="005D0C9A"/>
    <w:rsid w:val="005E44AD"/>
    <w:rsid w:val="005E5934"/>
    <w:rsid w:val="005F6E3D"/>
    <w:rsid w:val="005F707A"/>
    <w:rsid w:val="0060150B"/>
    <w:rsid w:val="006024D4"/>
    <w:rsid w:val="00604BDB"/>
    <w:rsid w:val="00606B22"/>
    <w:rsid w:val="00612C5F"/>
    <w:rsid w:val="00620316"/>
    <w:rsid w:val="00621AA8"/>
    <w:rsid w:val="00623C83"/>
    <w:rsid w:val="0062651B"/>
    <w:rsid w:val="0063537F"/>
    <w:rsid w:val="006412CA"/>
    <w:rsid w:val="00641BB1"/>
    <w:rsid w:val="00642B59"/>
    <w:rsid w:val="00644BF9"/>
    <w:rsid w:val="00644CAD"/>
    <w:rsid w:val="006452D5"/>
    <w:rsid w:val="00645677"/>
    <w:rsid w:val="006458D3"/>
    <w:rsid w:val="00652B45"/>
    <w:rsid w:val="00654322"/>
    <w:rsid w:val="00656577"/>
    <w:rsid w:val="00657139"/>
    <w:rsid w:val="006649B6"/>
    <w:rsid w:val="00666942"/>
    <w:rsid w:val="00671127"/>
    <w:rsid w:val="00672587"/>
    <w:rsid w:val="00674299"/>
    <w:rsid w:val="00674A3E"/>
    <w:rsid w:val="0067604D"/>
    <w:rsid w:val="006A2BE1"/>
    <w:rsid w:val="006A7501"/>
    <w:rsid w:val="006B0279"/>
    <w:rsid w:val="006B2331"/>
    <w:rsid w:val="006C3C19"/>
    <w:rsid w:val="006C5A0A"/>
    <w:rsid w:val="006D0057"/>
    <w:rsid w:val="006D0799"/>
    <w:rsid w:val="006F11B9"/>
    <w:rsid w:val="006F2E95"/>
    <w:rsid w:val="0070368B"/>
    <w:rsid w:val="0071688A"/>
    <w:rsid w:val="00720850"/>
    <w:rsid w:val="00720DEE"/>
    <w:rsid w:val="00721581"/>
    <w:rsid w:val="0072380A"/>
    <w:rsid w:val="00723FAA"/>
    <w:rsid w:val="007310DE"/>
    <w:rsid w:val="00733829"/>
    <w:rsid w:val="007355C9"/>
    <w:rsid w:val="0073601E"/>
    <w:rsid w:val="00737B90"/>
    <w:rsid w:val="00744037"/>
    <w:rsid w:val="00744773"/>
    <w:rsid w:val="007467E9"/>
    <w:rsid w:val="007475CA"/>
    <w:rsid w:val="0075554E"/>
    <w:rsid w:val="00760A8B"/>
    <w:rsid w:val="007629B7"/>
    <w:rsid w:val="00767942"/>
    <w:rsid w:val="00770579"/>
    <w:rsid w:val="007757B5"/>
    <w:rsid w:val="00776C87"/>
    <w:rsid w:val="00776D3C"/>
    <w:rsid w:val="007770D3"/>
    <w:rsid w:val="00783DC0"/>
    <w:rsid w:val="00784862"/>
    <w:rsid w:val="00786009"/>
    <w:rsid w:val="00787023"/>
    <w:rsid w:val="0078799A"/>
    <w:rsid w:val="00787E40"/>
    <w:rsid w:val="007903A8"/>
    <w:rsid w:val="00790E8B"/>
    <w:rsid w:val="007A2055"/>
    <w:rsid w:val="007A7481"/>
    <w:rsid w:val="007B327F"/>
    <w:rsid w:val="007B3838"/>
    <w:rsid w:val="007C207F"/>
    <w:rsid w:val="007C77A1"/>
    <w:rsid w:val="007D27E5"/>
    <w:rsid w:val="007D3E3C"/>
    <w:rsid w:val="007D45E0"/>
    <w:rsid w:val="007E0091"/>
    <w:rsid w:val="007E03D5"/>
    <w:rsid w:val="007E0ECC"/>
    <w:rsid w:val="007E3FD5"/>
    <w:rsid w:val="007E7EA7"/>
    <w:rsid w:val="007F4EEF"/>
    <w:rsid w:val="007F528E"/>
    <w:rsid w:val="008012DC"/>
    <w:rsid w:val="008019FE"/>
    <w:rsid w:val="00807C3D"/>
    <w:rsid w:val="00810516"/>
    <w:rsid w:val="0081751B"/>
    <w:rsid w:val="00823C80"/>
    <w:rsid w:val="00830979"/>
    <w:rsid w:val="0083367C"/>
    <w:rsid w:val="008338CA"/>
    <w:rsid w:val="00840C57"/>
    <w:rsid w:val="008416EC"/>
    <w:rsid w:val="0084264D"/>
    <w:rsid w:val="008460BD"/>
    <w:rsid w:val="00850B75"/>
    <w:rsid w:val="008564FB"/>
    <w:rsid w:val="00866CD7"/>
    <w:rsid w:val="008670B6"/>
    <w:rsid w:val="00867D78"/>
    <w:rsid w:val="00870872"/>
    <w:rsid w:val="008720EA"/>
    <w:rsid w:val="008751D3"/>
    <w:rsid w:val="00875E86"/>
    <w:rsid w:val="00882650"/>
    <w:rsid w:val="008925DE"/>
    <w:rsid w:val="00895F60"/>
    <w:rsid w:val="008A0A5C"/>
    <w:rsid w:val="008A1C82"/>
    <w:rsid w:val="008A454E"/>
    <w:rsid w:val="008A4B07"/>
    <w:rsid w:val="008A6153"/>
    <w:rsid w:val="008B07D4"/>
    <w:rsid w:val="008B24C3"/>
    <w:rsid w:val="008B3CAD"/>
    <w:rsid w:val="008B509F"/>
    <w:rsid w:val="008B759A"/>
    <w:rsid w:val="008C1B97"/>
    <w:rsid w:val="008C7ADF"/>
    <w:rsid w:val="008D1414"/>
    <w:rsid w:val="008D75C7"/>
    <w:rsid w:val="008F4820"/>
    <w:rsid w:val="0091264F"/>
    <w:rsid w:val="00913568"/>
    <w:rsid w:val="0091490C"/>
    <w:rsid w:val="00921B33"/>
    <w:rsid w:val="00923239"/>
    <w:rsid w:val="00927C0A"/>
    <w:rsid w:val="00935E0E"/>
    <w:rsid w:val="00957509"/>
    <w:rsid w:val="00957794"/>
    <w:rsid w:val="00960CC6"/>
    <w:rsid w:val="00965450"/>
    <w:rsid w:val="00974028"/>
    <w:rsid w:val="00974EDC"/>
    <w:rsid w:val="009754D6"/>
    <w:rsid w:val="00975C77"/>
    <w:rsid w:val="00980550"/>
    <w:rsid w:val="0098260E"/>
    <w:rsid w:val="00983DC3"/>
    <w:rsid w:val="00984418"/>
    <w:rsid w:val="00990D3E"/>
    <w:rsid w:val="00994392"/>
    <w:rsid w:val="009A71B6"/>
    <w:rsid w:val="009A7D42"/>
    <w:rsid w:val="009B393B"/>
    <w:rsid w:val="009B3F1D"/>
    <w:rsid w:val="009B7EAC"/>
    <w:rsid w:val="009C0B17"/>
    <w:rsid w:val="009C1C6C"/>
    <w:rsid w:val="009C4B59"/>
    <w:rsid w:val="009C705B"/>
    <w:rsid w:val="009D0224"/>
    <w:rsid w:val="009D28B4"/>
    <w:rsid w:val="009D3A3E"/>
    <w:rsid w:val="009E6C4E"/>
    <w:rsid w:val="009E6C6D"/>
    <w:rsid w:val="009F62C2"/>
    <w:rsid w:val="00A01735"/>
    <w:rsid w:val="00A01B87"/>
    <w:rsid w:val="00A10CEC"/>
    <w:rsid w:val="00A10F82"/>
    <w:rsid w:val="00A13491"/>
    <w:rsid w:val="00A229DC"/>
    <w:rsid w:val="00A22BCA"/>
    <w:rsid w:val="00A2485C"/>
    <w:rsid w:val="00A27511"/>
    <w:rsid w:val="00A30AF6"/>
    <w:rsid w:val="00A30EF2"/>
    <w:rsid w:val="00A365D0"/>
    <w:rsid w:val="00A4068F"/>
    <w:rsid w:val="00A46149"/>
    <w:rsid w:val="00A52B4C"/>
    <w:rsid w:val="00A53280"/>
    <w:rsid w:val="00A60B03"/>
    <w:rsid w:val="00A62459"/>
    <w:rsid w:val="00A62A20"/>
    <w:rsid w:val="00A64C14"/>
    <w:rsid w:val="00A656DE"/>
    <w:rsid w:val="00A658E2"/>
    <w:rsid w:val="00A67951"/>
    <w:rsid w:val="00A71166"/>
    <w:rsid w:val="00A76364"/>
    <w:rsid w:val="00A77B78"/>
    <w:rsid w:val="00A81AB0"/>
    <w:rsid w:val="00A93E62"/>
    <w:rsid w:val="00A94383"/>
    <w:rsid w:val="00A94491"/>
    <w:rsid w:val="00A97497"/>
    <w:rsid w:val="00AA0E99"/>
    <w:rsid w:val="00AA36A2"/>
    <w:rsid w:val="00AB17C2"/>
    <w:rsid w:val="00AC169C"/>
    <w:rsid w:val="00AC400F"/>
    <w:rsid w:val="00AC5CF7"/>
    <w:rsid w:val="00AD0798"/>
    <w:rsid w:val="00AE3A1B"/>
    <w:rsid w:val="00AE3F54"/>
    <w:rsid w:val="00AF46D2"/>
    <w:rsid w:val="00AF65F9"/>
    <w:rsid w:val="00AF6F24"/>
    <w:rsid w:val="00B06F0E"/>
    <w:rsid w:val="00B118F2"/>
    <w:rsid w:val="00B311F5"/>
    <w:rsid w:val="00B3319D"/>
    <w:rsid w:val="00B54AE9"/>
    <w:rsid w:val="00B565B3"/>
    <w:rsid w:val="00B56B2F"/>
    <w:rsid w:val="00B72573"/>
    <w:rsid w:val="00B774D1"/>
    <w:rsid w:val="00B776CA"/>
    <w:rsid w:val="00B86653"/>
    <w:rsid w:val="00B9505D"/>
    <w:rsid w:val="00BA1872"/>
    <w:rsid w:val="00BB165C"/>
    <w:rsid w:val="00BB1ED7"/>
    <w:rsid w:val="00BB2E56"/>
    <w:rsid w:val="00BB65D0"/>
    <w:rsid w:val="00BB7858"/>
    <w:rsid w:val="00BC536E"/>
    <w:rsid w:val="00BC5BC0"/>
    <w:rsid w:val="00BD3EB4"/>
    <w:rsid w:val="00BD6DC7"/>
    <w:rsid w:val="00BE0CD7"/>
    <w:rsid w:val="00BE2924"/>
    <w:rsid w:val="00BE5B1F"/>
    <w:rsid w:val="00BF4321"/>
    <w:rsid w:val="00BF7237"/>
    <w:rsid w:val="00BF741A"/>
    <w:rsid w:val="00C11237"/>
    <w:rsid w:val="00C12DE0"/>
    <w:rsid w:val="00C20A89"/>
    <w:rsid w:val="00C30D6F"/>
    <w:rsid w:val="00C31251"/>
    <w:rsid w:val="00C350C4"/>
    <w:rsid w:val="00C37A50"/>
    <w:rsid w:val="00C41BA4"/>
    <w:rsid w:val="00C6113E"/>
    <w:rsid w:val="00C64E05"/>
    <w:rsid w:val="00C6746B"/>
    <w:rsid w:val="00C70615"/>
    <w:rsid w:val="00C70CD8"/>
    <w:rsid w:val="00C73290"/>
    <w:rsid w:val="00C74BBE"/>
    <w:rsid w:val="00C8215F"/>
    <w:rsid w:val="00C82927"/>
    <w:rsid w:val="00C845D7"/>
    <w:rsid w:val="00C93EA4"/>
    <w:rsid w:val="00CA0D8B"/>
    <w:rsid w:val="00CB5819"/>
    <w:rsid w:val="00CB5A64"/>
    <w:rsid w:val="00CB6773"/>
    <w:rsid w:val="00CC10D6"/>
    <w:rsid w:val="00CC4122"/>
    <w:rsid w:val="00CC4D91"/>
    <w:rsid w:val="00CC5B34"/>
    <w:rsid w:val="00CC7789"/>
    <w:rsid w:val="00CD5095"/>
    <w:rsid w:val="00CF308C"/>
    <w:rsid w:val="00CF416F"/>
    <w:rsid w:val="00D0181F"/>
    <w:rsid w:val="00D04379"/>
    <w:rsid w:val="00D05210"/>
    <w:rsid w:val="00D10A91"/>
    <w:rsid w:val="00D11276"/>
    <w:rsid w:val="00D15827"/>
    <w:rsid w:val="00D2221C"/>
    <w:rsid w:val="00D26B39"/>
    <w:rsid w:val="00D318D4"/>
    <w:rsid w:val="00D40E98"/>
    <w:rsid w:val="00D445D1"/>
    <w:rsid w:val="00D47A7D"/>
    <w:rsid w:val="00D51191"/>
    <w:rsid w:val="00D55AEE"/>
    <w:rsid w:val="00D60171"/>
    <w:rsid w:val="00D61D3D"/>
    <w:rsid w:val="00D639CE"/>
    <w:rsid w:val="00D65941"/>
    <w:rsid w:val="00D67C10"/>
    <w:rsid w:val="00D75F12"/>
    <w:rsid w:val="00D84940"/>
    <w:rsid w:val="00D84C1E"/>
    <w:rsid w:val="00D85FDC"/>
    <w:rsid w:val="00D90C79"/>
    <w:rsid w:val="00D91B82"/>
    <w:rsid w:val="00D955D3"/>
    <w:rsid w:val="00DA20EB"/>
    <w:rsid w:val="00DA23DA"/>
    <w:rsid w:val="00DB29F3"/>
    <w:rsid w:val="00DC3239"/>
    <w:rsid w:val="00DC5640"/>
    <w:rsid w:val="00DD4CF9"/>
    <w:rsid w:val="00DD6D3F"/>
    <w:rsid w:val="00DD6EA2"/>
    <w:rsid w:val="00DE28F0"/>
    <w:rsid w:val="00DE3305"/>
    <w:rsid w:val="00DE6714"/>
    <w:rsid w:val="00DF208D"/>
    <w:rsid w:val="00DF4AED"/>
    <w:rsid w:val="00DF55CF"/>
    <w:rsid w:val="00DF6715"/>
    <w:rsid w:val="00E05869"/>
    <w:rsid w:val="00E0777C"/>
    <w:rsid w:val="00E15F2B"/>
    <w:rsid w:val="00E20567"/>
    <w:rsid w:val="00E26F49"/>
    <w:rsid w:val="00E27A77"/>
    <w:rsid w:val="00E300B8"/>
    <w:rsid w:val="00E329E0"/>
    <w:rsid w:val="00E356B4"/>
    <w:rsid w:val="00E35CAE"/>
    <w:rsid w:val="00E407B1"/>
    <w:rsid w:val="00E4208D"/>
    <w:rsid w:val="00E423D3"/>
    <w:rsid w:val="00E466ED"/>
    <w:rsid w:val="00E51F66"/>
    <w:rsid w:val="00E52461"/>
    <w:rsid w:val="00E629D7"/>
    <w:rsid w:val="00E67650"/>
    <w:rsid w:val="00E705AA"/>
    <w:rsid w:val="00E70D31"/>
    <w:rsid w:val="00E737CD"/>
    <w:rsid w:val="00E76B74"/>
    <w:rsid w:val="00E93A7E"/>
    <w:rsid w:val="00E955E7"/>
    <w:rsid w:val="00E9750B"/>
    <w:rsid w:val="00EA13BC"/>
    <w:rsid w:val="00EA1CDA"/>
    <w:rsid w:val="00EB024D"/>
    <w:rsid w:val="00EC5AEA"/>
    <w:rsid w:val="00EC717C"/>
    <w:rsid w:val="00ED1244"/>
    <w:rsid w:val="00ED650C"/>
    <w:rsid w:val="00EE197B"/>
    <w:rsid w:val="00EE3494"/>
    <w:rsid w:val="00EE5783"/>
    <w:rsid w:val="00EE5B6C"/>
    <w:rsid w:val="00EE6635"/>
    <w:rsid w:val="00EE7C7D"/>
    <w:rsid w:val="00EF4D07"/>
    <w:rsid w:val="00EF6326"/>
    <w:rsid w:val="00F001EF"/>
    <w:rsid w:val="00F03A3E"/>
    <w:rsid w:val="00F03BC5"/>
    <w:rsid w:val="00F04B02"/>
    <w:rsid w:val="00F06002"/>
    <w:rsid w:val="00F22CD5"/>
    <w:rsid w:val="00F2302F"/>
    <w:rsid w:val="00F2321F"/>
    <w:rsid w:val="00F27030"/>
    <w:rsid w:val="00F30F7A"/>
    <w:rsid w:val="00F348D5"/>
    <w:rsid w:val="00F41582"/>
    <w:rsid w:val="00F433F4"/>
    <w:rsid w:val="00F545D0"/>
    <w:rsid w:val="00F565BD"/>
    <w:rsid w:val="00F57401"/>
    <w:rsid w:val="00F63EE0"/>
    <w:rsid w:val="00F63F3B"/>
    <w:rsid w:val="00F673C7"/>
    <w:rsid w:val="00F674FC"/>
    <w:rsid w:val="00F735A6"/>
    <w:rsid w:val="00F75143"/>
    <w:rsid w:val="00F83EA2"/>
    <w:rsid w:val="00F8447C"/>
    <w:rsid w:val="00F9493A"/>
    <w:rsid w:val="00FB5E83"/>
    <w:rsid w:val="00FC1F62"/>
    <w:rsid w:val="00FC7F28"/>
    <w:rsid w:val="00FD63FB"/>
    <w:rsid w:val="00FD7A2B"/>
    <w:rsid w:val="00FE0162"/>
    <w:rsid w:val="00FE5E12"/>
    <w:rsid w:val="00FF0B0E"/>
    <w:rsid w:val="00FF100F"/>
    <w:rsid w:val="00FF3D2A"/>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80F56D"/>
  <w15:docId w15:val="{76442195-647C-42AF-BF52-3A17F571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pBdr>
        <w:bottom w:val="single" w:sz="18" w:space="0" w:color="auto"/>
      </w:pBdr>
      <w:spacing w:before="120"/>
      <w:outlineLvl w:val="0"/>
    </w:pPr>
    <w:rPr>
      <w:rFonts w:ascii="Times" w:hAnsi="Times"/>
      <w:sz w:val="56"/>
    </w:rPr>
  </w:style>
  <w:style w:type="paragraph" w:styleId="Heading2">
    <w:name w:val="heading 2"/>
    <w:basedOn w:val="Normal"/>
    <w:next w:val="Normal"/>
    <w:qFormat/>
    <w:pPr>
      <w:keepNext/>
      <w:spacing w:after="240"/>
      <w:jc w:val="center"/>
      <w:outlineLvl w:val="1"/>
    </w:pPr>
    <w:rPr>
      <w:rFonts w:ascii="CharterITC BT" w:hAnsi="CharterITC BT"/>
      <w:b/>
      <w:sz w:val="40"/>
    </w:rPr>
  </w:style>
  <w:style w:type="paragraph" w:styleId="Heading3">
    <w:name w:val="heading 3"/>
    <w:basedOn w:val="Normal"/>
    <w:next w:val="Normal"/>
    <w:qFormat/>
    <w:pPr>
      <w:keepNext/>
      <w:tabs>
        <w:tab w:val="left" w:pos="1440"/>
      </w:tabs>
      <w:spacing w:line="200" w:lineRule="atLeast"/>
      <w:jc w:val="both"/>
      <w:outlineLvl w:val="2"/>
    </w:pPr>
    <w:rPr>
      <w:rFonts w:cs="Arial"/>
      <w:b/>
      <w:bCs/>
      <w:lang w:val="en-GB"/>
    </w:rPr>
  </w:style>
  <w:style w:type="paragraph" w:styleId="Heading9">
    <w:name w:val="heading 9"/>
    <w:basedOn w:val="Normal"/>
    <w:next w:val="Normal"/>
    <w:qFormat/>
    <w:pPr>
      <w:keepNext/>
      <w:tabs>
        <w:tab w:val="left" w:pos="1080"/>
        <w:tab w:val="left" w:pos="4050"/>
      </w:tabs>
      <w:outlineLvl w:val="8"/>
    </w:pPr>
    <w:rPr>
      <w:rFonts w:cs="Arial"/>
      <w:b/>
      <w:bCs/>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line="320" w:lineRule="atLeast"/>
    </w:pPr>
    <w:rPr>
      <w:rFonts w:ascii="Times New" w:hAnsi="Times New"/>
    </w:rPr>
  </w:style>
  <w:style w:type="paragraph" w:customStyle="1" w:styleId="TextSubhead">
    <w:name w:val="Text Subhead"/>
    <w:basedOn w:val="Normal"/>
    <w:next w:val="Text"/>
    <w:pPr>
      <w:spacing w:before="160" w:line="320" w:lineRule="atLeast"/>
    </w:pPr>
    <w:rPr>
      <w:b/>
      <w:sz w:val="20"/>
    </w:rPr>
  </w:style>
  <w:style w:type="paragraph" w:customStyle="1" w:styleId="PageTitle">
    <w:name w:val="Page Title"/>
    <w:basedOn w:val="Normal"/>
    <w:next w:val="Normal"/>
    <w:pPr>
      <w:pageBreakBefore/>
      <w:pBdr>
        <w:left w:val="single" w:sz="6" w:space="12" w:color="auto"/>
      </w:pBdr>
      <w:spacing w:after="360"/>
      <w:ind w:left="-792"/>
    </w:pPr>
    <w:rPr>
      <w:rFonts w:ascii="Helvetica-Black" w:hAnsi="Helvetica-Black"/>
      <w:b/>
      <w:sz w:val="36"/>
    </w:rPr>
  </w:style>
  <w:style w:type="paragraph" w:customStyle="1" w:styleId="TextHead">
    <w:name w:val="Text Head"/>
    <w:basedOn w:val="Normal"/>
    <w:next w:val="TextSubhead"/>
    <w:pPr>
      <w:spacing w:before="160" w:line="320" w:lineRule="atLeast"/>
    </w:pPr>
    <w:rPr>
      <w:b/>
      <w:caps/>
      <w:sz w:val="20"/>
    </w:rPr>
  </w:style>
  <w:style w:type="paragraph" w:styleId="Footer">
    <w:name w:val="footer"/>
    <w:basedOn w:val="Normal"/>
    <w:link w:val="FooterChar"/>
    <w:uiPriority w:val="99"/>
    <w:pPr>
      <w:tabs>
        <w:tab w:val="left" w:pos="8280"/>
        <w:tab w:val="right" w:pos="12989"/>
      </w:tabs>
    </w:pPr>
    <w:rPr>
      <w:rFonts w:ascii="CharterITC BT" w:hAnsi="CharterITC BT"/>
      <w:sz w:val="18"/>
    </w:rPr>
  </w:style>
  <w:style w:type="paragraph" w:customStyle="1" w:styleId="TableText">
    <w:name w:val="Table Text"/>
    <w:basedOn w:val="Normal"/>
    <w:rPr>
      <w:rFonts w:ascii="CharterITC BT" w:hAnsi="CharterITC BT"/>
      <w:sz w:val="18"/>
    </w:rPr>
  </w:style>
  <w:style w:type="paragraph" w:customStyle="1" w:styleId="TableHead">
    <w:name w:val="Table Head"/>
    <w:basedOn w:val="Normal"/>
    <w:next w:val="TableText"/>
    <w:pPr>
      <w:spacing w:before="80" w:after="80"/>
    </w:pPr>
    <w:rPr>
      <w:b/>
      <w:sz w:val="16"/>
    </w:rPr>
  </w:style>
  <w:style w:type="paragraph" w:customStyle="1" w:styleId="TableTitle">
    <w:name w:val="Table Title"/>
    <w:basedOn w:val="Normal"/>
    <w:next w:val="TableUnits"/>
    <w:pPr>
      <w:spacing w:before="160"/>
    </w:pPr>
    <w:rPr>
      <w:b/>
      <w:caps/>
      <w:sz w:val="18"/>
    </w:rPr>
  </w:style>
  <w:style w:type="paragraph" w:customStyle="1" w:styleId="TableUnits">
    <w:name w:val="Table Units"/>
    <w:basedOn w:val="Normal"/>
    <w:next w:val="TableText"/>
    <w:pPr>
      <w:spacing w:after="160"/>
    </w:pPr>
    <w:rPr>
      <w:sz w:val="16"/>
    </w:rPr>
  </w:style>
  <w:style w:type="paragraph" w:customStyle="1" w:styleId="Picture">
    <w:name w:val="Picture"/>
    <w:basedOn w:val="Normal"/>
    <w:next w:val="Normal"/>
    <w:rPr>
      <w:rFonts w:ascii="CharterITC BT" w:hAnsi="CharterITC BT"/>
      <w:sz w:val="18"/>
    </w:rPr>
  </w:style>
  <w:style w:type="paragraph" w:customStyle="1" w:styleId="TextHead1">
    <w:name w:val="Text Head 1"/>
    <w:basedOn w:val="Normal"/>
    <w:next w:val="Normal"/>
    <w:pPr>
      <w:widowControl w:val="0"/>
      <w:spacing w:after="140" w:line="280" w:lineRule="atLeast"/>
      <w:ind w:right="1440"/>
    </w:pPr>
    <w:rPr>
      <w:rFonts w:ascii="Helvetica-Black" w:hAnsi="Helvetica-Black"/>
      <w:sz w:val="22"/>
    </w:rPr>
  </w:style>
  <w:style w:type="paragraph" w:customStyle="1" w:styleId="TextBullet1">
    <w:name w:val="Text Bullet 1"/>
    <w:basedOn w:val="Normal"/>
    <w:pPr>
      <w:spacing w:before="160" w:line="320" w:lineRule="exact"/>
      <w:ind w:left="274" w:hanging="274"/>
    </w:pPr>
    <w:rPr>
      <w:rFonts w:ascii="CharterITC BT" w:hAnsi="CharterITC BT"/>
      <w:sz w:val="23"/>
    </w:rPr>
  </w:style>
  <w:style w:type="paragraph" w:customStyle="1" w:styleId="CoverConfidential">
    <w:name w:val="Cover Confidential"/>
    <w:basedOn w:val="Normal"/>
    <w:next w:val="CoverPresentation"/>
    <w:pPr>
      <w:pageBreakBefore/>
      <w:spacing w:before="200"/>
    </w:pPr>
    <w:rPr>
      <w:rFonts w:ascii="Helvetica-Black" w:hAnsi="Helvetica-Black"/>
      <w:b/>
    </w:rPr>
  </w:style>
  <w:style w:type="paragraph" w:customStyle="1" w:styleId="CoverPresentation">
    <w:name w:val="Cover Presentation"/>
    <w:basedOn w:val="Normal"/>
    <w:next w:val="CoverTitle"/>
    <w:pPr>
      <w:spacing w:before="1060"/>
    </w:pPr>
    <w:rPr>
      <w:rFonts w:ascii="CharterITC BT" w:hAnsi="CharterITC BT"/>
    </w:rPr>
  </w:style>
  <w:style w:type="paragraph" w:customStyle="1" w:styleId="CoverTitle">
    <w:name w:val="Cover Title"/>
    <w:basedOn w:val="Normal"/>
    <w:next w:val="CoverSubtitle"/>
    <w:pPr>
      <w:spacing w:before="180"/>
    </w:pPr>
    <w:rPr>
      <w:rFonts w:ascii="Helvetica-Black" w:hAnsi="Helvetica-Black"/>
      <w:b/>
      <w:spacing w:val="10"/>
      <w:sz w:val="48"/>
    </w:rPr>
  </w:style>
  <w:style w:type="paragraph" w:customStyle="1" w:styleId="CoverSubtitle">
    <w:name w:val="Cover Subtitle"/>
    <w:basedOn w:val="Normal"/>
    <w:next w:val="CoverDate"/>
    <w:pPr>
      <w:spacing w:before="640" w:line="400" w:lineRule="exact"/>
    </w:pPr>
    <w:rPr>
      <w:rFonts w:ascii="CharterITC BT" w:hAnsi="CharterITC BT"/>
      <w:caps/>
      <w:spacing w:val="8"/>
      <w:sz w:val="28"/>
    </w:rPr>
  </w:style>
  <w:style w:type="paragraph" w:customStyle="1" w:styleId="CoverDate">
    <w:name w:val="Cover Date"/>
    <w:basedOn w:val="Normal"/>
    <w:next w:val="Normal"/>
    <w:pPr>
      <w:spacing w:before="840"/>
    </w:pPr>
    <w:rPr>
      <w:rFonts w:ascii="CharterITC BT" w:hAnsi="CharterITC BT"/>
      <w:sz w:val="28"/>
    </w:rPr>
  </w:style>
  <w:style w:type="paragraph" w:styleId="TOC2">
    <w:name w:val="toc 2"/>
    <w:basedOn w:val="Normal"/>
    <w:next w:val="Normal"/>
    <w:semiHidden/>
    <w:pPr>
      <w:keepNext/>
      <w:tabs>
        <w:tab w:val="right" w:leader="dot" w:pos="10440"/>
      </w:tabs>
      <w:spacing w:before="320"/>
      <w:ind w:left="446" w:hanging="446"/>
    </w:pPr>
    <w:rPr>
      <w:rFonts w:ascii="CharterITC BT" w:hAnsi="CharterITC BT"/>
      <w:spacing w:val="4"/>
      <w:sz w:val="22"/>
    </w:rPr>
  </w:style>
  <w:style w:type="paragraph" w:styleId="TOC1">
    <w:name w:val="toc 1"/>
    <w:basedOn w:val="PageTitle"/>
    <w:next w:val="Normal"/>
    <w:semiHidden/>
    <w:pPr>
      <w:pBdr>
        <w:left w:val="none" w:sz="0" w:space="0" w:color="auto"/>
      </w:pBdr>
      <w:ind w:left="144"/>
    </w:pPr>
  </w:style>
  <w:style w:type="character" w:customStyle="1" w:styleId="zTOCnum">
    <w:name w:val="zTOCnum"/>
    <w:rPr>
      <w:rFonts w:ascii="Helvetica-Black" w:hAnsi="Helvetica-Black"/>
      <w:noProof/>
      <w:color w:val="000000"/>
      <w:spacing w:val="18"/>
      <w:sz w:val="24"/>
    </w:rPr>
  </w:style>
  <w:style w:type="paragraph" w:customStyle="1" w:styleId="TopicLevel1">
    <w:name w:val="Topic Level 1"/>
    <w:basedOn w:val="Normal"/>
    <w:next w:val="Text"/>
    <w:pPr>
      <w:pageBreakBefore/>
      <w:tabs>
        <w:tab w:val="left" w:pos="994"/>
      </w:tabs>
      <w:spacing w:before="1720"/>
      <w:ind w:left="720" w:hanging="720"/>
    </w:pPr>
    <w:rPr>
      <w:rFonts w:ascii="CharterITC BT" w:hAnsi="CharterITC BT"/>
      <w:caps/>
      <w:spacing w:val="18"/>
      <w:sz w:val="36"/>
    </w:rPr>
  </w:style>
  <w:style w:type="paragraph" w:styleId="Header">
    <w:name w:val="header"/>
    <w:basedOn w:val="Normal"/>
    <w:link w:val="HeaderChar"/>
    <w:pPr>
      <w:tabs>
        <w:tab w:val="center" w:pos="4320"/>
        <w:tab w:val="right" w:pos="8640"/>
      </w:tabs>
    </w:pPr>
  </w:style>
  <w:style w:type="paragraph" w:styleId="FootnoteText">
    <w:name w:val="footnote text"/>
    <w:basedOn w:val="Normal"/>
    <w:semiHidden/>
    <w:pPr>
      <w:ind w:left="274" w:hanging="274"/>
    </w:pPr>
    <w:rPr>
      <w:rFonts w:ascii="CharterITC BT" w:hAnsi="CharterITC BT"/>
      <w:sz w:val="16"/>
    </w:rPr>
  </w:style>
  <w:style w:type="paragraph" w:customStyle="1" w:styleId="PageTitleBelow">
    <w:name w:val="Page Title Below"/>
    <w:basedOn w:val="Normal"/>
    <w:next w:val="Text"/>
    <w:pPr>
      <w:spacing w:after="380"/>
    </w:pPr>
    <w:rPr>
      <w:rFonts w:ascii="CharterITC BT" w:hAnsi="CharterITC BT"/>
      <w:sz w:val="18"/>
    </w:rPr>
  </w:style>
  <w:style w:type="paragraph" w:customStyle="1" w:styleId="PageTitle0">
    <w:name w:val="Page Title+"/>
    <w:basedOn w:val="PageTitle"/>
    <w:next w:val="PageTitleBelow"/>
  </w:style>
  <w:style w:type="paragraph" w:styleId="BlockText">
    <w:name w:val="Block Text"/>
    <w:basedOn w:val="Normal"/>
    <w:pPr>
      <w:tabs>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ight="-450" w:hanging="432"/>
    </w:pPr>
    <w:rPr>
      <w:rFonts w:ascii="Times New Roman" w:hAnsi="Times New Roman"/>
      <w:sz w:val="23"/>
      <w:lang w:val="en-GB"/>
    </w:rPr>
  </w:style>
  <w:style w:type="paragraph" w:styleId="BodyTextIndent">
    <w:name w:val="Body Text Indent"/>
    <w:basedOn w:val="Normal"/>
    <w:pPr>
      <w:ind w:left="720" w:firstLine="720"/>
    </w:pPr>
    <w:rPr>
      <w:rFonts w:ascii="Times New Roman" w:hAnsi="Times New Roman"/>
      <w:sz w:val="20"/>
    </w:rPr>
  </w:style>
  <w:style w:type="character" w:styleId="FootnoteReference">
    <w:name w:val="footnote reference"/>
    <w:rPr>
      <w:vertAlign w:val="superscript"/>
    </w:rPr>
  </w:style>
  <w:style w:type="paragraph" w:styleId="Title">
    <w:name w:val="Title"/>
    <w:basedOn w:val="Normal"/>
    <w:qFormat/>
    <w:pPr>
      <w:spacing w:before="240" w:after="60"/>
      <w:jc w:val="center"/>
      <w:outlineLvl w:val="0"/>
    </w:pPr>
    <w:rPr>
      <w:rFonts w:ascii="Times New Roman" w:hAnsi="Times New Roman"/>
      <w:b/>
      <w:noProof/>
      <w:kern w:val="28"/>
      <w:sz w:val="32"/>
    </w:rPr>
  </w:style>
  <w:style w:type="paragraph" w:customStyle="1" w:styleId="SignatureLines">
    <w:name w:val="Signature Lines"/>
    <w:autoRedefine/>
    <w:pPr>
      <w:spacing w:before="40" w:after="360"/>
      <w:jc w:val="center"/>
    </w:pPr>
    <w:rPr>
      <w:noProof/>
      <w:sz w:val="18"/>
    </w:rPr>
  </w:style>
  <w:style w:type="paragraph" w:customStyle="1" w:styleId="BodyTextsans">
    <w:name w:val="Body Text (sans #)"/>
    <w:basedOn w:val="BodyText"/>
    <w:autoRedefine/>
    <w:pPr>
      <w:numPr>
        <w:numId w:val="0"/>
      </w:numPr>
      <w:spacing w:line="360" w:lineRule="auto"/>
      <w:ind w:firstLine="720"/>
    </w:pPr>
  </w:style>
  <w:style w:type="paragraph" w:styleId="BodyText">
    <w:name w:val="Body Text"/>
    <w:basedOn w:val="Normal"/>
    <w:pPr>
      <w:numPr>
        <w:numId w:val="1"/>
      </w:numPr>
      <w:spacing w:before="120" w:after="120"/>
    </w:pPr>
    <w:rPr>
      <w:rFonts w:ascii="Times New Roman" w:hAnsi="Times New Roman"/>
      <w:sz w:val="22"/>
    </w:rPr>
  </w:style>
  <w:style w:type="paragraph" w:customStyle="1" w:styleId="BodyText2sans">
    <w:name w:val="Body Text 2 (sans #)"/>
    <w:basedOn w:val="BodyTextsans"/>
  </w:style>
  <w:style w:type="paragraph" w:customStyle="1" w:styleId="Address">
    <w:name w:val="Address"/>
    <w:autoRedefine/>
    <w:pPr>
      <w:spacing w:before="120" w:after="120"/>
      <w:ind w:left="3600" w:right="2160"/>
    </w:pPr>
    <w:rPr>
      <w:noProof/>
    </w:rPr>
  </w:style>
  <w:style w:type="paragraph" w:customStyle="1" w:styleId="Note">
    <w:name w:val="Note"/>
    <w:basedOn w:val="Normal"/>
    <w:pPr>
      <w:spacing w:before="120" w:after="120"/>
    </w:pPr>
    <w:rPr>
      <w:rFonts w:ascii="Times New Roman" w:hAnsi="Times New Roman"/>
      <w:noProof/>
      <w:sz w:val="22"/>
    </w:rPr>
  </w:style>
  <w:style w:type="paragraph" w:styleId="Subtitle">
    <w:name w:val="Subtitle"/>
    <w:basedOn w:val="Title"/>
    <w:qFormat/>
    <w:pPr>
      <w:jc w:val="right"/>
      <w:outlineLvl w:val="1"/>
    </w:pPr>
    <w:rPr>
      <w:b w:val="0"/>
      <w:sz w:val="24"/>
      <w:u w:val="single"/>
    </w:rPr>
  </w:style>
  <w:style w:type="character" w:styleId="PageNumber">
    <w:name w:val="page number"/>
    <w:rPr>
      <w:sz w:val="20"/>
    </w:rPr>
  </w:style>
  <w:style w:type="paragraph" w:customStyle="1" w:styleId="p2">
    <w:name w:val="p2"/>
    <w:basedOn w:val="Normal"/>
    <w:pPr>
      <w:widowControl w:val="0"/>
      <w:spacing w:after="240"/>
      <w:ind w:firstLine="432"/>
    </w:pPr>
    <w:rPr>
      <w:rFonts w:ascii="Times New Roman" w:hAnsi="Times New Roman"/>
      <w:sz w:val="20"/>
    </w:rPr>
  </w:style>
  <w:style w:type="character" w:styleId="Hyperlink">
    <w:name w:val="Hyperlink"/>
    <w:uiPriority w:val="99"/>
    <w:rPr>
      <w:color w:val="0000FF"/>
      <w:u w:val="single"/>
    </w:rPr>
  </w:style>
  <w:style w:type="paragraph" w:customStyle="1" w:styleId="SAHead2">
    <w:name w:val="SA Head 2"/>
    <w:basedOn w:val="SAHead1"/>
    <w:pPr>
      <w:pBdr>
        <w:bottom w:val="single" w:sz="24" w:space="6" w:color="000000"/>
      </w:pBdr>
      <w:spacing w:line="800" w:lineRule="exact"/>
    </w:pPr>
    <w:rPr>
      <w:sz w:val="84"/>
    </w:rPr>
  </w:style>
  <w:style w:type="paragraph" w:customStyle="1" w:styleId="SAHead1">
    <w:name w:val="SA Head 1"/>
    <w:basedOn w:val="Heading1"/>
    <w:pPr>
      <w:pBdr>
        <w:bottom w:val="none" w:sz="0" w:space="0" w:color="auto"/>
      </w:pBdr>
      <w:spacing w:before="0" w:line="280" w:lineRule="exact"/>
    </w:pPr>
    <w:rPr>
      <w:rFonts w:ascii="Times New Roman" w:hAnsi="Times New Roman"/>
      <w:sz w:val="36"/>
    </w:rPr>
  </w:style>
  <w:style w:type="paragraph" w:customStyle="1" w:styleId="Legal3L1">
    <w:name w:val="Legal3_L1"/>
    <w:basedOn w:val="Normal"/>
    <w:next w:val="Normal"/>
    <w:pPr>
      <w:keepNext/>
      <w:numPr>
        <w:numId w:val="6"/>
      </w:numPr>
      <w:spacing w:after="240"/>
      <w:outlineLvl w:val="0"/>
    </w:pPr>
    <w:rPr>
      <w:rFonts w:ascii="Times New Roman" w:hAnsi="Times New Roman"/>
      <w:b/>
    </w:rPr>
  </w:style>
  <w:style w:type="paragraph" w:customStyle="1" w:styleId="Legal3L2">
    <w:name w:val="Legal3_L2"/>
    <w:basedOn w:val="Legal3L1"/>
    <w:next w:val="Normal"/>
    <w:pPr>
      <w:keepNext w:val="0"/>
      <w:numPr>
        <w:ilvl w:val="1"/>
      </w:numPr>
      <w:tabs>
        <w:tab w:val="clear" w:pos="1440"/>
      </w:tabs>
      <w:ind w:left="576" w:hanging="576"/>
      <w:outlineLvl w:val="1"/>
    </w:pPr>
    <w:rPr>
      <w:b w:val="0"/>
    </w:rPr>
  </w:style>
  <w:style w:type="paragraph" w:customStyle="1" w:styleId="Legal3L3">
    <w:name w:val="Legal3_L3"/>
    <w:basedOn w:val="Legal3L2"/>
    <w:next w:val="Normal"/>
    <w:pPr>
      <w:numPr>
        <w:ilvl w:val="2"/>
      </w:numPr>
      <w:tabs>
        <w:tab w:val="clear" w:pos="2160"/>
      </w:tabs>
      <w:ind w:left="576" w:hanging="576"/>
      <w:outlineLvl w:val="2"/>
    </w:pPr>
  </w:style>
  <w:style w:type="paragraph" w:customStyle="1" w:styleId="Legal3L4">
    <w:name w:val="Legal3_L4"/>
    <w:basedOn w:val="Legal3L3"/>
    <w:next w:val="Normal"/>
    <w:pPr>
      <w:numPr>
        <w:ilvl w:val="3"/>
      </w:numPr>
      <w:tabs>
        <w:tab w:val="clear" w:pos="2160"/>
      </w:tabs>
      <w:ind w:left="576" w:hanging="576"/>
      <w:outlineLvl w:val="3"/>
    </w:pPr>
  </w:style>
  <w:style w:type="paragraph" w:customStyle="1" w:styleId="Legal3L5">
    <w:name w:val="Legal3_L5"/>
    <w:basedOn w:val="Legal3L4"/>
    <w:next w:val="Normal"/>
    <w:pPr>
      <w:numPr>
        <w:ilvl w:val="4"/>
      </w:numPr>
      <w:tabs>
        <w:tab w:val="clear" w:pos="2880"/>
      </w:tabs>
      <w:ind w:left="576" w:hanging="576"/>
      <w:outlineLvl w:val="4"/>
    </w:pPr>
  </w:style>
  <w:style w:type="paragraph" w:customStyle="1" w:styleId="Legal3L6">
    <w:name w:val="Legal3_L6"/>
    <w:basedOn w:val="Legal3L5"/>
    <w:next w:val="Normal"/>
    <w:pPr>
      <w:numPr>
        <w:ilvl w:val="5"/>
      </w:numPr>
      <w:tabs>
        <w:tab w:val="clear" w:pos="3600"/>
      </w:tabs>
      <w:ind w:left="576" w:hanging="576"/>
      <w:outlineLvl w:val="5"/>
    </w:pPr>
  </w:style>
  <w:style w:type="paragraph" w:customStyle="1" w:styleId="Legal3L7">
    <w:name w:val="Legal3_L7"/>
    <w:basedOn w:val="Legal3L6"/>
    <w:next w:val="Normal"/>
    <w:pPr>
      <w:numPr>
        <w:ilvl w:val="6"/>
      </w:numPr>
      <w:tabs>
        <w:tab w:val="clear" w:pos="4320"/>
      </w:tabs>
      <w:ind w:left="576" w:hanging="576"/>
      <w:outlineLvl w:val="6"/>
    </w:pPr>
  </w:style>
  <w:style w:type="paragraph" w:customStyle="1" w:styleId="CG-NumberA">
    <w:name w:val="CG-Number A"/>
    <w:basedOn w:val="Normal"/>
    <w:pPr>
      <w:numPr>
        <w:numId w:val="11"/>
      </w:numPr>
      <w:spacing w:after="240"/>
    </w:pPr>
    <w:rPr>
      <w:rFonts w:ascii="Times New Roman" w:hAnsi="Times New Roman"/>
    </w:rPr>
  </w:style>
  <w:style w:type="character" w:customStyle="1" w:styleId="DeltaViewInsertion">
    <w:name w:val="DeltaView Insertion"/>
    <w:rPr>
      <w:color w:val="0000FF"/>
      <w:spacing w:val="0"/>
      <w:u w:val="double"/>
    </w:rPr>
  </w:style>
  <w:style w:type="paragraph" w:customStyle="1" w:styleId="SAtext">
    <w:name w:val="SA text"/>
    <w:basedOn w:val="Normal"/>
    <w:pPr>
      <w:tabs>
        <w:tab w:val="left" w:pos="360"/>
      </w:tabs>
      <w:spacing w:before="120" w:after="160" w:line="280" w:lineRule="exact"/>
    </w:pPr>
    <w:rPr>
      <w:rFonts w:ascii="Times New Roman" w:hAnsi="Times New Roman"/>
      <w:sz w:val="22"/>
    </w:rPr>
  </w:style>
  <w:style w:type="paragraph" w:customStyle="1" w:styleId="SASubhd1">
    <w:name w:val="SA Subhd 1."/>
    <w:basedOn w:val="SAtext"/>
    <w:pPr>
      <w:keepNext/>
      <w:spacing w:before="240"/>
    </w:pPr>
    <w:rPr>
      <w:b/>
    </w:rPr>
  </w:style>
  <w:style w:type="paragraph" w:customStyle="1" w:styleId="CG-SingleSp05">
    <w:name w:val="CG-Single Sp 0.5"/>
    <w:basedOn w:val="Normal"/>
    <w:pPr>
      <w:spacing w:after="240"/>
      <w:ind w:firstLine="720"/>
    </w:pPr>
    <w:rPr>
      <w:rFonts w:ascii="Times New Roman" w:hAnsi="Times New Roman"/>
    </w:rPr>
  </w:style>
  <w:style w:type="paragraph" w:customStyle="1" w:styleId="CG-SingleSp">
    <w:name w:val="CG-Single Sp"/>
    <w:basedOn w:val="Normal"/>
    <w:pPr>
      <w:spacing w:after="240"/>
    </w:pPr>
    <w:rPr>
      <w:rFonts w:ascii="Times New Roman" w:hAnsi="Times New Roman"/>
    </w:rPr>
  </w:style>
  <w:style w:type="paragraph" w:customStyle="1" w:styleId="Bodytext0">
    <w:name w:val="!Bodytext"/>
    <w:basedOn w:val="Normal"/>
    <w:pPr>
      <w:overflowPunct w:val="0"/>
      <w:autoSpaceDE w:val="0"/>
      <w:autoSpaceDN w:val="0"/>
      <w:adjustRightInd w:val="0"/>
      <w:spacing w:after="220"/>
      <w:jc w:val="both"/>
      <w:textAlignment w:val="baseline"/>
    </w:pPr>
    <w:rPr>
      <w:rFonts w:ascii="Times New Roman" w:hAnsi="Times New Roman"/>
      <w:kern w:val="2"/>
      <w:sz w:val="22"/>
    </w:rPr>
  </w:style>
  <w:style w:type="paragraph" w:customStyle="1" w:styleId="SAnotes">
    <w:name w:val="SA notes"/>
    <w:basedOn w:val="Footer"/>
    <w:pPr>
      <w:tabs>
        <w:tab w:val="clear" w:pos="8280"/>
        <w:tab w:val="clear" w:pos="12989"/>
        <w:tab w:val="center" w:pos="4320"/>
        <w:tab w:val="right" w:pos="8640"/>
      </w:tabs>
    </w:pPr>
    <w:rPr>
      <w:rFonts w:ascii="Times New Roman" w:hAnsi="Times New Roman"/>
      <w:sz w:val="16"/>
    </w:rPr>
  </w:style>
  <w:style w:type="paragraph" w:customStyle="1" w:styleId="Texthead0">
    <w:name w:val="Text head"/>
    <w:basedOn w:val="Normal"/>
    <w:pPr>
      <w:spacing w:line="280" w:lineRule="exact"/>
    </w:pPr>
    <w:rPr>
      <w:b/>
      <w:sz w:val="22"/>
    </w:rPr>
  </w:style>
  <w:style w:type="paragraph" w:customStyle="1" w:styleId="1stParagraph">
    <w:name w:val="1st Paragraph"/>
    <w:basedOn w:val="Normal"/>
    <w:pPr>
      <w:spacing w:line="360" w:lineRule="exact"/>
    </w:pPr>
    <w:rPr>
      <w:rFonts w:ascii="Times New Roman" w:hAnsi="Times New Roman"/>
      <w:i/>
      <w:sz w:val="18"/>
    </w:rPr>
  </w:style>
  <w:style w:type="paragraph" w:customStyle="1" w:styleId="Headline">
    <w:name w:val="Headline"/>
    <w:basedOn w:val="Normal"/>
    <w:pPr>
      <w:framePr w:hSpace="180" w:wrap="around" w:vAnchor="text" w:hAnchor="text" w:y="1"/>
      <w:spacing w:line="640" w:lineRule="exact"/>
    </w:pPr>
    <w:rPr>
      <w:rFonts w:ascii="Times New Roman" w:hAnsi="Times New Roman"/>
      <w:i/>
      <w:sz w:val="60"/>
    </w:rPr>
  </w:style>
  <w:style w:type="paragraph" w:customStyle="1" w:styleId="WPDefaults">
    <w:name w:val="WP Defaults"/>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pPr>
    <w:rPr>
      <w:rFonts w:ascii="Courier" w:hAnsi="Courier"/>
      <w:color w:val="000000"/>
      <w:sz w:val="24"/>
    </w:rPr>
  </w:style>
  <w:style w:type="paragraph" w:customStyle="1" w:styleId="MacPacTrailer">
    <w:name w:val="MacPac Trailer"/>
    <w:rsid w:val="00D85FDC"/>
    <w:pPr>
      <w:widowControl w:val="0"/>
      <w:spacing w:line="200" w:lineRule="exact"/>
    </w:pPr>
    <w:rPr>
      <w:sz w:val="16"/>
      <w:szCs w:val="22"/>
    </w:rPr>
  </w:style>
  <w:style w:type="paragraph" w:styleId="BalloonText">
    <w:name w:val="Balloon Text"/>
    <w:basedOn w:val="Normal"/>
    <w:semiHidden/>
    <w:rsid w:val="00D05210"/>
    <w:rPr>
      <w:rFonts w:ascii="Tahoma" w:hAnsi="Tahoma" w:cs="Tahoma"/>
      <w:sz w:val="16"/>
      <w:szCs w:val="16"/>
    </w:rPr>
  </w:style>
  <w:style w:type="paragraph" w:customStyle="1" w:styleId="Stamps">
    <w:name w:val="Stamps"/>
    <w:rsid w:val="00DF4AED"/>
    <w:pPr>
      <w:shd w:val="clear" w:color="auto" w:fill="FFFFFF"/>
      <w:jc w:val="center"/>
    </w:pPr>
    <w:rPr>
      <w:b/>
      <w:smallCaps/>
      <w:noProof/>
    </w:rPr>
  </w:style>
  <w:style w:type="paragraph" w:customStyle="1" w:styleId="Draft">
    <w:name w:val="Draft"/>
    <w:basedOn w:val="Normal"/>
    <w:rsid w:val="00DF4AED"/>
    <w:pPr>
      <w:jc w:val="center"/>
    </w:pPr>
    <w:rPr>
      <w:b/>
      <w:sz w:val="48"/>
    </w:rPr>
  </w:style>
  <w:style w:type="paragraph" w:customStyle="1" w:styleId="DraftStamp">
    <w:name w:val="Draft Stamp"/>
    <w:basedOn w:val="Normal"/>
    <w:link w:val="DraftStampChar"/>
    <w:rsid w:val="00ED1244"/>
    <w:pPr>
      <w:jc w:val="center"/>
    </w:pPr>
    <w:rPr>
      <w:rFonts w:ascii="Times New Roman Bold" w:hAnsi="Times New Roman Bold" w:cs="Arial"/>
      <w:b/>
      <w:bCs/>
      <w:smallCaps/>
      <w:sz w:val="20"/>
      <w:szCs w:val="24"/>
    </w:rPr>
  </w:style>
  <w:style w:type="paragraph" w:customStyle="1" w:styleId="DateSpecial">
    <w:name w:val="DateSpecial"/>
    <w:basedOn w:val="DraftStamp"/>
    <w:link w:val="DateSpecialChar"/>
    <w:rsid w:val="00A10F82"/>
  </w:style>
  <w:style w:type="character" w:customStyle="1" w:styleId="DraftStampChar">
    <w:name w:val="Draft Stamp Char"/>
    <w:link w:val="DraftStamp"/>
    <w:rsid w:val="00A10F82"/>
    <w:rPr>
      <w:rFonts w:ascii="Times New Roman Bold" w:hAnsi="Times New Roman Bold" w:cs="Arial"/>
      <w:b/>
      <w:bCs/>
      <w:smallCaps/>
      <w:szCs w:val="24"/>
    </w:rPr>
  </w:style>
  <w:style w:type="character" w:customStyle="1" w:styleId="DateSpecialChar">
    <w:name w:val="DateSpecial Char"/>
    <w:link w:val="DateSpecial"/>
    <w:rsid w:val="00A10F82"/>
  </w:style>
  <w:style w:type="paragraph" w:customStyle="1" w:styleId="SAtextChar">
    <w:name w:val="SA text Char"/>
    <w:basedOn w:val="Normal"/>
    <w:link w:val="SAtextCharChar"/>
    <w:rsid w:val="00086242"/>
    <w:pPr>
      <w:tabs>
        <w:tab w:val="left" w:pos="360"/>
      </w:tabs>
      <w:spacing w:before="120" w:after="160" w:line="280" w:lineRule="exact"/>
    </w:pPr>
    <w:rPr>
      <w:rFonts w:ascii="Times New Roman" w:hAnsi="Times New Roman"/>
      <w:sz w:val="22"/>
    </w:rPr>
  </w:style>
  <w:style w:type="character" w:customStyle="1" w:styleId="SAtextCharChar">
    <w:name w:val="SA text Char Char"/>
    <w:link w:val="SAtextChar"/>
    <w:rsid w:val="00086242"/>
    <w:rPr>
      <w:sz w:val="22"/>
    </w:rPr>
  </w:style>
  <w:style w:type="character" w:styleId="PlaceholderText">
    <w:name w:val="Placeholder Text"/>
    <w:basedOn w:val="DefaultParagraphFont"/>
    <w:uiPriority w:val="99"/>
    <w:semiHidden/>
    <w:rsid w:val="00382E51"/>
    <w:rPr>
      <w:color w:val="808080"/>
    </w:rPr>
  </w:style>
  <w:style w:type="character" w:customStyle="1" w:styleId="FooterChar">
    <w:name w:val="Footer Char"/>
    <w:basedOn w:val="DefaultParagraphFont"/>
    <w:link w:val="Footer"/>
    <w:uiPriority w:val="99"/>
    <w:rsid w:val="00721581"/>
    <w:rPr>
      <w:rFonts w:ascii="CharterITC BT" w:hAnsi="CharterITC BT"/>
      <w:sz w:val="18"/>
    </w:rPr>
  </w:style>
  <w:style w:type="paragraph" w:customStyle="1" w:styleId="ShortLegal1">
    <w:name w:val="ShortLegal1"/>
    <w:basedOn w:val="Normal"/>
    <w:rsid w:val="00A656DE"/>
    <w:pPr>
      <w:numPr>
        <w:numId w:val="12"/>
      </w:numPr>
      <w:spacing w:before="240" w:after="240"/>
      <w:jc w:val="both"/>
      <w:outlineLvl w:val="0"/>
    </w:pPr>
    <w:rPr>
      <w:rFonts w:ascii="Times New Roman" w:hAnsi="Times New Roman"/>
      <w:b/>
      <w:color w:val="000000"/>
      <w:szCs w:val="24"/>
      <w:u w:val="single"/>
      <w:lang w:eastAsia="zh-CN"/>
    </w:rPr>
  </w:style>
  <w:style w:type="paragraph" w:customStyle="1" w:styleId="ShortLegal2">
    <w:name w:val="ShortLegal2"/>
    <w:basedOn w:val="Normal"/>
    <w:link w:val="ShortLegal2Char"/>
    <w:rsid w:val="00A656DE"/>
    <w:pPr>
      <w:numPr>
        <w:ilvl w:val="1"/>
        <w:numId w:val="12"/>
      </w:numPr>
      <w:spacing w:before="240" w:after="240"/>
      <w:jc w:val="both"/>
      <w:outlineLvl w:val="1"/>
    </w:pPr>
    <w:rPr>
      <w:rFonts w:ascii="Times New Roman" w:hAnsi="Times New Roman"/>
      <w:color w:val="000000"/>
      <w:szCs w:val="24"/>
      <w:lang w:eastAsia="zh-CN"/>
    </w:rPr>
  </w:style>
  <w:style w:type="character" w:customStyle="1" w:styleId="ShortLegal2Char">
    <w:name w:val="ShortLegal2 Char"/>
    <w:link w:val="ShortLegal2"/>
    <w:rsid w:val="00A656DE"/>
    <w:rPr>
      <w:color w:val="000000"/>
      <w:sz w:val="24"/>
      <w:szCs w:val="24"/>
      <w:lang w:eastAsia="zh-CN"/>
    </w:rPr>
  </w:style>
  <w:style w:type="paragraph" w:customStyle="1" w:styleId="ShortLegal3">
    <w:name w:val="ShortLegal3"/>
    <w:basedOn w:val="Normal"/>
    <w:link w:val="ShortLegal3Char"/>
    <w:rsid w:val="00A656DE"/>
    <w:pPr>
      <w:numPr>
        <w:ilvl w:val="2"/>
        <w:numId w:val="12"/>
      </w:numPr>
      <w:spacing w:before="240" w:after="240"/>
      <w:jc w:val="both"/>
      <w:outlineLvl w:val="2"/>
    </w:pPr>
    <w:rPr>
      <w:rFonts w:ascii="Times New Roman" w:hAnsi="Times New Roman"/>
      <w:color w:val="000000"/>
      <w:szCs w:val="24"/>
      <w:lang w:eastAsia="zh-CN"/>
    </w:rPr>
  </w:style>
  <w:style w:type="character" w:customStyle="1" w:styleId="ShortLegal3Char">
    <w:name w:val="ShortLegal3 Char"/>
    <w:link w:val="ShortLegal3"/>
    <w:rsid w:val="00A656DE"/>
    <w:rPr>
      <w:color w:val="000000"/>
      <w:sz w:val="24"/>
      <w:szCs w:val="24"/>
      <w:lang w:eastAsia="zh-CN"/>
    </w:rPr>
  </w:style>
  <w:style w:type="paragraph" w:customStyle="1" w:styleId="ShortLegal4">
    <w:name w:val="ShortLegal4"/>
    <w:basedOn w:val="Normal"/>
    <w:rsid w:val="00A656DE"/>
    <w:pPr>
      <w:numPr>
        <w:ilvl w:val="3"/>
        <w:numId w:val="12"/>
      </w:numPr>
      <w:spacing w:before="240" w:after="240"/>
      <w:jc w:val="both"/>
      <w:outlineLvl w:val="3"/>
    </w:pPr>
    <w:rPr>
      <w:rFonts w:ascii="Times New Roman" w:hAnsi="Times New Roman"/>
      <w:color w:val="000000"/>
      <w:szCs w:val="24"/>
      <w:lang w:eastAsia="zh-CN"/>
    </w:rPr>
  </w:style>
  <w:style w:type="paragraph" w:customStyle="1" w:styleId="ShortLegal5">
    <w:name w:val="ShortLegal5"/>
    <w:basedOn w:val="Normal"/>
    <w:rsid w:val="00A656DE"/>
    <w:pPr>
      <w:numPr>
        <w:ilvl w:val="4"/>
        <w:numId w:val="12"/>
      </w:numPr>
      <w:spacing w:before="240" w:after="240"/>
      <w:jc w:val="both"/>
      <w:outlineLvl w:val="4"/>
    </w:pPr>
    <w:rPr>
      <w:rFonts w:ascii="Times New Roman" w:hAnsi="Times New Roman"/>
      <w:color w:val="000000"/>
      <w:szCs w:val="24"/>
      <w:lang w:eastAsia="zh-CN"/>
    </w:rPr>
  </w:style>
  <w:style w:type="paragraph" w:customStyle="1" w:styleId="ShortLegal6">
    <w:name w:val="ShortLegal6"/>
    <w:basedOn w:val="Normal"/>
    <w:rsid w:val="00A656DE"/>
    <w:pPr>
      <w:numPr>
        <w:ilvl w:val="5"/>
        <w:numId w:val="12"/>
      </w:numPr>
      <w:spacing w:before="240" w:after="240"/>
      <w:jc w:val="both"/>
      <w:outlineLvl w:val="5"/>
    </w:pPr>
    <w:rPr>
      <w:rFonts w:ascii="Times New Roman" w:hAnsi="Times New Roman"/>
      <w:color w:val="000000"/>
      <w:szCs w:val="24"/>
      <w:lang w:eastAsia="zh-CN"/>
    </w:rPr>
  </w:style>
  <w:style w:type="numbering" w:customStyle="1" w:styleId="ShortLegalList">
    <w:name w:val="ShortLegalList"/>
    <w:basedOn w:val="NoList"/>
    <w:rsid w:val="00A656DE"/>
    <w:pPr>
      <w:numPr>
        <w:numId w:val="12"/>
      </w:numPr>
    </w:pPr>
  </w:style>
  <w:style w:type="paragraph" w:styleId="ListParagraph">
    <w:name w:val="List Paragraph"/>
    <w:basedOn w:val="Normal"/>
    <w:uiPriority w:val="34"/>
    <w:qFormat/>
    <w:rsid w:val="0060150B"/>
    <w:pPr>
      <w:ind w:left="720"/>
      <w:contextualSpacing/>
    </w:pPr>
  </w:style>
  <w:style w:type="paragraph" w:customStyle="1" w:styleId="BulletPara">
    <w:name w:val="Bullet Para"/>
    <w:aliases w:val="bp"/>
    <w:basedOn w:val="Normal"/>
    <w:uiPriority w:val="4"/>
    <w:qFormat/>
    <w:rsid w:val="007D3E3C"/>
    <w:pPr>
      <w:numPr>
        <w:numId w:val="13"/>
      </w:numPr>
      <w:jc w:val="both"/>
    </w:pPr>
    <w:rPr>
      <w:rFonts w:ascii="Times New Roman" w:hAnsi="Times New Roman"/>
      <w:szCs w:val="24"/>
      <w:lang w:eastAsia="zh-CN"/>
    </w:rPr>
  </w:style>
  <w:style w:type="paragraph" w:customStyle="1" w:styleId="BulletParaAlt">
    <w:name w:val="Bullet Para Alt"/>
    <w:aliases w:val="bpa"/>
    <w:basedOn w:val="Normal"/>
    <w:uiPriority w:val="4"/>
    <w:rsid w:val="007D3E3C"/>
    <w:pPr>
      <w:numPr>
        <w:ilvl w:val="2"/>
        <w:numId w:val="13"/>
      </w:numPr>
      <w:jc w:val="both"/>
    </w:pPr>
    <w:rPr>
      <w:rFonts w:ascii="Times New Roman" w:hAnsi="Times New Roman"/>
      <w:szCs w:val="24"/>
      <w:lang w:eastAsia="zh-CN"/>
    </w:rPr>
  </w:style>
  <w:style w:type="paragraph" w:customStyle="1" w:styleId="BulletPara2">
    <w:name w:val="Bullet Para2"/>
    <w:aliases w:val="bp2"/>
    <w:basedOn w:val="Normal"/>
    <w:uiPriority w:val="4"/>
    <w:rsid w:val="007D3E3C"/>
    <w:pPr>
      <w:numPr>
        <w:ilvl w:val="1"/>
        <w:numId w:val="13"/>
      </w:numPr>
      <w:jc w:val="both"/>
    </w:pPr>
    <w:rPr>
      <w:rFonts w:ascii="Times New Roman" w:hAnsi="Times New Roman"/>
      <w:szCs w:val="24"/>
      <w:lang w:eastAsia="zh-CN"/>
    </w:rPr>
  </w:style>
  <w:style w:type="paragraph" w:customStyle="1" w:styleId="FooterB">
    <w:name w:val="Footer B"/>
    <w:link w:val="FooterBChar"/>
    <w:rsid w:val="007D3E3C"/>
    <w:pPr>
      <w:tabs>
        <w:tab w:val="center" w:pos="4680"/>
        <w:tab w:val="right" w:pos="9360"/>
      </w:tabs>
    </w:pPr>
    <w:rPr>
      <w:sz w:val="15"/>
      <w:szCs w:val="24"/>
      <w:lang w:eastAsia="zh-CN" w:bidi="he-IL"/>
    </w:rPr>
  </w:style>
  <w:style w:type="numbering" w:customStyle="1" w:styleId="FlatBulletsList">
    <w:name w:val="FlatBulletsList"/>
    <w:basedOn w:val="NoList"/>
    <w:uiPriority w:val="99"/>
    <w:rsid w:val="007D3E3C"/>
    <w:pPr>
      <w:numPr>
        <w:numId w:val="13"/>
      </w:numPr>
    </w:pPr>
  </w:style>
  <w:style w:type="character" w:customStyle="1" w:styleId="FooterBChar">
    <w:name w:val="Footer B Char"/>
    <w:link w:val="FooterB"/>
    <w:rsid w:val="007D3E3C"/>
    <w:rPr>
      <w:sz w:val="15"/>
      <w:szCs w:val="24"/>
      <w:lang w:eastAsia="zh-CN" w:bidi="he-IL"/>
    </w:rPr>
  </w:style>
  <w:style w:type="character" w:customStyle="1" w:styleId="HeaderChar">
    <w:name w:val="Header Char"/>
    <w:basedOn w:val="DefaultParagraphFont"/>
    <w:link w:val="Header"/>
    <w:rsid w:val="00ED1244"/>
    <w:rPr>
      <w:rFonts w:ascii="Arial" w:hAnsi="Arial"/>
      <w:sz w:val="24"/>
    </w:rPr>
  </w:style>
  <w:style w:type="character" w:styleId="CommentReference">
    <w:name w:val="annotation reference"/>
    <w:basedOn w:val="DefaultParagraphFont"/>
    <w:semiHidden/>
    <w:unhideWhenUsed/>
    <w:rsid w:val="00133973"/>
    <w:rPr>
      <w:sz w:val="16"/>
      <w:szCs w:val="16"/>
    </w:rPr>
  </w:style>
  <w:style w:type="paragraph" w:styleId="CommentText">
    <w:name w:val="annotation text"/>
    <w:basedOn w:val="Normal"/>
    <w:link w:val="CommentTextChar"/>
    <w:unhideWhenUsed/>
    <w:rsid w:val="00133973"/>
    <w:rPr>
      <w:sz w:val="20"/>
    </w:rPr>
  </w:style>
  <w:style w:type="character" w:customStyle="1" w:styleId="CommentTextChar">
    <w:name w:val="Comment Text Char"/>
    <w:basedOn w:val="DefaultParagraphFont"/>
    <w:link w:val="CommentText"/>
    <w:rsid w:val="00133973"/>
    <w:rPr>
      <w:rFonts w:ascii="Arial" w:hAnsi="Arial"/>
    </w:rPr>
  </w:style>
  <w:style w:type="paragraph" w:styleId="CommentSubject">
    <w:name w:val="annotation subject"/>
    <w:basedOn w:val="CommentText"/>
    <w:next w:val="CommentText"/>
    <w:link w:val="CommentSubjectChar"/>
    <w:semiHidden/>
    <w:unhideWhenUsed/>
    <w:rsid w:val="00133973"/>
    <w:rPr>
      <w:b/>
      <w:bCs/>
    </w:rPr>
  </w:style>
  <w:style w:type="character" w:customStyle="1" w:styleId="CommentSubjectChar">
    <w:name w:val="Comment Subject Char"/>
    <w:basedOn w:val="CommentTextChar"/>
    <w:link w:val="CommentSubject"/>
    <w:semiHidden/>
    <w:rsid w:val="00133973"/>
    <w:rPr>
      <w:rFonts w:ascii="Arial" w:hAnsi="Arial"/>
      <w:b/>
      <w:bCs/>
    </w:rPr>
  </w:style>
  <w:style w:type="paragraph" w:styleId="Revision">
    <w:name w:val="Revision"/>
    <w:hidden/>
    <w:uiPriority w:val="99"/>
    <w:semiHidden/>
    <w:rsid w:val="001B336F"/>
    <w:rPr>
      <w:rFonts w:ascii="Arial" w:hAnsi="Arial"/>
      <w:sz w:val="24"/>
    </w:rPr>
  </w:style>
  <w:style w:type="character" w:customStyle="1" w:styleId="UnresolvedMention1">
    <w:name w:val="Unresolved Mention1"/>
    <w:basedOn w:val="DefaultParagraphFont"/>
    <w:uiPriority w:val="99"/>
    <w:semiHidden/>
    <w:unhideWhenUsed/>
    <w:rsid w:val="008A1C82"/>
    <w:rPr>
      <w:color w:val="605E5C"/>
      <w:shd w:val="clear" w:color="auto" w:fill="E1DFDD"/>
    </w:rPr>
  </w:style>
  <w:style w:type="paragraph" w:customStyle="1" w:styleId="SAfooter">
    <w:name w:val="SA footer"/>
    <w:basedOn w:val="Normal"/>
    <w:rsid w:val="00A22BCA"/>
    <w:pPr>
      <w:spacing w:line="200" w:lineRule="exact"/>
      <w:jc w:val="right"/>
    </w:pPr>
    <w:rPr>
      <w:rFonts w:ascii="Times New Roman" w:hAnsi="Times New Roman"/>
      <w:sz w:val="18"/>
    </w:rPr>
  </w:style>
  <w:style w:type="paragraph" w:customStyle="1" w:styleId="SAnotesChar">
    <w:name w:val="SA notes Char"/>
    <w:basedOn w:val="Footer"/>
    <w:link w:val="SAnotesCharChar"/>
    <w:rsid w:val="00A22BCA"/>
    <w:pPr>
      <w:tabs>
        <w:tab w:val="clear" w:pos="8280"/>
        <w:tab w:val="clear" w:pos="12989"/>
        <w:tab w:val="center" w:pos="4320"/>
        <w:tab w:val="right" w:pos="8640"/>
      </w:tabs>
      <w:spacing w:after="120"/>
    </w:pPr>
    <w:rPr>
      <w:rFonts w:ascii="Times New Roman" w:hAnsi="Times New Roman"/>
      <w:sz w:val="16"/>
    </w:rPr>
  </w:style>
  <w:style w:type="character" w:customStyle="1" w:styleId="SAnotesCharChar">
    <w:name w:val="SA notes Char Char"/>
    <w:link w:val="SAnotesChar"/>
    <w:rsid w:val="00A22BCA"/>
    <w:rPr>
      <w:sz w:val="16"/>
    </w:rPr>
  </w:style>
  <w:style w:type="paragraph" w:customStyle="1" w:styleId="ReferencenumberChar">
    <w:name w:val="Reference number Char"/>
    <w:basedOn w:val="SAtextChar"/>
    <w:link w:val="ReferencenumberCharChar"/>
    <w:rsid w:val="00A22BCA"/>
    <w:rPr>
      <w:rFonts w:ascii="Times" w:hAnsi="Times"/>
      <w:szCs w:val="22"/>
      <w:vertAlign w:val="superscript"/>
    </w:rPr>
  </w:style>
  <w:style w:type="paragraph" w:customStyle="1" w:styleId="SAlevel3">
    <w:name w:val="SA level 3"/>
    <w:basedOn w:val="Normal"/>
    <w:rsid w:val="00A22BCA"/>
    <w:pPr>
      <w:numPr>
        <w:ilvl w:val="2"/>
        <w:numId w:val="17"/>
      </w:numPr>
      <w:spacing w:before="240"/>
    </w:pPr>
    <w:rPr>
      <w:rFonts w:ascii="Times New Roman" w:hAnsi="Times New Roman"/>
      <w:sz w:val="22"/>
      <w:szCs w:val="24"/>
    </w:rPr>
  </w:style>
  <w:style w:type="character" w:customStyle="1" w:styleId="ReferencenumberCharChar">
    <w:name w:val="Reference number Char Char"/>
    <w:link w:val="ReferencenumberChar"/>
    <w:rsid w:val="00A22BCA"/>
    <w:rPr>
      <w:rFonts w:ascii="Times" w:hAnsi="Times"/>
      <w:sz w:val="22"/>
      <w:szCs w:val="22"/>
      <w:vertAlign w:val="superscript"/>
    </w:rPr>
  </w:style>
  <w:style w:type="paragraph" w:customStyle="1" w:styleId="StyleSAtext115ptChar">
    <w:name w:val="Style SA text + 11.5 pt Char"/>
    <w:basedOn w:val="SAtextChar"/>
    <w:link w:val="StyleSAtext115ptCharChar"/>
    <w:rsid w:val="00A22BCA"/>
  </w:style>
  <w:style w:type="character" w:customStyle="1" w:styleId="StyleSAtext115ptCharChar">
    <w:name w:val="Style SA text + 11.5 pt Char Char"/>
    <w:basedOn w:val="DefaultParagraphFont"/>
    <w:link w:val="StyleSAtext115ptChar"/>
    <w:rsid w:val="00A22BCA"/>
    <w:rPr>
      <w:sz w:val="22"/>
    </w:rPr>
  </w:style>
  <w:style w:type="paragraph" w:customStyle="1" w:styleId="SASubhd3">
    <w:name w:val="SA Subhd 3."/>
    <w:basedOn w:val="SAtextChar"/>
    <w:rsid w:val="00A22BCA"/>
    <w:pPr>
      <w:numPr>
        <w:ilvl w:val="1"/>
        <w:numId w:val="17"/>
      </w:numPr>
      <w:tabs>
        <w:tab w:val="left" w:pos="907"/>
      </w:tabs>
      <w:spacing w:before="0"/>
    </w:pPr>
  </w:style>
  <w:style w:type="paragraph" w:customStyle="1" w:styleId="Style7">
    <w:name w:val="Style7"/>
    <w:basedOn w:val="SASubhd2"/>
    <w:rsid w:val="000520F6"/>
    <w:pPr>
      <w:numPr>
        <w:ilvl w:val="1"/>
      </w:numPr>
    </w:pPr>
    <w:rPr>
      <w:b w:val="0"/>
      <w:sz w:val="22"/>
      <w:szCs w:val="22"/>
    </w:rPr>
  </w:style>
  <w:style w:type="paragraph" w:customStyle="1" w:styleId="SASubhd2">
    <w:name w:val="SA Subhd 2."/>
    <w:basedOn w:val="Normal"/>
    <w:rsid w:val="000520F6"/>
    <w:pPr>
      <w:keepNext/>
      <w:numPr>
        <w:numId w:val="18"/>
      </w:numPr>
      <w:spacing w:before="240" w:line="280" w:lineRule="exact"/>
    </w:pPr>
    <w:rPr>
      <w:rFonts w:ascii="Times New Roman" w:hAnsi="Times New Roman"/>
      <w:b/>
    </w:rPr>
  </w:style>
  <w:style w:type="paragraph" w:customStyle="1" w:styleId="SKDocID">
    <w:name w:val="SKDocID"/>
    <w:basedOn w:val="Normal"/>
    <w:qFormat/>
    <w:rsid w:val="00DA20EB"/>
    <w:pPr>
      <w:spacing w:after="160" w:line="259" w:lineRule="auto"/>
    </w:pPr>
    <w:rPr>
      <w:rFonts w:ascii="Times New Roman" w:eastAsiaTheme="minorHAnsi" w:hAnsi="Times New Roman" w:cstheme="minorBidi"/>
      <w:kern w:val="2"/>
      <w:sz w:val="16"/>
      <w:szCs w:val="22"/>
      <w14:ligatures w14:val="standardContextual"/>
    </w:rPr>
  </w:style>
  <w:style w:type="paragraph" w:customStyle="1" w:styleId="BasicParagraph">
    <w:name w:val="[Basic Paragraph]"/>
    <w:basedOn w:val="Normal"/>
    <w:uiPriority w:val="99"/>
    <w:rsid w:val="00F75143"/>
    <w:pPr>
      <w:autoSpaceDE w:val="0"/>
      <w:autoSpaceDN w:val="0"/>
      <w:adjustRightInd w:val="0"/>
      <w:spacing w:line="288" w:lineRule="auto"/>
      <w:textAlignment w:val="center"/>
    </w:pPr>
    <w:rPr>
      <w:rFonts w:ascii="Minion Pro" w:eastAsiaTheme="minorHAnsi" w:hAnsi="Minion Pro" w:cs="Minion Pro"/>
      <w:color w:val="000000"/>
      <w:szCs w:val="24"/>
      <w14:ligatures w14:val="standardContextual"/>
    </w:rPr>
  </w:style>
  <w:style w:type="paragraph" w:customStyle="1" w:styleId="elementtoproof">
    <w:name w:val="elementtoproof"/>
    <w:basedOn w:val="Normal"/>
    <w:rsid w:val="00F75143"/>
    <w:pPr>
      <w:spacing w:before="100" w:beforeAutospacing="1" w:after="100" w:afterAutospacing="1"/>
    </w:pPr>
    <w:rPr>
      <w:rFonts w:ascii="Times New Roman" w:hAnsi="Times New Roman"/>
      <w:szCs w:val="24"/>
    </w:rPr>
  </w:style>
  <w:style w:type="paragraph" w:styleId="NormalWeb">
    <w:name w:val="Normal (Web)"/>
    <w:basedOn w:val="Normal"/>
    <w:uiPriority w:val="99"/>
    <w:unhideWhenUsed/>
    <w:rsid w:val="00F75143"/>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F7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848407">
      <w:bodyDiv w:val="1"/>
      <w:marLeft w:val="0"/>
      <w:marRight w:val="0"/>
      <w:marTop w:val="0"/>
      <w:marBottom w:val="0"/>
      <w:divBdr>
        <w:top w:val="none" w:sz="0" w:space="0" w:color="auto"/>
        <w:left w:val="none" w:sz="0" w:space="0" w:color="auto"/>
        <w:bottom w:val="none" w:sz="0" w:space="0" w:color="auto"/>
        <w:right w:val="none" w:sz="0" w:space="0" w:color="auto"/>
      </w:divBdr>
    </w:div>
    <w:div w:id="15583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ifma.org/terms-of-us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 W S A C T I V E ! 1 1 5 5 6 9 4 3 . 1 < / d o c u m e n t i d >  
     < s e n d e r i d > B E R M A N J < / s e n d e r i d >  
     < s e n d e r e m a i l > B E R M A N J @ S E W K I S . C O M < / s e n d e r e m a i l >  
     < l a s t m o d i f i e d > 2 0 2 5 - 0 1 - 1 4 T 1 0 : 0 3 : 0 0 . 0 0 0 0 0 0 0 - 0 5 : 0 0 < / l a s t m o d i f i e d >  
     < d a t a b a s e > W S A C T I V E < / d a t a b a s e >  
 < / p r o p e r t i e s > 
</file>

<file path=customXml/itemProps1.xml><?xml version="1.0" encoding="utf-8"?>
<ds:datastoreItem xmlns:ds="http://schemas.openxmlformats.org/officeDocument/2006/customXml" ds:itemID="{938BE78B-3944-4378-8F89-3ABEFECEEF8C}">
  <ds:schemaRefs>
    <ds:schemaRef ds:uri="http://schemas.openxmlformats.org/officeDocument/2006/bibliography"/>
  </ds:schemaRefs>
</ds:datastoreItem>
</file>

<file path=customXml/itemProps2.xml><?xml version="1.0" encoding="utf-8"?>
<ds:datastoreItem xmlns:ds="http://schemas.openxmlformats.org/officeDocument/2006/customXml" ds:itemID="{B144A344-B1A5-453E-8D3A-899B04DCCFF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13959</Words>
  <Characters>79571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Berman, Jeff</dc:creator>
  <cp:lastModifiedBy>Moore, Laurie</cp:lastModifiedBy>
  <cp:revision>10</cp:revision>
  <dcterms:created xsi:type="dcterms:W3CDTF">2025-06-24T13:48:00Z</dcterms:created>
  <dcterms:modified xsi:type="dcterms:W3CDTF">2025-06-30T20:02:00Z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SK 07274 0001 11556943 v1</vt:lpwstr>
  </property>
  <property fmtid="{D5CDD505-2E9C-101B-9397-08002B2CF9AE}" pid="3" name="DocXFormat">
    <vt:lpwstr>DocID</vt:lpwstr>
  </property>
  <property fmtid="{D5CDD505-2E9C-101B-9397-08002B2CF9AE}" pid="4" name="DocXLocation">
    <vt:lpwstr>EndOfDocument</vt:lpwstr>
  </property>
</Properties>
</file>