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pPr>
      <w:r>
        <w:rPr>
          <w:rFonts w:ascii="Arial" w:cs="Arial" w:eastAsia="Arial" w:hAnsi="Arial"/>
          <w:b/>
          <w:bCs/>
          <w:color w:val="2E6DA4"/>
          <w:spacing w:val="40"/>
          <w:sz w:val="22"/>
          <w:szCs w:val="22"/>
        </w:rPr>
        <w:t xml:space="preserve">PARALLEL TRACK</w:t>
      </w:r>
    </w:p>
    <w:p>
      <w:pPr>
        <w:spacing w:after="200"/>
      </w:pPr>
      <w:r>
        <w:rPr>
          <w:rFonts w:ascii="Arial" w:cs="Arial" w:eastAsia="Arial" w:hAnsi="Arial"/>
          <w:b/>
          <w:bCs/>
          <w:color w:val="1F3A5F"/>
          <w:sz w:val="52"/>
          <w:szCs w:val="52"/>
        </w:rPr>
        <w:t xml:space="preserve">SQL Track</w:t>
      </w:r>
    </w:p>
    <w:p>
      <w:pPr>
        <w:pBdr>
          <w:bottom w:val="single" w:color="2E6DA4" w:sz="12" w:space="12"/>
        </w:pBdr>
        <w:spacing w:after="500"/>
      </w:pPr>
      <w:r>
        <w:rPr>
          <w:rFonts w:ascii="Arial" w:cs="Arial" w:eastAsia="Arial" w:hAnsi="Arial"/>
          <w:color w:val="4A5A6A"/>
          <w:sz w:val="26"/>
          <w:szCs w:val="26"/>
        </w:rPr>
        <w:t xml:space="preserve">From MySQL DBA to analytics SQL in cloud warehouses</w:t>
      </w:r>
    </w:p>
    <w:p>
      <w:pPr>
        <w:spacing w:after="120" w:before="0" w:line="276"/>
      </w:pPr>
      <w:r>
        <w:rPr>
          <w:rFonts w:ascii="Arial" w:cs="Arial" w:eastAsia="Arial" w:hAnsi="Arial"/>
          <w:b/>
          <w:bCs/>
          <w:sz w:val="22"/>
          <w:szCs w:val="22"/>
        </w:rPr>
        <w:t xml:space="preserve">Part of: </w:t>
      </w:r>
      <w:r>
        <w:rPr>
          <w:rFonts w:ascii="Arial" w:cs="Arial" w:eastAsia="Arial" w:hAnsi="Arial"/>
          <w:sz w:val="22"/>
          <w:szCs w:val="22"/>
        </w:rPr>
        <w:t xml:space="preserve">Analytics Engineer Roadmap (64 weeks)</w:t>
      </w:r>
    </w:p>
    <w:p>
      <w:pPr>
        <w:spacing w:after="120" w:before="0" w:line="276"/>
      </w:pPr>
      <w:r>
        <w:rPr>
          <w:rFonts w:ascii="Arial" w:cs="Arial" w:eastAsia="Arial" w:hAnsi="Arial"/>
          <w:b/>
          <w:bCs/>
          <w:sz w:val="22"/>
          <w:szCs w:val="22"/>
        </w:rPr>
        <w:t xml:space="preserve">Runs: </w:t>
      </w:r>
      <w:r>
        <w:rPr>
          <w:rFonts w:ascii="Arial" w:cs="Arial" w:eastAsia="Arial" w:hAnsi="Arial"/>
          <w:sz w:val="22"/>
          <w:szCs w:val="22"/>
        </w:rPr>
        <w:t xml:space="preserve">weeks 1–35 (28 Sep 2026 – 30 May 2027)</w:t>
      </w:r>
    </w:p>
    <w:p>
      <w:pPr>
        <w:spacing w:after="120" w:before="0" w:line="276"/>
      </w:pPr>
      <w:r>
        <w:rPr>
          <w:rFonts w:ascii="Arial" w:cs="Arial" w:eastAsia="Arial" w:hAnsi="Arial"/>
          <w:b/>
          <w:bCs/>
          <w:sz w:val="22"/>
          <w:szCs w:val="22"/>
        </w:rPr>
        <w:t xml:space="preserve">Stages: </w:t>
      </w:r>
      <w:r>
        <w:rPr>
          <w:rFonts w:ascii="Arial" w:cs="Arial" w:eastAsia="Arial" w:hAnsi="Arial"/>
          <w:sz w:val="22"/>
          <w:szCs w:val="22"/>
        </w:rPr>
        <w:t xml:space="preserve">S1 Core analytical SQL · S2 Analytics patterns · S3 SQL for transformation pipelines · S4 Warehouse SQL: Snowflake &amp; BigQuery · S5 Metrics SQL &amp; reconciliation · S6 Incremental &amp; change-data SQL</w:t>
      </w:r>
    </w:p>
    <w:p>
      <w:pPr>
        <w:spacing w:after="120" w:before="0" w:line="276"/>
      </w:pPr>
      <w:r>
        <w:rPr>
          <w:rFonts w:ascii="Arial" w:cs="Arial" w:eastAsia="Arial" w:hAnsi="Arial"/>
          <w:b/>
          <w:bCs/>
          <w:sz w:val="22"/>
          <w:szCs w:val="22"/>
        </w:rPr>
        <w:t xml:space="preserve">Gates it feeds: </w:t>
      </w:r>
      <w:r>
        <w:rPr>
          <w:rFonts w:ascii="Arial" w:cs="Arial" w:eastAsia="Arial" w:hAnsi="Arial"/>
          <w:sz w:val="22"/>
          <w:szCs w:val="22"/>
        </w:rPr>
        <w:t xml:space="preserve">Gate 1 (end of week 6), Gate 2 (end of week 17), Gate 3 (end of week 24), Gate 4 (end of week 35)</w:t>
      </w:r>
    </w:p>
    <w:p>
      <w:pPr>
        <w:spacing w:after="120" w:before="0" w:line="276"/>
      </w:pPr>
      <w:r>
        <w:rPr>
          <w:rFonts w:ascii="Arial" w:cs="Arial" w:eastAsia="Arial" w:hAnsi="Arial"/>
          <w:b/>
          <w:bCs/>
          <w:sz w:val="22"/>
          <w:szCs w:val="22"/>
        </w:rPr>
        <w:t xml:space="preserve">Companion files: </w:t>
      </w:r>
      <w:r>
        <w:rPr>
          <w:rFonts w:ascii="Arial" w:cs="Arial" w:eastAsia="Arial" w:hAnsi="Arial"/>
          <w:sz w:val="22"/>
          <w:szCs w:val="22"/>
        </w:rPr>
        <w:t xml:space="preserve">Analytics_Engineer_Roadmap.docx, Analytics_Engineer_Tracker.xlsx (Tracks &amp; Gates sheet)</w:t>
      </w:r>
    </w:p>
    <w:p>
      <w:r>
        <w:br w:type="page"/>
      </w:r>
    </w:p>
    <w:p>
      <w:pPr>
        <w:pStyle w:val="Heading1"/>
        <w:keepNext/>
      </w:pPr>
      <w:r>
        <w:rPr>
          <w:rFonts w:ascii="Arial" w:cs="Arial" w:eastAsia="Arial" w:hAnsi="Arial"/>
        </w:rPr>
        <w:t xml:space="preserve">1. What this track is for</w:t>
      </w:r>
    </w:p>
    <w:p>
      <w:pPr>
        <w:spacing w:after="120" w:before="0" w:line="276"/>
      </w:pPr>
      <w:r>
        <w:rPr>
          <w:rFonts w:ascii="Arial" w:cs="Arial" w:eastAsia="Arial" w:hAnsi="Arial"/>
          <w:sz w:val="21"/>
          <w:szCs w:val="21"/>
        </w:rPr>
        <w:t xml:space="preserve">You already write SQL as a DBA, mostly for OLTP work: indexes, transactions, single-row lookups and tuning on MySQL. Analytics SQL asks different questions, over whole tables at once: running totals, cohorts, funnels, deduplication and time comparisons, on columnar engines where indexes barely matter. This track moves you from one to the other, and it matters most because every dbt model and every dashboard number is SQL.</w:t>
      </w:r>
    </w:p>
    <w:p>
      <w:pPr>
        <w:spacing w:after="120" w:before="0" w:line="276"/>
      </w:pPr>
      <w:r>
        <w:rPr>
          <w:rFonts w:ascii="Arial" w:cs="Arial" w:eastAsia="Arial" w:hAnsi="Arial"/>
          <w:i/>
          <w:iCs/>
          <w:color w:val="4A5A6A"/>
          <w:sz w:val="21"/>
          <w:szCs w:val="21"/>
        </w:rPr>
        <w:t xml:space="preserve">Skip anything in Stage S1 you can already do without looking it up; the Gate 1 self-test tells you honestly.</w:t>
      </w:r>
    </w:p>
    <w:p>
      <w:pPr>
        <w:pStyle w:val="Heading1"/>
        <w:keepNext/>
      </w:pPr>
      <w:r>
        <w:rPr>
          <w:rFonts w:ascii="Arial" w:cs="Arial" w:eastAsia="Arial" w:hAnsi="Arial"/>
        </w:rPr>
        <w:t xml:space="preserve">2. How it fits the main plan</w:t>
      </w:r>
    </w:p>
    <w:p>
      <w:pPr>
        <w:spacing w:after="120" w:before="0" w:line="276"/>
      </w:pPr>
      <w:r>
        <w:rPr>
          <w:rFonts w:ascii="Arial" w:cs="Arial" w:eastAsia="Arial" w:hAnsi="Arial"/>
          <w:sz w:val="21"/>
          <w:szCs w:val="21"/>
        </w:rPr>
        <w:t xml:space="preserve">The three foundation tracks (SQL, Dimensional Modeling, Python for Data) run side by side. They take most of your time in weeks 1–4, then shrink to a small weekly slot while the main plan's projects take over. This is how the 20 weekly hours are split: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838"/>
      </w:tblGrid>
      <w:tr>
        <w:trPr>
          <w:tblHeader/>
        </w:trPr>
        <w:tc>
          <w:tcPr>
            <w:tcW w:type="dxa" w:w="1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4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All three tracks</w:t>
            </w:r>
          </w:p>
        </w:tc>
        <w:tc>
          <w:tcPr>
            <w:tcW w:type="dxa" w:w="38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Main plan</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1–4</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18 h (SQL 8, Modeling 5, Python 5)</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h (Upwork profile, setup)</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5–6</w:t>
            </w:r>
          </w:p>
        </w:tc>
        <w:tc>
          <w:tcPr>
            <w:tcW w:type="dxa" w:w="4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 h (SQL 2, Modeling 2, Python 1)</w:t>
            </w:r>
          </w:p>
        </w:tc>
        <w:tc>
          <w:tcPr>
            <w:tcW w:type="dxa" w:w="3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15 h (dbt + P1)</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7–35</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h (1 h each track)</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17 h (phase work, projects, Upwork)</w:t>
            </w:r>
          </w:p>
        </w:tc>
      </w:tr>
      <w:tr>
        <w:trPr>
          <w:cantSplit/>
        </w:trPr>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36–41</w:t>
            </w:r>
          </w:p>
        </w:tc>
        <w:tc>
          <w:tcPr>
            <w:tcW w:type="dxa" w:w="4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h (Python only)</w:t>
            </w:r>
          </w:p>
        </w:tc>
        <w:tc>
          <w:tcPr>
            <w:tcW w:type="dxa" w:w="38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19 h</w:t>
            </w:r>
          </w:p>
        </w:tc>
      </w:tr>
      <w:tr>
        <w:trPr>
          <w:cantSplit/>
        </w:trPr>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42–64</w:t>
            </w:r>
          </w:p>
        </w:tc>
        <w:tc>
          <w:tcPr>
            <w:tcW w:type="dxa" w:w="4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0 h (tracks complete)</w:t>
            </w:r>
          </w:p>
        </w:tc>
        <w:tc>
          <w:tcPr>
            <w:tcW w:type="dxa" w:w="38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20 h</w:t>
            </w:r>
          </w:p>
        </w:tc>
      </w:tr>
    </w:tbl>
    <w:p>
      <w:pPr>
        <w:spacing w:after="120" w:before="100" w:line="276"/>
      </w:pPr>
      <w:r>
        <w:rPr>
          <w:rFonts w:ascii="Arial" w:cs="Arial" w:eastAsia="Arial" w:hAnsi="Arial"/>
          <w:i/>
          <w:iCs/>
          <w:color w:val="555555"/>
          <w:sz w:val="19"/>
          <w:szCs w:val="19"/>
        </w:rPr>
        <w:t xml:space="preserve">Protect the track slot even in busy weeks: one focused hour a week for a year adds up to real depth, and each gate below depends on it.</w:t>
      </w:r>
    </w:p>
    <w:p>
      <w:pPr>
        <w:pStyle w:val="Heading1"/>
        <w:keepNext/>
      </w:pPr>
      <w:r>
        <w:rPr>
          <w:rFonts w:ascii="Arial" w:cs="Arial" w:eastAsia="Arial" w:hAnsi="Arial"/>
        </w:rPr>
        <w:t xml:space="preserve">3. Stages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1000"/>
        <w:gridCol w:w="5238"/>
      </w:tblGrid>
      <w:tr>
        <w:trPr>
          <w:tblHeader/>
        </w:trPr>
        <w:tc>
          <w:tcPr>
            <w:tcW w:type="dxa" w:w="25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Stage</w:t>
            </w:r>
          </w:p>
        </w:tc>
        <w:tc>
          <w:tcPr>
            <w:tcW w:type="dxa" w:w="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1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Time</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Goal</w:t>
            </w:r>
          </w:p>
        </w:tc>
      </w:tr>
      <w:tr>
        <w:trPr>
          <w:cantSplit/>
        </w:trPr>
        <w:tc>
          <w:tcPr>
            <w:tcW w:type="dxa" w:w="250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S1 · Core analytical SQL</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1–2</w:t>
            </w:r>
          </w:p>
        </w:tc>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8 h/wk</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Window functions without hesitation: ranking, aggregate windows, LAG/LEAD, frames, QUALIFY; CTE-first style.</w:t>
            </w:r>
          </w:p>
        </w:tc>
      </w:tr>
      <w:tr>
        <w:trPr>
          <w:cantSplit/>
        </w:trPr>
        <w:tc>
          <w:tcPr>
            <w:tcW w:type="dxa" w:w="250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S2 · Analytics patterns</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3–4</w:t>
            </w:r>
          </w:p>
        </w:tc>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8 h/wk</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Cohorts, retention, funnels, sessionization, gaps and islands, date spines, dedup, pivots, percentiles, period-over-period.</w:t>
            </w:r>
          </w:p>
        </w:tc>
      </w:tr>
      <w:tr>
        <w:trPr>
          <w:cantSplit/>
        </w:trPr>
        <w:tc>
          <w:tcPr>
            <w:tcW w:type="dxa" w:w="250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S3 · SQL for transformation pipelines</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5–6</w:t>
            </w:r>
          </w:p>
        </w:tc>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2 h/wk</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NULL-safe logic, set-based thinking, idempotent transformations, data-quality queries, readable CTE style for dbt.</w:t>
            </w:r>
          </w:p>
        </w:tc>
      </w:tr>
      <w:tr>
        <w:trPr>
          <w:cantSplit/>
        </w:trPr>
        <w:tc>
          <w:tcPr>
            <w:tcW w:type="dxa" w:w="250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S4 · Warehouse SQL: Snowflake &amp; BigQuery</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7–17</w:t>
            </w:r>
          </w:p>
        </w:tc>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 h/wk</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Dialect differences, semi-structured data (VARIANT/FLATTEN, STRUCT/ARRAY/UNNEST), MERGE, columnar performance and cost-aware queries.</w:t>
            </w:r>
          </w:p>
        </w:tc>
      </w:tr>
      <w:tr>
        <w:trPr>
          <w:cantSplit/>
        </w:trPr>
        <w:tc>
          <w:tcPr>
            <w:tcW w:type="dxa" w:w="250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S5 · Metrics SQL &amp; reconciliation</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18–24</w:t>
            </w:r>
          </w:p>
        </w:tc>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 h/wk</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Metric definitions in SQL, avoiding fan-out and double counting, semi-additive measures, reconciling dashboard numbers to the warehouse.</w:t>
            </w:r>
          </w:p>
        </w:tc>
      </w:tr>
      <w:tr>
        <w:trPr>
          <w:cantSplit/>
        </w:trPr>
        <w:tc>
          <w:tcPr>
            <w:tcW w:type="dxa" w:w="250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S6 · Incremental &amp; change-data SQL</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25–35</w:t>
            </w:r>
          </w:p>
        </w:tc>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 h/wk</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MERGE upserts, latest-record-per-key, SCD2 by hand, late-arriving data, idempotent backfills, recursive CTEs, JSON.</w:t>
            </w:r>
          </w:p>
        </w:tc>
      </w:tr>
    </w:tbl>
    <w:p>
      <w:pPr>
        <w:pStyle w:val="Heading1"/>
        <w:keepNext/>
      </w:pPr>
      <w:r>
        <w:rPr>
          <w:rFonts w:ascii="Arial" w:cs="Arial" w:eastAsia="Arial" w:hAnsi="Arial"/>
        </w:rPr>
        <w:t xml:space="preserve">4. Readiness gates</w:t>
      </w:r>
    </w:p>
    <w:p>
      <w:pPr>
        <w:spacing w:after="120" w:before="0" w:line="276"/>
      </w:pPr>
      <w:r>
        <w:rPr>
          <w:rFonts w:ascii="Arial" w:cs="Arial" w:eastAsia="Arial" w:hAnsi="Arial"/>
          <w:sz w:val="21"/>
          <w:szCs w:val="21"/>
        </w:rPr>
        <w:t xml:space="preserve">A gate is a short self-test at the end of a phase. It checks that this track has reached the level the next phase depends on. Types:</w:t>
      </w:r>
    </w:p>
    <w:p>
      <w:pPr>
        <w:pStyle w:val="ListParagraph"/>
        <w:numPr>
          <w:ilvl w:val="0"/>
          <w:numId w:val="2"/>
        </w:numPr>
        <w:spacing w:after="60" w:line="276"/>
      </w:pPr>
      <w:r>
        <w:rPr>
          <w:rFonts w:ascii="Arial" w:cs="Arial" w:eastAsia="Arial" w:hAnsi="Arial"/>
          <w:b/>
          <w:bCs/>
          <w:sz w:val="21"/>
          <w:szCs w:val="21"/>
        </w:rPr>
        <w:t xml:space="preserve">Hard: </w:t>
      </w:r>
      <w:r>
        <w:rPr>
          <w:rFonts w:ascii="Arial" w:cs="Arial" w:eastAsia="Arial" w:hAnsi="Arial"/>
          <w:sz w:val="21"/>
          <w:szCs w:val="21"/>
        </w:rPr>
        <w:t xml:space="preserve">don't start the next phase until you pass. Use the buffer week, or add one extra week, to close the gap.</w:t>
      </w:r>
    </w:p>
    <w:p>
      <w:pPr>
        <w:pStyle w:val="ListParagraph"/>
        <w:numPr>
          <w:ilvl w:val="0"/>
          <w:numId w:val="2"/>
        </w:numPr>
        <w:spacing w:after="60" w:line="276"/>
      </w:pPr>
      <w:r>
        <w:rPr>
          <w:rFonts w:ascii="Arial" w:cs="Arial" w:eastAsia="Arial" w:hAnsi="Arial"/>
          <w:b/>
          <w:bCs/>
          <w:sz w:val="21"/>
          <w:szCs w:val="21"/>
        </w:rPr>
        <w:t xml:space="preserve">Soft: </w:t>
      </w:r>
      <w:r>
        <w:rPr>
          <w:rFonts w:ascii="Arial" w:cs="Arial" w:eastAsia="Arial" w:hAnsi="Arial"/>
          <w:sz w:val="21"/>
          <w:szCs w:val="21"/>
        </w:rPr>
        <w:t xml:space="preserve">you may start the next phase, but close the gap by the date given.</w:t>
      </w:r>
    </w:p>
    <w:p>
      <w:pPr>
        <w:pStyle w:val="ListParagraph"/>
        <w:numPr>
          <w:ilvl w:val="0"/>
          <w:numId w:val="2"/>
        </w:numPr>
        <w:spacing w:after="60" w:line="276"/>
      </w:pPr>
      <w:r>
        <w:rPr>
          <w:rFonts w:ascii="Arial" w:cs="Arial" w:eastAsia="Arial" w:hAnsi="Arial"/>
          <w:b/>
          <w:bCs/>
          <w:sz w:val="21"/>
          <w:szCs w:val="21"/>
        </w:rPr>
        <w:t xml:space="preserve">Checkpoint: </w:t>
      </w:r>
      <w:r>
        <w:rPr>
          <w:rFonts w:ascii="Arial" w:cs="Arial" w:eastAsia="Arial" w:hAnsi="Arial"/>
          <w:sz w:val="21"/>
          <w:szCs w:val="21"/>
        </w:rPr>
        <w:t xml:space="preserve">not a blocker for the next phase, but a specific project depends on it.</w:t>
      </w:r>
    </w:p>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2800"/>
        <w:gridCol w:w="2638"/>
        <w:gridCol w:w="1400"/>
      </w:tblGrid>
      <w:tr>
        <w:trPr>
          <w:tblHeader/>
        </w:trPr>
        <w:tc>
          <w:tcPr>
            <w:tcW w:type="dxa" w:w="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Gate</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When</w:t>
            </w:r>
          </w:p>
        </w:tc>
        <w:tc>
          <w:tcPr>
            <w:tcW w:type="dxa" w:w="28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Before</w:t>
            </w:r>
          </w:p>
        </w:tc>
        <w:tc>
          <w:tcPr>
            <w:tcW w:type="dxa" w:w="26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This track must reach</w:t>
            </w:r>
          </w:p>
        </w:tc>
        <w:tc>
          <w:tcPr>
            <w:tcW w:type="dxa" w:w="1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Type</w:t>
            </w:r>
          </w:p>
        </w:tc>
      </w:tr>
      <w:tr>
        <w:trPr>
          <w:cantSplit/>
        </w:trPr>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1</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End of week 6 (8 Nov)</w:t>
            </w:r>
          </w:p>
        </w:tc>
        <w:tc>
          <w:tcPr>
            <w:tcW w:type="dxa" w:w="2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2: Warehouses + dbt (week 7)</w:t>
            </w:r>
          </w:p>
        </w:tc>
        <w:tc>
          <w:tcPr>
            <w:tcW w:type="dxa" w:w="26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S1–S3 complete</w:t>
            </w:r>
          </w:p>
        </w:tc>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Hard</w:t>
            </w:r>
          </w:p>
        </w:tc>
      </w:tr>
      <w:tr>
        <w:trPr>
          <w:cantSplit/>
        </w:trPr>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2</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End of week 17 (24 Jan)</w:t>
            </w:r>
          </w:p>
        </w:tc>
        <w:tc>
          <w:tcPr>
            <w:tcW w:type="dxa" w:w="2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3: BI &amp; business analytics (week 18)</w:t>
            </w:r>
          </w:p>
        </w:tc>
        <w:tc>
          <w:tcPr>
            <w:tcW w:type="dxa" w:w="26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S4 complete</w:t>
            </w:r>
          </w:p>
        </w:tc>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Soft</w:t>
            </w:r>
          </w:p>
        </w:tc>
      </w:tr>
      <w:tr>
        <w:trPr>
          <w:cantSplit/>
        </w:trPr>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3</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End of week 24 (14 Mar)</w:t>
            </w:r>
          </w:p>
        </w:tc>
        <w:tc>
          <w:tcPr>
            <w:tcW w:type="dxa" w:w="2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4: Batch ELT on AWS (week 25)</w:t>
            </w:r>
          </w:p>
        </w:tc>
        <w:tc>
          <w:tcPr>
            <w:tcW w:type="dxa" w:w="26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S5 complete</w:t>
            </w:r>
          </w:p>
        </w:tc>
        <w:tc>
          <w:tcPr>
            <w:tcW w:type="dxa" w:w="1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Soft</w:t>
            </w:r>
          </w:p>
        </w:tc>
      </w:tr>
      <w:tr>
        <w:trPr>
          <w:cantSplit/>
        </w:trPr>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Gate 4</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End of week 35 (30 May)</w:t>
            </w:r>
          </w:p>
        </w:tc>
        <w:tc>
          <w:tcPr>
            <w:tcW w:type="dxa" w:w="2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Phase 5: Streaming &amp; AWS lakehouse (week 36)</w:t>
            </w:r>
          </w:p>
        </w:tc>
        <w:tc>
          <w:tcPr>
            <w:tcW w:type="dxa" w:w="26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S6 complete</w:t>
            </w:r>
          </w:p>
        </w:tc>
        <w:tc>
          <w:tcPr>
            <w:tcW w:type="dxa" w:w="1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Hard</w:t>
            </w:r>
          </w:p>
        </w:tc>
      </w:tr>
    </w:tbl>
    <w:p>
      <w:pPr>
        <w:spacing w:after="160"/>
      </w:pPr>
    </w:p>
    <w:p>
      <w:pPr>
        <w:pStyle w:val="Heading2"/>
        <w:keepNext/>
      </w:pPr>
      <w:r>
        <w:rPr>
          <w:rFonts w:ascii="Arial" w:cs="Arial" w:eastAsia="Arial" w:hAnsi="Arial"/>
        </w:rPr>
        <w:t xml:space="preserve">Why these gates exist</w:t>
      </w:r>
    </w:p>
    <w:p>
      <w:pPr>
        <w:pStyle w:val="ListParagraph"/>
        <w:numPr>
          <w:ilvl w:val="0"/>
          <w:numId w:val="2"/>
        </w:numPr>
        <w:spacing w:after="60" w:line="276"/>
      </w:pPr>
      <w:r>
        <w:rPr>
          <w:rFonts w:ascii="Arial" w:cs="Arial" w:eastAsia="Arial" w:hAnsi="Arial"/>
          <w:b/>
          <w:bCs/>
          <w:sz w:val="21"/>
          <w:szCs w:val="21"/>
        </w:rPr>
        <w:t xml:space="preserve">Gate 1: </w:t>
      </w:r>
      <w:r>
        <w:rPr>
          <w:rFonts w:ascii="Arial" w:cs="Arial" w:eastAsia="Arial" w:hAnsi="Arial"/>
          <w:sz w:val="21"/>
          <w:szCs w:val="21"/>
        </w:rPr>
        <w:t xml:space="preserve">Phase 2 is almost all SQL written as dbt models on a star schema. Weak SQL or modeling here turns every later project into rework. Python is only used for small tooling in Phase 2.</w:t>
      </w:r>
    </w:p>
    <w:p>
      <w:pPr>
        <w:pStyle w:val="ListParagraph"/>
        <w:numPr>
          <w:ilvl w:val="0"/>
          <w:numId w:val="2"/>
        </w:numPr>
        <w:spacing w:after="60" w:line="276"/>
      </w:pPr>
      <w:r>
        <w:rPr>
          <w:rFonts w:ascii="Arial" w:cs="Arial" w:eastAsia="Arial" w:hAnsi="Arial"/>
          <w:b/>
          <w:bCs/>
          <w:sz w:val="21"/>
          <w:szCs w:val="21"/>
        </w:rPr>
        <w:t xml:space="preserve">Gate 2: </w:t>
      </w:r>
      <w:r>
        <w:rPr>
          <w:rFonts w:ascii="Arial" w:cs="Arial" w:eastAsia="Arial" w:hAnsi="Arial"/>
          <w:sz w:val="21"/>
          <w:szCs w:val="21"/>
        </w:rPr>
        <w:t xml:space="preserve">Power BI works properly only on a clean star schema, and dashboard numbers must be checked against warehouse SQL.</w:t>
      </w:r>
    </w:p>
    <w:p>
      <w:pPr>
        <w:pStyle w:val="ListParagraph"/>
        <w:numPr>
          <w:ilvl w:val="0"/>
          <w:numId w:val="2"/>
        </w:numPr>
        <w:spacing w:after="60" w:line="276"/>
      </w:pPr>
      <w:r>
        <w:rPr>
          <w:rFonts w:ascii="Arial" w:cs="Arial" w:eastAsia="Arial" w:hAnsi="Arial"/>
          <w:b/>
          <w:bCs/>
          <w:sz w:val="21"/>
          <w:szCs w:val="21"/>
        </w:rPr>
        <w:t xml:space="preserve">Gate 3: </w:t>
      </w:r>
      <w:r>
        <w:rPr>
          <w:rFonts w:ascii="Arial" w:cs="Arial" w:eastAsia="Arial" w:hAnsi="Arial"/>
          <w:sz w:val="21"/>
          <w:szCs w:val="21"/>
        </w:rPr>
        <w:t xml:space="preserve">Phase 4 is Python-heavy (dlt, Airflow, Lambda, reconciliation scripts) and P6 needs snapshot fact tables from week 27.</w:t>
      </w:r>
    </w:p>
    <w:p>
      <w:pPr>
        <w:pStyle w:val="ListParagraph"/>
        <w:numPr>
          <w:ilvl w:val="0"/>
          <w:numId w:val="2"/>
        </w:numPr>
        <w:spacing w:after="60" w:line="276"/>
      </w:pPr>
      <w:r>
        <w:rPr>
          <w:rFonts w:ascii="Arial" w:cs="Arial" w:eastAsia="Arial" w:hAnsi="Arial"/>
          <w:b/>
          <w:bCs/>
          <w:sz w:val="21"/>
          <w:szCs w:val="21"/>
        </w:rPr>
        <w:t xml:space="preserve">Gate 4: </w:t>
      </w:r>
      <w:r>
        <w:rPr>
          <w:rFonts w:ascii="Arial" w:cs="Arial" w:eastAsia="Arial" w:hAnsi="Arial"/>
          <w:sz w:val="21"/>
          <w:szCs w:val="21"/>
        </w:rPr>
        <w:t xml:space="preserve">CDC and Kafka need Python clients and SQL that rebuilds current state and history from change events.</w:t>
      </w:r>
    </w:p>
    <w:p>
      <w:pPr>
        <w:sectPr>
          <w:footerReference w:type="default" r:id="rId7"/>
          <w:pgSz w:w="11906" w:h="16838" w:orient="portrait"/>
          <w:pgMar w:top="1134" w:right="1134" w:bottom="1134" w:left="1134" w:header="708" w:footer="708" w:gutter="0"/>
          <w:pgNumType/>
          <w:docGrid w:linePitch="360"/>
        </w:sectPr>
      </w:pPr>
    </w:p>
    <w:p>
      <w:pPr>
        <w:pStyle w:val="Heading1"/>
        <w:keepNext/>
      </w:pPr>
      <w:r>
        <w:rPr>
          <w:rFonts w:ascii="Arial" w:cs="Arial" w:eastAsia="Arial" w:hAnsi="Arial"/>
        </w:rPr>
        <w:t xml:space="preserve">5. Week-by-week schedule</w:t>
      </w:r>
    </w:p>
    <w:p>
      <w:pPr>
        <w:spacing w:after="120" w:before="0" w:line="276"/>
      </w:pPr>
      <w:r>
        <w:rPr>
          <w:rFonts w:ascii="Arial" w:cs="Arial" w:eastAsia="Arial" w:hAnsi="Arial"/>
          <w:sz w:val="21"/>
          <w:szCs w:val="21"/>
        </w:rPr>
        <w:t xml:space="preserve">Week numbers match the main plan. Resource names match section 8, which has the links.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900"/>
        <w:gridCol w:w="3300"/>
        <w:gridCol w:w="3300"/>
        <w:gridCol w:w="2000"/>
        <w:gridCol w:w="1938"/>
      </w:tblGrid>
      <w:tr>
        <w:trPr>
          <w:tblHeader/>
        </w:trPr>
        <w:tc>
          <w:tcPr>
            <w:tcW w:type="dxa" w:w="1500"/>
            <w:tcBorders>
              <w:top w:val="single" w:color="C9D3DC" w:sz="4"/>
              <w:left w:val="single" w:color="C9D3DC" w:sz="4"/>
              <w:bottom w:val="single" w:color="C9D3DC" w:sz="4"/>
              <w:right w:val="single" w:color="C9D3DC" w:sz="4"/>
            </w:tcBorders>
            <w:shd w:fill="2E6DA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Weeks</w:t>
            </w:r>
          </w:p>
        </w:tc>
        <w:tc>
          <w:tcPr>
            <w:tcW w:type="dxa" w:w="1100"/>
            <w:tcBorders>
              <w:top w:val="single" w:color="C9D3DC" w:sz="4"/>
              <w:left w:val="single" w:color="C9D3DC" w:sz="4"/>
              <w:bottom w:val="single" w:color="C9D3DC" w:sz="4"/>
              <w:right w:val="single" w:color="C9D3DC" w:sz="4"/>
            </w:tcBorders>
            <w:shd w:fill="2E6DA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Stage</w:t>
            </w:r>
          </w:p>
        </w:tc>
        <w:tc>
          <w:tcPr>
            <w:tcW w:type="dxa" w:w="1900"/>
            <w:tcBorders>
              <w:top w:val="single" w:color="C9D3DC" w:sz="4"/>
              <w:left w:val="single" w:color="C9D3DC" w:sz="4"/>
              <w:bottom w:val="single" w:color="C9D3DC" w:sz="4"/>
              <w:right w:val="single" w:color="C9D3DC" w:sz="4"/>
            </w:tcBorders>
            <w:shd w:fill="2E6DA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Topic</w:t>
            </w:r>
          </w:p>
        </w:tc>
        <w:tc>
          <w:tcPr>
            <w:tcW w:type="dxa" w:w="3300"/>
            <w:tcBorders>
              <w:top w:val="single" w:color="C9D3DC" w:sz="4"/>
              <w:left w:val="single" w:color="C9D3DC" w:sz="4"/>
              <w:bottom w:val="single" w:color="C9D3DC" w:sz="4"/>
              <w:right w:val="single" w:color="C9D3DC" w:sz="4"/>
            </w:tcBorders>
            <w:shd w:fill="2E6DA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3300"/>
            <w:tcBorders>
              <w:top w:val="single" w:color="C9D3DC" w:sz="4"/>
              <w:left w:val="single" w:color="C9D3DC" w:sz="4"/>
              <w:bottom w:val="single" w:color="C9D3DC" w:sz="4"/>
              <w:right w:val="single" w:color="C9D3DC" w:sz="4"/>
            </w:tcBorders>
            <w:shd w:fill="2E6DA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Practice</w:t>
            </w:r>
          </w:p>
        </w:tc>
        <w:tc>
          <w:tcPr>
            <w:tcW w:type="dxa" w:w="2000"/>
            <w:tcBorders>
              <w:top w:val="single" w:color="C9D3DC" w:sz="4"/>
              <w:left w:val="single" w:color="C9D3DC" w:sz="4"/>
              <w:bottom w:val="single" w:color="C9D3DC" w:sz="4"/>
              <w:right w:val="single" w:color="C9D3DC" w:sz="4"/>
            </w:tcBorders>
            <w:shd w:fill="2E6DA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Resources</w:t>
            </w:r>
          </w:p>
        </w:tc>
        <w:tc>
          <w:tcPr>
            <w:tcW w:type="dxa" w:w="1938"/>
            <w:tcBorders>
              <w:top w:val="single" w:color="C9D3DC" w:sz="4"/>
              <w:left w:val="single" w:color="C9D3DC" w:sz="4"/>
              <w:bottom w:val="single" w:color="C9D3DC" w:sz="4"/>
              <w:right w:val="single" w:color="C9D3DC" w:sz="4"/>
            </w:tcBorders>
            <w:shd w:fill="2E6DA4"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Output</w:t>
            </w:r>
          </w:p>
        </w:tc>
      </w:tr>
      <w:tr>
        <w:trPr>
          <w:cantSplit/>
        </w:trPr>
        <w:tc>
          <w:tcPr>
            <w:tcW w:type="dxa" w:w="150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7"/>
                <w:szCs w:val="17"/>
              </w:rPr>
              <w:t xml:space="preserve">Week 1</w:t>
            </w:r>
          </w:p>
          <w:p>
            <w:r>
              <w:rPr>
                <w:rFonts w:ascii="Arial" w:cs="Arial" w:eastAsia="Arial" w:hAnsi="Arial"/>
                <w:color w:val="555555"/>
                <w:sz w:val="15"/>
                <w:szCs w:val="15"/>
              </w:rPr>
              <w:t xml:space="preserve">28 Sep – 4 Oct</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S1</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Window functions I</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Ranking (ROW_NUMBER, RANK, DENSE_RANK), aggregate windows, PARTITION BY vs GROUP BY, CTE style.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20 problems: DataLemur window-function sets; LeetCode SQL 50 (aggregation and joins sections) as warm-up.</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Mode SQL Tutorial; DataLemur; LeetCode SQL 50; DuckDB docs</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Repo sql-analytics-practice with solutions and one-line notes.</w:t>
            </w:r>
          </w:p>
        </w:tc>
      </w:tr>
      <w:tr>
        <w:trPr>
          <w:cantSplit/>
        </w:trPr>
        <w:tc>
          <w:tcPr>
            <w:tcW w:type="dxa" w:w="150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r>
              <w:rPr>
                <w:rFonts w:ascii="Arial" w:cs="Arial" w:eastAsia="Arial" w:hAnsi="Arial"/>
                <w:b/>
                <w:bCs/>
                <w:sz w:val="17"/>
                <w:szCs w:val="17"/>
              </w:rPr>
              <w:t xml:space="preserve">Week 2</w:t>
            </w:r>
          </w:p>
          <w:p>
            <w:r>
              <w:rPr>
                <w:rFonts w:ascii="Arial" w:cs="Arial" w:eastAsia="Arial" w:hAnsi="Arial"/>
                <w:color w:val="555555"/>
                <w:sz w:val="15"/>
                <w:szCs w:val="15"/>
              </w:rPr>
              <w:t xml:space="preserve">5 Oct – 11 Oct</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S1</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Window functions II</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LAG/LEAD, frames (ROWS vs RANGE), running totals, moving averages, QUALIFY, GROUPING SETS/ROLLUP, FILTER clause.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15 problems; rewrite 5 of your old MySQL report queries using windows.</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Mode SQL Tutorial; Modern SQL; DataLemur; DuckDB docs</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Cheat sheet in your own words: "which window for which question".</w:t>
            </w:r>
          </w:p>
        </w:tc>
      </w:tr>
      <w:tr>
        <w:trPr>
          <w:cantSplit/>
        </w:trPr>
        <w:tc>
          <w:tcPr>
            <w:tcW w:type="dxa" w:w="150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7"/>
                <w:szCs w:val="17"/>
              </w:rPr>
              <w:t xml:space="preserve">Week 3</w:t>
            </w:r>
          </w:p>
          <w:p>
            <w:r>
              <w:rPr>
                <w:rFonts w:ascii="Arial" w:cs="Arial" w:eastAsia="Arial" w:hAnsi="Arial"/>
                <w:color w:val="555555"/>
                <w:sz w:val="15"/>
                <w:szCs w:val="15"/>
              </w:rPr>
              <w:t xml:space="preserve">12 Oct – 18 Oct</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S2</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Time and cohort patterns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Date spines, period-over-period, cohorts and retention matrices, first/last value per entity.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Build a retention matrix and a month-over-month report on Sakila.</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DataLemur; DuckDB docs; Analytics Setup Guidebook</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Two pattern files with explanations.</w:t>
            </w:r>
          </w:p>
        </w:tc>
      </w:tr>
      <w:tr>
        <w:trPr>
          <w:cantSplit/>
        </w:trPr>
        <w:tc>
          <w:tcPr>
            <w:tcW w:type="dxa" w:w="150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r>
              <w:rPr>
                <w:rFonts w:ascii="Arial" w:cs="Arial" w:eastAsia="Arial" w:hAnsi="Arial"/>
                <w:b/>
                <w:bCs/>
                <w:sz w:val="17"/>
                <w:szCs w:val="17"/>
              </w:rPr>
              <w:t xml:space="preserve">Week 4</w:t>
            </w:r>
          </w:p>
          <w:p>
            <w:r>
              <w:rPr>
                <w:rFonts w:ascii="Arial" w:cs="Arial" w:eastAsia="Arial" w:hAnsi="Arial"/>
                <w:color w:val="555555"/>
                <w:sz w:val="15"/>
                <w:szCs w:val="15"/>
              </w:rPr>
              <w:t xml:space="preserve">19 Oct – 25 Oct</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S2</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Event and quality patterns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Funnels, sessionization, gaps and islands, dedup (latest per key), pivots, percentiles.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10 harder DataLemur problems; one funnel and one sessionization query on synthetic events.</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DataLemur; Modern SQL; DuckDB docs</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Pattern library of about 10 reusable queries.</w:t>
            </w:r>
          </w:p>
        </w:tc>
      </w:tr>
      <w:tr>
        <w:trPr>
          <w:cantSplit/>
        </w:trPr>
        <w:tc>
          <w:tcPr>
            <w:tcW w:type="dxa" w:w="150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7"/>
                <w:szCs w:val="17"/>
              </w:rPr>
              <w:t xml:space="preserve">Week 5</w:t>
            </w:r>
          </w:p>
          <w:p>
            <w:r>
              <w:rPr>
                <w:rFonts w:ascii="Arial" w:cs="Arial" w:eastAsia="Arial" w:hAnsi="Arial"/>
                <w:color w:val="555555"/>
                <w:sz w:val="15"/>
                <w:szCs w:val="15"/>
              </w:rPr>
              <w:t xml:space="preserve">26 Oct – 1 Nov</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S3</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SQL for dbt models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CTE-per-step style, NULL-safe comparisons, COALESCE rules, explicit join types, avoiding SELECT * in marts.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Refactor two P1 queries into staging → intermediate CTE style.</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 structure guide; dbt docs</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models follow one consistent style.</w:t>
            </w:r>
          </w:p>
        </w:tc>
      </w:tr>
      <w:tr>
        <w:trPr>
          <w:cantSplit/>
        </w:trPr>
        <w:tc>
          <w:tcPr>
            <w:tcW w:type="dxa" w:w="150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r>
              <w:rPr>
                <w:rFonts w:ascii="Arial" w:cs="Arial" w:eastAsia="Arial" w:hAnsi="Arial"/>
                <w:b/>
                <w:bCs/>
                <w:sz w:val="17"/>
                <w:szCs w:val="17"/>
              </w:rPr>
              <w:t xml:space="preserve">Week 6</w:t>
            </w:r>
          </w:p>
          <w:p>
            <w:r>
              <w:rPr>
                <w:rFonts w:ascii="Arial" w:cs="Arial" w:eastAsia="Arial" w:hAnsi="Arial"/>
                <w:color w:val="555555"/>
                <w:sz w:val="15"/>
                <w:szCs w:val="15"/>
              </w:rPr>
              <w:t xml:space="preserve">2 Nov – 8 Nov</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S3</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Data-quality SQL + Gate 1</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Uniqueness, not-null, referential and accepted-range checks as queries; idempotent rewrites.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the checks dbt tests will later automate. Then take the Gate 1 SQL self-test.</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docs; DuckDB docs</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Gate 1 SQL result recorded in the tracker.</w:t>
            </w:r>
          </w:p>
        </w:tc>
      </w:tr>
      <w:tr>
        <w:trPr>
          <w:cantSplit/>
        </w:trPr>
        <w:tc>
          <w:tcPr>
            <w:tcW w:type="dxa" w:w="150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7"/>
                <w:szCs w:val="17"/>
              </w:rPr>
              <w:t xml:space="preserve">Week 7–9</w:t>
            </w:r>
          </w:p>
          <w:p>
            <w:r>
              <w:rPr>
                <w:rFonts w:ascii="Arial" w:cs="Arial" w:eastAsia="Arial" w:hAnsi="Arial"/>
                <w:color w:val="555555"/>
                <w:sz w:val="15"/>
                <w:szCs w:val="15"/>
              </w:rPr>
              <w:t xml:space="preserve">9 Nov – 29 Nov</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S4</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Snowflake SQL</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QUALIFY, VARIANT and FLATTEN, date functions, MERGE, TIME TRAVEL queries, sampling.</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One query per week on P2 data using a Snowflake-specific feature.</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SQL reference; Snowflake docs</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notes page.</w:t>
            </w:r>
          </w:p>
        </w:tc>
      </w:tr>
      <w:tr>
        <w:trPr>
          <w:cantSplit/>
        </w:trPr>
        <w:tc>
          <w:tcPr>
            <w:tcW w:type="dxa" w:w="150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7"/>
                <w:szCs w:val="17"/>
              </w:rPr>
              <w:t xml:space="preserve">Week 10–12</w:t>
            </w:r>
          </w:p>
          <w:p>
            <w:r>
              <w:rPr>
                <w:rFonts w:ascii="Arial" w:cs="Arial" w:eastAsia="Arial" w:hAnsi="Arial"/>
                <w:color w:val="555555"/>
                <w:sz w:val="15"/>
                <w:szCs w:val="15"/>
              </w:rPr>
              <w:t xml:space="preserve">30 Nov – 20 Dec</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S4</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Columnar performance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Micro-partition pruning, clustering, query profile, exploding joins, why indexes don't apply (contrast with your MySQL tuning).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Profile your two slowest P2 queries; fix one.</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docs; Use The Index, Luke; SELECT.dev cost guide</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Before/after profile screenshots.</w:t>
            </w:r>
          </w:p>
        </w:tc>
      </w:tr>
      <w:tr>
        <w:trPr>
          <w:cantSplit/>
        </w:trPr>
        <w:tc>
          <w:tcPr>
            <w:tcW w:type="dxa" w:w="150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7"/>
                <w:szCs w:val="17"/>
              </w:rPr>
              <w:t xml:space="preserve">Week 13–15</w:t>
            </w:r>
          </w:p>
          <w:p>
            <w:r>
              <w:rPr>
                <w:rFonts w:ascii="Arial" w:cs="Arial" w:eastAsia="Arial" w:hAnsi="Arial"/>
                <w:color w:val="555555"/>
                <w:sz w:val="15"/>
                <w:szCs w:val="15"/>
              </w:rPr>
              <w:t xml:space="preserve">21 Dec – 10 Jan</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S4</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BigQuery SQL</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STRUCT/ARRAY/UNNEST, partition filters, bytes scanned, differences from Snowflake.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Rewrite three P3 queries to scan less data.</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BigQuery SQL reference; BigQuery docs; GA4BigQuery.com</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Dialect comparison table (Snowflake vs BigQuery vs DuckDB).</w:t>
            </w:r>
          </w:p>
        </w:tc>
      </w:tr>
      <w:tr>
        <w:trPr>
          <w:cantSplit/>
        </w:trPr>
        <w:tc>
          <w:tcPr>
            <w:tcW w:type="dxa" w:w="150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r>
              <w:rPr>
                <w:rFonts w:ascii="Arial" w:cs="Arial" w:eastAsia="Arial" w:hAnsi="Arial"/>
                <w:b/>
                <w:bCs/>
                <w:sz w:val="17"/>
                <w:szCs w:val="17"/>
              </w:rPr>
              <w:t xml:space="preserve">Week 16–17</w:t>
            </w:r>
          </w:p>
          <w:p>
            <w:r>
              <w:rPr>
                <w:rFonts w:ascii="Arial" w:cs="Arial" w:eastAsia="Arial" w:hAnsi="Arial"/>
                <w:color w:val="555555"/>
                <w:sz w:val="15"/>
                <w:szCs w:val="15"/>
              </w:rPr>
              <w:t xml:space="preserve">11 Jan – 24 Jan</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S4</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Review + Gate 2</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Revisit weak spots.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Gate 2 SQL self-test.</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DataLemur</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Gate 2 SQL result.</w:t>
            </w:r>
          </w:p>
        </w:tc>
      </w:tr>
      <w:tr>
        <w:trPr>
          <w:cantSplit/>
        </w:trPr>
        <w:tc>
          <w:tcPr>
            <w:tcW w:type="dxa" w:w="150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7"/>
                <w:szCs w:val="17"/>
              </w:rPr>
              <w:t xml:space="preserve">Week 18–21</w:t>
            </w:r>
          </w:p>
          <w:p>
            <w:r>
              <w:rPr>
                <w:rFonts w:ascii="Arial" w:cs="Arial" w:eastAsia="Arial" w:hAnsi="Arial"/>
                <w:color w:val="555555"/>
                <w:sz w:val="15"/>
                <w:szCs w:val="15"/>
              </w:rPr>
              <w:t xml:space="preserve">25 Jan – 21 Feb</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S5</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Metrics SQL</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Additive vs semi-additive vs non-additive measures, percent of total, YoY with a calendar, fan-out and double counting.</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Write SQL versions of every P4 DAX measure.</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Analytics Setup Guidebook; DataLemur</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Metrics SQL file next to P4.</w:t>
            </w:r>
          </w:p>
        </w:tc>
      </w:tr>
      <w:tr>
        <w:trPr>
          <w:cantSplit/>
        </w:trPr>
        <w:tc>
          <w:tcPr>
            <w:tcW w:type="dxa" w:w="150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r>
              <w:rPr>
                <w:rFonts w:ascii="Arial" w:cs="Arial" w:eastAsia="Arial" w:hAnsi="Arial"/>
                <w:b/>
                <w:bCs/>
                <w:sz w:val="17"/>
                <w:szCs w:val="17"/>
              </w:rPr>
              <w:t xml:space="preserve">Week 22–24</w:t>
            </w:r>
          </w:p>
          <w:p>
            <w:r>
              <w:rPr>
                <w:rFonts w:ascii="Arial" w:cs="Arial" w:eastAsia="Arial" w:hAnsi="Arial"/>
                <w:color w:val="555555"/>
                <w:sz w:val="15"/>
                <w:szCs w:val="15"/>
              </w:rPr>
              <w:t xml:space="preserve">22 Feb – 14 Mar</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S5</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Reconciliation + Gate 3</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Reconciling dashboards to sources; attribution totals vs platform totals (P5).</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Gate 3 SQL self-test.</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DataLemur</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Gate 3 SQL result.</w:t>
            </w:r>
          </w:p>
        </w:tc>
      </w:tr>
      <w:tr>
        <w:trPr>
          <w:cantSplit/>
        </w:trPr>
        <w:tc>
          <w:tcPr>
            <w:tcW w:type="dxa" w:w="150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7"/>
                <w:szCs w:val="17"/>
              </w:rPr>
              <w:t xml:space="preserve">Week 25–28</w:t>
            </w:r>
          </w:p>
          <w:p>
            <w:r>
              <w:rPr>
                <w:rFonts w:ascii="Arial" w:cs="Arial" w:eastAsia="Arial" w:hAnsi="Arial"/>
                <w:color w:val="555555"/>
                <w:sz w:val="15"/>
                <w:szCs w:val="15"/>
              </w:rPr>
              <w:t xml:space="preserve">15 Mar – 11 Apr</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S6</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Incremental SQL</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MERGE patterns, idempotent loads, backfills by partition, late-arriving rows.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Hand-write the MERGE that a dbt incremental model generates; compare.</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SQL reference; dbt docs</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Notes on dbt incremental strategies vs raw MERGE.</w:t>
            </w:r>
          </w:p>
        </w:tc>
      </w:tr>
      <w:tr>
        <w:trPr>
          <w:cantSplit/>
        </w:trPr>
        <w:tc>
          <w:tcPr>
            <w:tcW w:type="dxa" w:w="150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7"/>
                <w:szCs w:val="17"/>
              </w:rPr>
              <w:t xml:space="preserve">Week 29–32</w:t>
            </w:r>
          </w:p>
          <w:p>
            <w:r>
              <w:rPr>
                <w:rFonts w:ascii="Arial" w:cs="Arial" w:eastAsia="Arial" w:hAnsi="Arial"/>
                <w:color w:val="555555"/>
                <w:sz w:val="15"/>
                <w:szCs w:val="15"/>
              </w:rPr>
              <w:t xml:space="preserve">12 Apr – 9 May</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S6</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7"/>
                <w:szCs w:val="17"/>
              </w:rPr>
              <w:t xml:space="preserve">History and change data</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Latest-per-key, SCD2 by hand, handling deletes, recursive CTEs.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Build current-state and SCD2 tables from a synthetic change log.</w:t>
            </w:r>
          </w:p>
        </w:tc>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Modern SQL; Snowflake SQL reference; dbt snapshots docs</w:t>
            </w:r>
          </w:p>
        </w:tc>
        <w:tc>
          <w:tcPr>
            <w:tcW w:type="dxa" w:w="19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CDC SQL patterns file (used again in P9).</w:t>
            </w:r>
          </w:p>
        </w:tc>
      </w:tr>
      <w:tr>
        <w:trPr>
          <w:cantSplit/>
        </w:trPr>
        <w:tc>
          <w:tcPr>
            <w:tcW w:type="dxa" w:w="150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r>
              <w:rPr>
                <w:rFonts w:ascii="Arial" w:cs="Arial" w:eastAsia="Arial" w:hAnsi="Arial"/>
                <w:b/>
                <w:bCs/>
                <w:sz w:val="17"/>
                <w:szCs w:val="17"/>
              </w:rPr>
              <w:t xml:space="preserve">Week 33–35</w:t>
            </w:r>
          </w:p>
          <w:p>
            <w:r>
              <w:rPr>
                <w:rFonts w:ascii="Arial" w:cs="Arial" w:eastAsia="Arial" w:hAnsi="Arial"/>
                <w:color w:val="555555"/>
                <w:sz w:val="15"/>
                <w:szCs w:val="15"/>
              </w:rPr>
              <w:t xml:space="preserve">10 May – 30 May</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S6</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7"/>
                <w:szCs w:val="17"/>
              </w:rPr>
              <w:t xml:space="preserve">JSON + Gate 4</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JSON extraction in Snowflake/BigQuery/Athena; review.</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Gate 4 SQL self-test.</w:t>
            </w:r>
          </w:p>
        </w:tc>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SQL reference; BigQuery SQL reference</w:t>
            </w:r>
          </w:p>
        </w:tc>
        <w:tc>
          <w:tcPr>
            <w:tcW w:type="dxa" w:w="19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Gate 4 SQL result. Track complete.</w:t>
            </w:r>
          </w:p>
        </w:tc>
      </w:tr>
    </w:tbl>
    <w:p>
      <w:pPr>
        <w:sectPr>
          <w:footerReference w:type="default" r:id="rId8"/>
          <w:pgSz w:w="16838" w:h="11906" w:orient="landscape"/>
          <w:pgMar w:top="900" w:right="900" w:bottom="900" w:left="900" w:header="708" w:footer="708" w:gutter="0"/>
          <w:pgNumType/>
          <w:docGrid w:linePitch="360"/>
        </w:sectPr>
      </w:pPr>
    </w:p>
    <w:p>
      <w:pPr>
        <w:pStyle w:val="Heading1"/>
        <w:keepNext/>
      </w:pPr>
      <w:r>
        <w:rPr>
          <w:rFonts w:ascii="Arial" w:cs="Arial" w:eastAsia="Arial" w:hAnsi="Arial"/>
        </w:rPr>
        <w:t xml:space="preserve">6. Gate self-tests</w:t>
      </w:r>
    </w:p>
    <w:p>
      <w:pPr>
        <w:spacing w:after="120" w:before="0" w:line="276"/>
      </w:pPr>
      <w:r>
        <w:rPr>
          <w:rFonts w:ascii="Arial" w:cs="Arial" w:eastAsia="Arial" w:hAnsi="Arial"/>
          <w:sz w:val="21"/>
          <w:szCs w:val="21"/>
        </w:rPr>
        <w:t xml:space="preserve">Take each test closed-book, timed, on your own machine, as if a client were watching. Record the result in the tracker's Tracks &amp; Gates sheet.</w:t>
      </w:r>
    </w:p>
    <w:p>
      <w:pPr>
        <w:pStyle w:val="Heading2"/>
        <w:keepNext/>
      </w:pPr>
      <w:r>
        <w:rPr>
          <w:rFonts w:ascii="Arial" w:cs="Arial" w:eastAsia="Arial" w:hAnsi="Arial"/>
        </w:rPr>
        <w:t xml:space="preserve">Gate 1: end of week 6 (Hard)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Before</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Phase 2: Warehouses + dbt (week 7)</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Level required</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S1–S3 complete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The test</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On Sakila in DuckDB, within 90 minutes and without looking up syntax: (1) monthly revenue per store with month-over-month % change; (2) each customer's first and latest rental and the days between; (3) top 3 films per category by revenue, ties handled; (4) 30-day retention by first-rental month; (5) customers' inactive gaps of 30+ days (gaps and islands).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You pass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All 5 correct, each checked with a second, different query that returns the same numbers.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pPr>
            <w:r>
              <w:rPr>
                <w:rFonts w:ascii="Arial" w:cs="Arial" w:eastAsia="Arial" w:hAnsi="Arial"/>
                <w:b/>
                <w:bCs/>
                <w:sz w:val="19"/>
                <w:szCs w:val="19"/>
              </w:rPr>
              <w:t xml:space="preserve">If you don't pass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pPr>
            <w:r>
              <w:rPr>
                <w:rFonts w:ascii="Arial" w:cs="Arial" w:eastAsia="Arial" w:hAnsi="Arial"/>
                <w:sz w:val="19"/>
                <w:szCs w:val="19"/>
              </w:rPr>
              <w:t xml:space="preserve">Spend the next buffer week (or one extra week) on the failed part, then retake the test before starting the phase.</w:t>
            </w:r>
          </w:p>
        </w:tc>
      </w:tr>
    </w:tbl>
    <w:p>
      <w:pPr>
        <w:spacing w:after="160"/>
      </w:pPr>
    </w:p>
    <w:p>
      <w:pPr>
        <w:pStyle w:val="Heading2"/>
        <w:keepNext/>
      </w:pPr>
      <w:r>
        <w:rPr>
          <w:rFonts w:ascii="Arial" w:cs="Arial" w:eastAsia="Arial" w:hAnsi="Arial"/>
        </w:rPr>
        <w:t xml:space="preserve">Gate 2: end of week 17 (Soft)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Before</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Phase 3: BI &amp; business analytics (week 18)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Level required</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S4 complete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The test</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On your P2 Snowflake data: use QUALIFY to deduplicate; flatten a JSON column; write the same query in BigQuery syntax; show the query profile before and after a change that scans fewer micro-partitions.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You pass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Queries run in both dialects; you can explain the profile change in two sentences. If partly failed, start Phase 3 but close the gap by week 20.</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pPr>
            <w:r>
              <w:rPr>
                <w:rFonts w:ascii="Arial" w:cs="Arial" w:eastAsia="Arial" w:hAnsi="Arial"/>
                <w:b/>
                <w:bCs/>
                <w:sz w:val="19"/>
                <w:szCs w:val="19"/>
              </w:rPr>
              <w:t xml:space="preserve">If you don't pass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pPr>
            <w:r>
              <w:rPr>
                <w:rFonts w:ascii="Arial" w:cs="Arial" w:eastAsia="Arial" w:hAnsi="Arial"/>
                <w:sz w:val="19"/>
                <w:szCs w:val="19"/>
              </w:rPr>
              <w:t xml:space="preserve">Start the next phase, but schedule the missing part into your track slot and retake by the date in "You pass when".</w:t>
            </w:r>
          </w:p>
        </w:tc>
      </w:tr>
    </w:tbl>
    <w:p>
      <w:pPr>
        <w:spacing w:after="160"/>
      </w:pPr>
    </w:p>
    <w:p>
      <w:pPr>
        <w:pStyle w:val="Heading2"/>
        <w:keepNext/>
      </w:pPr>
      <w:r>
        <w:rPr>
          <w:rFonts w:ascii="Arial" w:cs="Arial" w:eastAsia="Arial" w:hAnsi="Arial"/>
        </w:rPr>
        <w:t xml:space="preserve">Gate 3: end of week 24 (Soft)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Before</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Phase 4: Batch ELT on AWS (week 25)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Level required</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S5 complete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The test</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Reconcile three P4 Power BI numbers (revenue, orders, repeat-customer rate) to SQL on the marts within 0.1%. Write down one fan-out bug you reproduced on purpose and how you fixed it.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You pass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All three reconcile; the fan-out example is explained. If partly failed, fix during weeks 25–26.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pPr>
            <w:r>
              <w:rPr>
                <w:rFonts w:ascii="Arial" w:cs="Arial" w:eastAsia="Arial" w:hAnsi="Arial"/>
                <w:b/>
                <w:bCs/>
                <w:sz w:val="19"/>
                <w:szCs w:val="19"/>
              </w:rPr>
              <w:t xml:space="preserve">If you don't pass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pPr>
            <w:r>
              <w:rPr>
                <w:rFonts w:ascii="Arial" w:cs="Arial" w:eastAsia="Arial" w:hAnsi="Arial"/>
                <w:sz w:val="19"/>
                <w:szCs w:val="19"/>
              </w:rPr>
              <w:t xml:space="preserve">Start the next phase, but schedule the missing part into your track slot and retake by the date in "You pass when".</w:t>
            </w:r>
          </w:p>
        </w:tc>
      </w:tr>
    </w:tbl>
    <w:p>
      <w:pPr>
        <w:spacing w:after="160"/>
      </w:pPr>
    </w:p>
    <w:p>
      <w:pPr>
        <w:pStyle w:val="Heading2"/>
        <w:keepNext/>
      </w:pPr>
      <w:r>
        <w:rPr>
          <w:rFonts w:ascii="Arial" w:cs="Arial" w:eastAsia="Arial" w:hAnsi="Arial"/>
        </w:rPr>
        <w:t xml:space="preserve">Gate 4: end of week 35 (Hard)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Before</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Phase 5: Streaming &amp; AWS lakehouse (week 36)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Level required</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S6 complete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The test</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From a change table (op, key, changed_at, payload), build (a) a current-state table with deletes applied and (b) an SCD2 history table, in plain SQL. Rerun both twice with the same input.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pPr>
            <w:r>
              <w:rPr>
                <w:rFonts w:ascii="Arial" w:cs="Arial" w:eastAsia="Arial" w:hAnsi="Arial"/>
                <w:b/>
                <w:bCs/>
                <w:sz w:val="19"/>
                <w:szCs w:val="19"/>
              </w:rPr>
              <w:t xml:space="preserve">You pass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pPr>
            <w:r>
              <w:rPr>
                <w:rFonts w:ascii="Arial" w:cs="Arial" w:eastAsia="Arial" w:hAnsi="Arial"/>
                <w:sz w:val="19"/>
                <w:szCs w:val="19"/>
              </w:rPr>
              <w:t xml:space="preserve">Results are identical on reruns; late-arriving changes land in the right history row.</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pPr>
            <w:r>
              <w:rPr>
                <w:rFonts w:ascii="Arial" w:cs="Arial" w:eastAsia="Arial" w:hAnsi="Arial"/>
                <w:b/>
                <w:bCs/>
                <w:sz w:val="19"/>
                <w:szCs w:val="19"/>
              </w:rPr>
              <w:t xml:space="preserve">If you don't pass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pPr>
            <w:r>
              <w:rPr>
                <w:rFonts w:ascii="Arial" w:cs="Arial" w:eastAsia="Arial" w:hAnsi="Arial"/>
                <w:sz w:val="19"/>
                <w:szCs w:val="19"/>
              </w:rPr>
              <w:t xml:space="preserve">Spend the next buffer week (or one extra week) on the failed part, then retake the test before starting the phase.</w:t>
            </w:r>
          </w:p>
        </w:tc>
      </w:tr>
    </w:tbl>
    <w:p>
      <w:pPr>
        <w:spacing w:after="160"/>
      </w:pPr>
    </w:p>
    <w:p>
      <w:pPr>
        <w:pStyle w:val="Heading1"/>
        <w:keepNext/>
      </w:pPr>
      <w:r>
        <w:rPr>
          <w:rFonts w:ascii="Arial" w:cs="Arial" w:eastAsia="Arial" w:hAnsi="Arial"/>
        </w:rPr>
        <w:t xml:space="preserve">7. Habits for this track</w:t>
      </w:r>
    </w:p>
    <w:p>
      <w:pPr>
        <w:pStyle w:val="ListParagraph"/>
        <w:numPr>
          <w:ilvl w:val="0"/>
          <w:numId w:val="2"/>
        </w:numPr>
        <w:spacing w:after="60" w:line="276"/>
      </w:pPr>
      <w:r>
        <w:rPr>
          <w:rFonts w:ascii="Arial" w:cs="Arial" w:eastAsia="Arial" w:hAnsi="Arial"/>
          <w:sz w:val="21"/>
          <w:szCs w:val="21"/>
        </w:rPr>
        <w:t xml:space="preserve">After Gate 4, keep one hard DataLemur problem per week to stay sharp for client calls.</w:t>
      </w:r>
    </w:p>
    <w:p>
      <w:pPr>
        <w:pStyle w:val="ListParagraph"/>
        <w:numPr>
          <w:ilvl w:val="0"/>
          <w:numId w:val="2"/>
        </w:numPr>
        <w:spacing w:after="60" w:line="276"/>
      </w:pPr>
      <w:r>
        <w:rPr>
          <w:rFonts w:ascii="Arial" w:cs="Arial" w:eastAsia="Arial" w:hAnsi="Arial"/>
          <w:sz w:val="21"/>
          <w:szCs w:val="21"/>
        </w:rPr>
        <w:t xml:space="preserve">Keep every solution in the practice repo; it doubles as proof of skill on your profile.</w:t>
      </w:r>
    </w:p>
    <w:p>
      <w:pPr>
        <w:pStyle w:val="ListParagraph"/>
        <w:numPr>
          <w:ilvl w:val="0"/>
          <w:numId w:val="2"/>
        </w:numPr>
        <w:spacing w:after="60" w:line="276"/>
      </w:pPr>
      <w:r>
        <w:rPr>
          <w:rFonts w:ascii="Arial" w:cs="Arial" w:eastAsia="Arial" w:hAnsi="Arial"/>
          <w:sz w:val="21"/>
          <w:szCs w:val="21"/>
        </w:rPr>
        <w:t xml:space="preserve">When a query is slow, look at the profile before rewriting.</w:t>
      </w:r>
    </w:p>
    <w:p>
      <w:pPr>
        <w:pStyle w:val="Heading1"/>
        <w:keepNext/>
      </w:pPr>
      <w:r>
        <w:rPr>
          <w:rFonts w:ascii="Arial" w:cs="Arial" w:eastAsia="Arial" w:hAnsi="Arial"/>
        </w:rPr>
        <w:t xml:space="preserve">8. Resources</w:t>
      </w:r>
    </w:p>
    <w:p>
      <w:pPr>
        <w:spacing w:after="120" w:before="0" w:line="276"/>
      </w:pPr>
      <w:r>
        <w:rPr>
          <w:rFonts w:ascii="Arial" w:cs="Arial" w:eastAsia="Arial" w:hAnsi="Arial"/>
          <w:sz w:val="21"/>
          <w:szCs w:val="21"/>
        </w:rPr>
        <w:t xml:space="preserve">Everything named in the schedule, with links. Almost all are free; paid books are marked.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238"/>
        <w:gridCol w:w="1100"/>
      </w:tblGrid>
      <w:tr>
        <w:trPr>
          <w:tblHeader/>
        </w:trPr>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Name used above</w:t>
            </w:r>
          </w:p>
        </w:tc>
        <w:tc>
          <w:tcPr>
            <w:tcW w:type="dxa" w:w="6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 and link</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Cost</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Mode SQL Tutorial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Mode / ThoughtSpot Advanced SQL tutorial (window functions)</w:t>
            </w:r>
          </w:p>
          <w:p>
            <w:hyperlink w:history="1" r:id="rIdaegqqimmwjsorvnw_yedb">
              <w:r>
                <w:rPr>
                  <w:rFonts w:ascii="Arial" w:cs="Arial" w:eastAsia="Arial" w:hAnsi="Arial"/>
                  <w:color w:val="1F5FAD"/>
                  <w:sz w:val="15"/>
                  <w:szCs w:val="15"/>
                  <w:u w:val="single"/>
                </w:rPr>
                <w:t xml:space="preserve">https://www.thoughtspot.com/sql-tutorial/sql-window-functions</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DataLemur</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DataLemur SQL Tutorial + practice questions</w:t>
            </w:r>
          </w:p>
          <w:p>
            <w:hyperlink w:history="1" r:id="rIdexmxvmdfmzrri0ytzbtds">
              <w:r>
                <w:rPr>
                  <w:rFonts w:ascii="Arial" w:cs="Arial" w:eastAsia="Arial" w:hAnsi="Arial"/>
                  <w:color w:val="1F5FAD"/>
                  <w:sz w:val="15"/>
                  <w:szCs w:val="15"/>
                  <w:u w:val="single"/>
                </w:rPr>
                <w:t xml:space="preserve">https://datalemur.com/sql-tutorial</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LeetCode SQL 50</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LeetCode: SQL 50 study plan (free problems)</w:t>
            </w:r>
          </w:p>
          <w:p>
            <w:hyperlink w:history="1" r:id="rIdb9ux6chq0ezofvyoqus7l">
              <w:r>
                <w:rPr>
                  <w:rFonts w:ascii="Arial" w:cs="Arial" w:eastAsia="Arial" w:hAnsi="Arial"/>
                  <w:color w:val="1F5FAD"/>
                  <w:sz w:val="15"/>
                  <w:szCs w:val="15"/>
                  <w:u w:val="single"/>
                </w:rPr>
                <w:t xml:space="preserve">https://leetcode.com/studyplan/top-sql-50/</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DuckDB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DuckDB documentation</w:t>
            </w:r>
          </w:p>
          <w:p>
            <w:hyperlink w:history="1" r:id="rIdoucwebtgfmff3d9re3hp-">
              <w:r>
                <w:rPr>
                  <w:rFonts w:ascii="Arial" w:cs="Arial" w:eastAsia="Arial" w:hAnsi="Arial"/>
                  <w:color w:val="1F5FAD"/>
                  <w:sz w:val="15"/>
                  <w:szCs w:val="15"/>
                  <w:u w:val="single"/>
                </w:rPr>
                <w:t xml:space="preserve">https://duckdb.org/docs/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Modern SQL</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Modern SQL (Markus Winand): window functions, FILTER, LATERAL, recursive CTEs by database</w:t>
            </w:r>
          </w:p>
          <w:p>
            <w:hyperlink w:history="1" r:id="rIdaab5vzi-afwqsoukiojke">
              <w:r>
                <w:rPr>
                  <w:rFonts w:ascii="Arial" w:cs="Arial" w:eastAsia="Arial" w:hAnsi="Arial"/>
                  <w:color w:val="1F5FAD"/>
                  <w:sz w:val="15"/>
                  <w:szCs w:val="15"/>
                  <w:u w:val="single"/>
                </w:rPr>
                <w:t xml:space="preserve">https://modern-sql.com/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Analytics Setup Guidebook</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The Analytics Setup Guidebook (Holistics), free online book</w:t>
            </w:r>
          </w:p>
          <w:p>
            <w:hyperlink w:history="1" r:id="rIdvosdyaxfoivhezluyeoco">
              <w:r>
                <w:rPr>
                  <w:rFonts w:ascii="Arial" w:cs="Arial" w:eastAsia="Arial" w:hAnsi="Arial"/>
                  <w:color w:val="1F5FAD"/>
                  <w:sz w:val="15"/>
                  <w:szCs w:val="15"/>
                  <w:u w:val="single"/>
                </w:rPr>
                <w:t xml:space="preserve">https://www.holistics.io/books/setup-analytics/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structure guide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dbt guide: How we structure our dbt projects</w:t>
            </w:r>
          </w:p>
          <w:p>
            <w:hyperlink w:history="1" r:id="rIdadgchsqbcydxh_50zwktq">
              <w:r>
                <w:rPr>
                  <w:rFonts w:ascii="Arial" w:cs="Arial" w:eastAsia="Arial" w:hAnsi="Arial"/>
                  <w:color w:val="1F5FAD"/>
                  <w:sz w:val="15"/>
                  <w:szCs w:val="15"/>
                  <w:u w:val="single"/>
                </w:rPr>
                <w:t xml:space="preserve">https://docs.getdbt.com/best-practices/how-we-structure/1-guide-overview</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Developer Hub (docs)</w:t>
            </w:r>
          </w:p>
          <w:p>
            <w:hyperlink w:history="1" r:id="rIdq9htorbxntmp80cyw1fav">
              <w:r>
                <w:rPr>
                  <w:rFonts w:ascii="Arial" w:cs="Arial" w:eastAsia="Arial" w:hAnsi="Arial"/>
                  <w:color w:val="1F5FAD"/>
                  <w:sz w:val="15"/>
                  <w:szCs w:val="15"/>
                  <w:u w:val="single"/>
                </w:rPr>
                <w:t xml:space="preserve">https://docs.getdbt.com/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SQL reference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Snowflake SQL command and function reference</w:t>
            </w:r>
          </w:p>
          <w:p>
            <w:hyperlink w:history="1" r:id="rIdiym08tiyvm5hhb20deu7e">
              <w:r>
                <w:rPr>
                  <w:rFonts w:ascii="Arial" w:cs="Arial" w:eastAsia="Arial" w:hAnsi="Arial"/>
                  <w:color w:val="1F5FAD"/>
                  <w:sz w:val="15"/>
                  <w:szCs w:val="15"/>
                  <w:u w:val="single"/>
                </w:rPr>
                <w:t xml:space="preserve">https://docs.snowflake.com/en/sql-reference</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Snowflake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Snowflake documentation</w:t>
            </w:r>
          </w:p>
          <w:p>
            <w:hyperlink w:history="1" r:id="rIdyqett_nmv-ayluqtgihbz">
              <w:r>
                <w:rPr>
                  <w:rFonts w:ascii="Arial" w:cs="Arial" w:eastAsia="Arial" w:hAnsi="Arial"/>
                  <w:color w:val="1F5FAD"/>
                  <w:sz w:val="15"/>
                  <w:szCs w:val="15"/>
                  <w:u w:val="single"/>
                </w:rPr>
                <w:t xml:space="preserve">https://docs.snowflake.com/</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Use The Index, Luke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Use The Index, Luke: SQL indexing and tuning e-book (row stores; contrast with columnar)</w:t>
            </w:r>
          </w:p>
          <w:p>
            <w:hyperlink w:history="1" r:id="rIdwaw8idmolksylx32kdps6">
              <w:r>
                <w:rPr>
                  <w:rFonts w:ascii="Arial" w:cs="Arial" w:eastAsia="Arial" w:hAnsi="Arial"/>
                  <w:color w:val="1F5FAD"/>
                  <w:sz w:val="15"/>
                  <w:szCs w:val="15"/>
                  <w:u w:val="single"/>
                </w:rPr>
                <w:t xml:space="preserve">https://use-the-index-luke.com/</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SELECT.dev cost guide</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SELECT.dev: Snowflake cost optimization (15 strategies)</w:t>
            </w:r>
          </w:p>
          <w:p>
            <w:hyperlink w:history="1" r:id="rIdwoh8gq9paqtku-klff6ww">
              <w:r>
                <w:rPr>
                  <w:rFonts w:ascii="Arial" w:cs="Arial" w:eastAsia="Arial" w:hAnsi="Arial"/>
                  <w:color w:val="1F5FAD"/>
                  <w:sz w:val="15"/>
                  <w:szCs w:val="15"/>
                  <w:u w:val="single"/>
                </w:rPr>
                <w:t xml:space="preserve">https://select.dev/posts/snowflake-cost-optimization</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BigQuery SQL reference</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BigQuery GoogleSQL query syntax reference</w:t>
            </w:r>
          </w:p>
          <w:p>
            <w:hyperlink w:history="1" r:id="rId8g3cwx5q9rmciijesn9fz">
              <w:r>
                <w:rPr>
                  <w:rFonts w:ascii="Arial" w:cs="Arial" w:eastAsia="Arial" w:hAnsi="Arial"/>
                  <w:color w:val="1F5FAD"/>
                  <w:sz w:val="15"/>
                  <w:szCs w:val="15"/>
                  <w:u w:val="single"/>
                </w:rPr>
                <w:t xml:space="preserve">https://cloud.google.com/bigquery/docs/reference/standard-sql/query-syntax</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BigQuery documentation</w:t>
            </w:r>
          </w:p>
          <w:p>
            <w:hyperlink w:history="1" r:id="rIdpkwzmlvx7bm48p-yri0yf">
              <w:r>
                <w:rPr>
                  <w:rFonts w:ascii="Arial" w:cs="Arial" w:eastAsia="Arial" w:hAnsi="Arial"/>
                  <w:color w:val="1F5FAD"/>
                  <w:sz w:val="15"/>
                  <w:szCs w:val="15"/>
                  <w:u w:val="single"/>
                </w:rPr>
                <w:t xml:space="preserve">https://cloud.google.com/bigquery/docs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GA4BigQuery.com</w:t>
            </w:r>
          </w:p>
        </w:tc>
        <w:tc>
          <w:tcPr>
            <w:tcW w:type="dxa" w:w="6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20"/>
            </w:pPr>
            <w:r>
              <w:rPr>
                <w:rFonts w:ascii="Arial" w:cs="Arial" w:eastAsia="Arial" w:hAnsi="Arial"/>
                <w:sz w:val="18"/>
                <w:szCs w:val="18"/>
              </w:rPr>
              <w:t xml:space="preserve">GA4BigQuery.com: exploring the GA4 sample data with SQL</w:t>
            </w:r>
          </w:p>
          <w:p>
            <w:hyperlink w:history="1" r:id="rId_3eteynaf30t1bvqtdzhh">
              <w:r>
                <w:rPr>
                  <w:rFonts w:ascii="Arial" w:cs="Arial" w:eastAsia="Arial" w:hAnsi="Arial"/>
                  <w:color w:val="1F5FAD"/>
                  <w:sz w:val="15"/>
                  <w:szCs w:val="15"/>
                  <w:u w:val="single"/>
                </w:rPr>
                <w:t xml:space="preserve">https://www.ga4bigquery.com/exploring-ga4-event-data-with-the-sample-ecommerce-data-set-in-bigquery/</w:t>
              </w:r>
            </w:hyperlink>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r>
        <w:trPr>
          <w:cantSplit/>
        </w:trPr>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snapshots docs</w:t>
            </w:r>
          </w:p>
        </w:tc>
        <w:tc>
          <w:tcPr>
            <w:tcW w:type="dxa" w:w="6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20"/>
            </w:pPr>
            <w:r>
              <w:rPr>
                <w:rFonts w:ascii="Arial" w:cs="Arial" w:eastAsia="Arial" w:hAnsi="Arial"/>
                <w:sz w:val="18"/>
                <w:szCs w:val="18"/>
              </w:rPr>
              <w:t xml:space="preserve">dbt docs: Snapshots (SCD Type 2)</w:t>
            </w:r>
          </w:p>
          <w:p>
            <w:hyperlink w:history="1" r:id="rIdp9n4fdqkizrsnzgnumgvf">
              <w:r>
                <w:rPr>
                  <w:rFonts w:ascii="Arial" w:cs="Arial" w:eastAsia="Arial" w:hAnsi="Arial"/>
                  <w:color w:val="1F5FAD"/>
                  <w:sz w:val="15"/>
                  <w:szCs w:val="15"/>
                  <w:u w:val="single"/>
                </w:rPr>
                <w:t xml:space="preserve">https://docs.getdbt.com/docs/build/snapshots</w:t>
              </w:r>
            </w:hyperlink>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Free</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SQL Track  ·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SQL Track  ·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SQL Track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6DA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aegqqimmwjsorvnw_yedb" Type="http://schemas.openxmlformats.org/officeDocument/2006/relationships/hyperlink" Target="https://www.thoughtspot.com/sql-tutorial/sql-window-functions" TargetMode="External"/><Relationship Id="rIdexmxvmdfmzrri0ytzbtds" Type="http://schemas.openxmlformats.org/officeDocument/2006/relationships/hyperlink" Target="https://datalemur.com/sql-tutorial" TargetMode="External"/><Relationship Id="rIdb9ux6chq0ezofvyoqus7l" Type="http://schemas.openxmlformats.org/officeDocument/2006/relationships/hyperlink" Target="https://leetcode.com/studyplan/top-sql-50/" TargetMode="External"/><Relationship Id="rIdoucwebtgfmff3d9re3hp-" Type="http://schemas.openxmlformats.org/officeDocument/2006/relationships/hyperlink" Target="https://duckdb.org/docs/" TargetMode="External"/><Relationship Id="rIdaab5vzi-afwqsoukiojke" Type="http://schemas.openxmlformats.org/officeDocument/2006/relationships/hyperlink" Target="https://modern-sql.com/" TargetMode="External"/><Relationship Id="rIdvosdyaxfoivhezluyeoco" Type="http://schemas.openxmlformats.org/officeDocument/2006/relationships/hyperlink" Target="https://www.holistics.io/books/setup-analytics/" TargetMode="External"/><Relationship Id="rIdadgchsqbcydxh_50zwktq" Type="http://schemas.openxmlformats.org/officeDocument/2006/relationships/hyperlink" Target="https://docs.getdbt.com/best-practices/how-we-structure/1-guide-overview" TargetMode="External"/><Relationship Id="rIdq9htorbxntmp80cyw1fav" Type="http://schemas.openxmlformats.org/officeDocument/2006/relationships/hyperlink" Target="https://docs.getdbt.com/" TargetMode="External"/><Relationship Id="rIdiym08tiyvm5hhb20deu7e" Type="http://schemas.openxmlformats.org/officeDocument/2006/relationships/hyperlink" Target="https://docs.snowflake.com/en/sql-reference" TargetMode="External"/><Relationship Id="rIdyqett_nmv-ayluqtgihbz" Type="http://schemas.openxmlformats.org/officeDocument/2006/relationships/hyperlink" Target="https://docs.snowflake.com/" TargetMode="External"/><Relationship Id="rIdwaw8idmolksylx32kdps6" Type="http://schemas.openxmlformats.org/officeDocument/2006/relationships/hyperlink" Target="https://use-the-index-luke.com/" TargetMode="External"/><Relationship Id="rIdwoh8gq9paqtku-klff6ww" Type="http://schemas.openxmlformats.org/officeDocument/2006/relationships/hyperlink" Target="https://select.dev/posts/snowflake-cost-optimization" TargetMode="External"/><Relationship Id="rId8g3cwx5q9rmciijesn9fz" Type="http://schemas.openxmlformats.org/officeDocument/2006/relationships/hyperlink" Target="https://cloud.google.com/bigquery/docs/reference/standard-sql/query-syntax" TargetMode="External"/><Relationship Id="rIdpkwzmlvx7bm48p-yri0yf" Type="http://schemas.openxmlformats.org/officeDocument/2006/relationships/hyperlink" Target="https://cloud.google.com/bigquery/docs" TargetMode="External"/><Relationship Id="rId_3eteynaf30t1bvqtdzhh" Type="http://schemas.openxmlformats.org/officeDocument/2006/relationships/hyperlink" Target="https://www.ga4bigquery.com/exploring-ga4-event-data-with-the-sample-ecommerce-data-set-in-bigquery/" TargetMode="External"/><Relationship Id="rIdp9n4fdqkizrsnzgnumgvf" Type="http://schemas.openxmlformats.org/officeDocument/2006/relationships/hyperlink" Target="https://docs.getdbt.com/docs/build/snapshots"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Track</dc:title>
  <dc:creator>Claude</dc:creator>
  <cp:lastModifiedBy>Un-named</cp:lastModifiedBy>
  <cp:revision>1</cp:revision>
  <dcterms:created xsi:type="dcterms:W3CDTF">2026-09-23T14:32:07.420Z</dcterms:created>
  <dcterms:modified xsi:type="dcterms:W3CDTF">2026-09-23T14:32:07.420Z</dcterms:modified>
</cp:coreProperties>
</file>

<file path=docProps/custom.xml><?xml version="1.0" encoding="utf-8"?>
<Properties xmlns="http://schemas.openxmlformats.org/officeDocument/2006/custom-properties" xmlns:vt="http://schemas.openxmlformats.org/officeDocument/2006/docPropsVTypes"/>
</file>