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Project Phoenix — MySQL Notes</w:t>
      </w:r>
    </w:p>
    <w:p>
      <w:pPr>
        <w:spacing w:after="300"/>
      </w:pPr>
      <w:r>
        <w:rPr>
          <w:i/>
          <w:iCs/>
          <w:color w:val="5F5E5A"/>
        </w:rPr>
        <w:t xml:space="preserve">Consolidated notes from High Performance MySQL, ChatGPT, and Claude</w:t>
      </w:r>
    </w:p>
    <w:p>
      <w:pPr>
        <w:pBdr>
          <w:bottom w:val="single" w:color="B4B2A9" w:sz="6" w:space="1"/>
        </w:pBdr>
        <w:spacing w:after="200"/>
      </w:pPr>
    </w:p>
    <w:p>
      <w:pPr>
        <w:pStyle w:val="Heading1"/>
        <w:spacing w:after="200" w:before="0"/>
      </w:pPr>
      <w:r>
        <w:t xml:space="preserve">Part I — Server Architecture &amp; Concurrency Control</w:t>
      </w:r>
    </w:p>
    <w:p>
      <w:pPr>
        <w:pStyle w:val="Heading2"/>
        <w:spacing w:after="120" w:before="240"/>
      </w:pPr>
      <w:r>
        <w:t xml:space="preserve">1. MySQL's three-layer architecture</w:t>
      </w:r>
    </w:p>
    <w:p>
      <w:pPr>
        <w:spacing w:after="160"/>
      </w:pPr>
      <w:r>
        <w:t xml:space="preserve">MySQL is built as three distinct layers, and understanding this separation is the single most useful mental model for working with the server instead of against it.</w:t>
      </w:r>
    </w:p>
    <w:p>
      <w:pPr>
        <w:spacing w:after="200" w:before="100"/>
        <w:jc w:val="center"/>
      </w:pPr>
      <w:r>
        <w:drawing>
          <wp:inline distT="0" distB="0" distL="0" distR="0">
            <wp:extent cx="476250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2305050"/>
                    </a:xfrm>
                    <a:prstGeom prst="rect">
                      <a:avLst/>
                    </a:prstGeom>
                  </pic:spPr>
                </pic:pic>
              </a:graphicData>
            </a:graphic>
          </wp:inline>
        </w:drawing>
      </w:r>
    </w:p>
    <w:p>
      <w:pPr>
        <w:pStyle w:val="Heading3"/>
        <w:spacing w:after="100" w:before="200"/>
      </w:pPr>
      <w:r>
        <w:t xml:space="preserve">Layer 1 — Clients</w:t>
      </w:r>
    </w:p>
    <w:p>
      <w:pPr>
        <w:spacing w:after="160"/>
      </w:pPr>
      <w:r>
        <w:t xml:space="preserve">Nothing MySQL-specific happens here. This is the plumbing every network service needs: accepting connections, checking passwords, enforcing TLS. Think of it as the front door and security guard.</w:t>
      </w:r>
    </w:p>
    <w:p>
      <w:pPr>
        <w:pStyle w:val="Heading3"/>
        <w:spacing w:after="100" w:before="200"/>
      </w:pPr>
      <w:r>
        <w:t xml:space="preserve">Layer 2 — The server (“the brains”)</w:t>
      </w:r>
    </w:p>
    <w:p>
      <w:pPr>
        <w:spacing w:after="160"/>
      </w:pPr>
      <w:r>
        <w:t xml:space="preserve">This is where SQL gets parsed, optimized, and executed. Views, triggers, and stored procedures live here too, since they are shared across every storage engine rather than owned by any one of them.</w:t>
      </w:r>
    </w:p>
    <w:p>
      <w:pPr>
        <w:pStyle w:val="Heading3"/>
        <w:spacing w:after="100" w:before="200"/>
      </w:pPr>
      <w:r>
        <w:t xml:space="preserve">Layer 3 — Storage engines</w:t>
      </w:r>
    </w:p>
    <w:p>
      <w:pPr>
        <w:spacing w:after="160"/>
      </w:pPr>
      <w:r>
        <w:t xml:space="preserve">The actual workers that read and write data to disk. As a DBA, this is the layer I care about most day to day, because InnoDB, MyISAM, and the rest each behave completely differently under load, even for identical SQL.</w:t>
      </w:r>
    </w:p>
    <w:p>
      <w:pPr>
        <w:pBdr>
          <w:left w:val="single" w:color="378ADD" w:sz="18" w:space="8"/>
        </w:pBdr>
        <w:spacing w:after="200" w:before="80"/>
        <w:ind w:left="200"/>
      </w:pPr>
      <w:r>
        <w:rPr>
          <w:b/>
          <w:bCs/>
          <w:color w:val="0C447C"/>
        </w:rPr>
        <w:t xml:space="preserve">DBA takeaway: </w:t>
      </w:r>
      <w:r>
        <w:t xml:space="preserve">This separation is MySQL's superpower. You can swap the storage engine under a table without touching a single line of application SQL, because Layer 2 talks to Layer 3 through a generic storage engine API — a fixed set of low-level commands like “begin transaction” or “fetch row by primary key.” The engine doesn't know or care what the SQL looked like; it just responds to these calls.</w:t>
      </w:r>
    </w:p>
    <w:p>
      <w:pPr>
        <w:pStyle w:val="Heading2"/>
        <w:spacing w:after="120" w:before="240"/>
      </w:pPr>
      <w:r>
        <w:t xml:space="preserve">2. Connection management</w:t>
      </w:r>
    </w:p>
    <w:p>
      <w:pPr>
        <w:pStyle w:val="ListParagraph"/>
        <w:numPr>
          <w:ilvl w:val="0"/>
          <w:numId w:val="2"/>
        </w:numPr>
        <w:spacing w:after="100"/>
      </w:pPr>
      <w:r>
        <w:rPr>
          <w:b/>
          <w:bCs/>
        </w:rPr>
        <w:t xml:space="preserve">Every client connection</w:t>
      </w:r>
      <w:r>
        <w:t xml:space="preserve"> gets its own thread, and MySQL keeps a pool of pre-warmed threads ready to go, so it doesn't need to spin one up from scratch on every connect.</w:t>
      </w:r>
    </w:p>
    <w:p>
      <w:pPr>
        <w:pStyle w:val="ListParagraph"/>
        <w:numPr>
          <w:ilvl w:val="0"/>
          <w:numId w:val="2"/>
        </w:numPr>
        <w:spacing w:after="100"/>
      </w:pPr>
      <w:r>
        <w:rPr>
          <w:b/>
          <w:bCs/>
        </w:rPr>
        <w:t xml:space="preserve">Authentication vs. privileges:</w:t>
      </w:r>
      <w:r>
        <w:t xml:space="preserve"> Authentication checks who you are (user, host, and password, or a certificate over TLS). Privilege checks happen per query — even after login, MySQL re-checks whether the user can actually run this exact statement against this exact table, every single time.</w:t>
      </w:r>
    </w:p>
    <w:p>
      <w:pPr>
        <w:pBdr>
          <w:left w:val="single" w:color="378ADD" w:sz="18" w:space="8"/>
        </w:pBdr>
        <w:spacing w:after="200" w:before="80"/>
        <w:ind w:left="200"/>
      </w:pPr>
      <w:r>
        <w:rPr>
          <w:b/>
          <w:bCs/>
          <w:color w:val="0C447C"/>
        </w:rPr>
        <w:t xml:space="preserve">DBA reality check: </w:t>
      </w:r>
      <w:r>
        <w:t xml:space="preserve">This is why max_connections matters so much. Too many idle or sleeping connections eat threads and memory even when they're doing nothing. I regularly audit SHOW PROCESSLIST for zombie connections piling up from a leaky application connection pool.</w:t>
      </w:r>
    </w:p>
    <w:p>
      <w:pPr>
        <w:pStyle w:val="Heading2"/>
        <w:spacing w:after="120" w:before="240"/>
      </w:pPr>
      <w:r>
        <w:t xml:space="preserve">3. Optimizer and execution</w:t>
      </w:r>
    </w:p>
    <w:p>
      <w:pPr>
        <w:pStyle w:val="ListParagraph"/>
        <w:numPr>
          <w:ilvl w:val="0"/>
          <w:numId w:val="2"/>
        </w:numPr>
        <w:spacing w:after="100"/>
      </w:pPr>
      <w:r>
        <w:rPr>
          <w:b/>
          <w:bCs/>
        </w:rPr>
        <w:t xml:space="preserve">Query parsing:</w:t>
      </w:r>
      <w:r>
        <w:t xml:space="preserve"> Every query becomes a parse tree, then MySQL decides things like which index to use, what order to join tables in, and whether to rewrite the query internally.</w:t>
      </w:r>
    </w:p>
    <w:p>
      <w:pPr>
        <w:pStyle w:val="ListParagraph"/>
        <w:numPr>
          <w:ilvl w:val="0"/>
          <w:numId w:val="2"/>
        </w:numPr>
        <w:spacing w:after="100"/>
      </w:pPr>
      <w:r>
        <w:rPr>
          <w:b/>
          <w:bCs/>
        </w:rPr>
        <w:t xml:space="preserve">Hints and EXPLAIN:</w:t>
      </w:r>
      <w:r>
        <w:t xml:space="preserve"> You can nudge the optimizer's decisions with hints, and inspect them with EXPLAIN — one of the most-used tools in daily troubleshooting.</w:t>
      </w:r>
    </w:p>
    <w:p>
      <w:pPr>
        <w:pBdr>
          <w:left w:val="single" w:color="378ADD" w:sz="18" w:space="8"/>
        </w:pBdr>
        <w:spacing w:after="200" w:before="80"/>
        <w:ind w:left="200"/>
      </w:pPr>
      <w:r>
        <w:rPr>
          <w:b/>
          <w:bCs/>
          <w:color w:val="0C447C"/>
        </w:rPr>
        <w:t xml:space="preserve">Key insight: </w:t>
      </w:r>
      <w:r>
        <w:t xml:space="preserve">The optimizer is engine-agnostic in intent but not in outcome. It asks the storage engine things like “how expensive is this operation” and “what indexes do you support,” so the exact same query can get a different execution plan on InnoDB versus MyISAM.</w:t>
      </w:r>
    </w:p>
    <w:p>
      <w:pPr>
        <w:pStyle w:val="Heading2"/>
        <w:spacing w:after="120" w:before="240"/>
      </w:pPr>
      <w:r>
        <w:t xml:space="preserve">4. The query cache is dead</w:t>
      </w:r>
    </w:p>
    <w:p>
      <w:pPr>
        <w:pStyle w:val="ListParagraph"/>
        <w:numPr>
          <w:ilvl w:val="0"/>
          <w:numId w:val="2"/>
        </w:numPr>
        <w:spacing w:after="100"/>
      </w:pPr>
      <w:r>
        <w:rPr>
          <w:b/>
          <w:bCs/>
        </w:rPr>
        <w:t xml:space="preserve">What it was:</w:t>
      </w:r>
      <w:r>
        <w:t xml:space="preserve"> Older MySQL versions stored full result sets in a built-in query cache, so identical queries didn't need re-execution.</w:t>
      </w:r>
    </w:p>
    <w:p>
      <w:pPr>
        <w:pStyle w:val="ListParagraph"/>
        <w:numPr>
          <w:ilvl w:val="0"/>
          <w:numId w:val="2"/>
        </w:numPr>
        <w:spacing w:after="100"/>
      </w:pPr>
      <w:r>
        <w:rPr>
          <w:b/>
          <w:bCs/>
        </w:rPr>
        <w:t xml:space="preserve">Why it died:</w:t>
      </w:r>
      <w:r>
        <w:t xml:space="preserve"> It became a bottleneck under high concurrency, because every write to a table invalidated the whole cache behind one global lock, causing heavy contention.</w:t>
      </w:r>
    </w:p>
    <w:p>
      <w:pPr>
        <w:pStyle w:val="ListParagraph"/>
        <w:numPr>
          <w:ilvl w:val="0"/>
          <w:numId w:val="2"/>
        </w:numPr>
        <w:spacing w:after="100"/>
      </w:pPr>
      <w:r>
        <w:rPr>
          <w:b/>
          <w:bCs/>
        </w:rPr>
        <w:t xml:space="preserve">Current status:</w:t>
      </w:r>
      <w:r>
        <w:t xml:space="preserve"> Deprecated in MySQL 5.7.20 and fully removed in 8.0.</w:t>
      </w:r>
    </w:p>
    <w:p>
      <w:pPr>
        <w:pBdr>
          <w:left w:val="single" w:color="378ADD" w:sz="18" w:space="8"/>
        </w:pBdr>
        <w:spacing w:after="200" w:before="80"/>
        <w:ind w:left="200"/>
      </w:pPr>
      <w:r>
        <w:rPr>
          <w:b/>
          <w:bCs/>
          <w:color w:val="0C447C"/>
        </w:rPr>
        <w:t xml:space="preserve">Recommendation: </w:t>
      </w:r>
      <w:r>
        <w:t xml:space="preserve">Don't try to recreate this at the MySQL layer. Push caching to an external layer like Redis or Memcached, where there's far more control over invalidation and scaling.</w:t>
      </w:r>
    </w:p>
    <w:p>
      <w:pPr>
        <w:pStyle w:val="Heading2"/>
        <w:spacing w:after="120" w:before="240"/>
      </w:pPr>
      <w:r>
        <w:t xml:space="preserve">5. Why concurrency control exists at all</w:t>
      </w:r>
    </w:p>
    <w:p>
      <w:pPr>
        <w:spacing w:after="160"/>
      </w:pPr>
      <w:r>
        <w:t xml:space="preserve">Think of a shared spreadsheet. One person editing alone is no problem. A whole team editing simultaneously is chaos unless there are rules. That is exactly the problem a database faces with many clients hitting the same table at once.</w:t>
      </w:r>
    </w:p>
    <w:p>
      <w:pPr>
        <w:spacing w:after="160"/>
      </w:pPr>
      <w:r>
        <w:t xml:space="preserve">MySQL solves this at two levels:</w:t>
      </w:r>
    </w:p>
    <w:p>
      <w:pPr>
        <w:pStyle w:val="ListParagraph"/>
        <w:numPr>
          <w:ilvl w:val="0"/>
          <w:numId w:val="2"/>
        </w:numPr>
        <w:spacing w:after="100"/>
      </w:pPr>
      <w:r>
        <w:rPr>
          <w:b/>
          <w:bCs/>
        </w:rPr>
        <w:t xml:space="preserve">The server level —</w:t>
      </w:r>
      <w:r>
        <w:t xml:space="preserve"> Some locking metadata lives here.</w:t>
      </w:r>
    </w:p>
    <w:p>
      <w:pPr>
        <w:pStyle w:val="ListParagraph"/>
        <w:numPr>
          <w:ilvl w:val="0"/>
          <w:numId w:val="2"/>
        </w:numPr>
        <w:spacing w:after="100"/>
      </w:pPr>
      <w:r>
        <w:rPr>
          <w:b/>
          <w:bCs/>
        </w:rPr>
        <w:t xml:space="preserve">The storage-engine level —</w:t>
      </w:r>
      <w:r>
        <w:t xml:space="preserve"> The actual row or table locking happens here — this is where the real work gets done.</w:t>
      </w:r>
    </w:p>
    <w:p>
      <w:pPr>
        <w:pStyle w:val="Heading2"/>
        <w:spacing w:after="120" w:before="240"/>
      </w:pPr>
      <w:r>
        <w:t xml:space="preserve">6. Read locks vs. write locks</w:t>
      </w:r>
    </w:p>
    <w:p>
      <w:pPr>
        <w:pStyle w:val="ListParagraph"/>
        <w:numPr>
          <w:ilvl w:val="0"/>
          <w:numId w:val="2"/>
        </w:numPr>
        <w:spacing w:after="100"/>
      </w:pPr>
      <w:r>
        <w:rPr>
          <w:b/>
          <w:bCs/>
        </w:rPr>
        <w:t xml:space="preserve">Read (shared) locks:</w:t>
      </w:r>
      <w:r>
        <w:t xml:space="preserve"> Many clients can hold these at once, since nobody is changing anything, so there's no conflict.</w:t>
      </w:r>
    </w:p>
    <w:p>
      <w:pPr>
        <w:pStyle w:val="ListParagraph"/>
        <w:numPr>
          <w:ilvl w:val="0"/>
          <w:numId w:val="2"/>
        </w:numPr>
        <w:spacing w:after="100"/>
      </w:pPr>
      <w:r>
        <w:rPr>
          <w:b/>
          <w:bCs/>
        </w:rPr>
        <w:t xml:space="preserve">Write (exclusive) locks:</w:t>
      </w:r>
      <w:r>
        <w:t xml:space="preserve"> Only one client can hold this, and it blocks everyone else — both other writers and readers — while active.</w:t>
      </w:r>
    </w:p>
    <w:p>
      <w:pPr>
        <w:pBdr>
          <w:left w:val="single" w:color="378ADD" w:sz="18" w:space="8"/>
        </w:pBdr>
        <w:spacing w:after="200" w:before="80"/>
        <w:ind w:left="200"/>
      </w:pPr>
      <w:r>
        <w:rPr>
          <w:b/>
          <w:bCs/>
          <w:color w:val="0C447C"/>
        </w:rPr>
        <w:t xml:space="preserve">Why this matters: </w:t>
      </w:r>
      <w:r>
        <w:t xml:space="preserve">This is the fundamental trade-off behind every locking decision in MySQL. More locking means safer data but less concurrency; less locking means faster access but more risk if it isn't designed carefully.</w:t>
      </w:r>
    </w:p>
    <w:p>
      <w:pPr>
        <w:pStyle w:val="Heading2"/>
        <w:spacing w:after="120" w:before="240"/>
      </w:pPr>
      <w:r>
        <w:t xml:space="preserve">7. Lock granularity — the biggest performance lever</w:t>
      </w:r>
    </w:p>
    <w:p>
      <w:pPr>
        <w:pStyle w:val="ListParagraph"/>
        <w:numPr>
          <w:ilvl w:val="0"/>
          <w:numId w:val="2"/>
        </w:numPr>
        <w:spacing w:after="100"/>
      </w:pPr>
      <w:r>
        <w:rPr>
          <w:b/>
          <w:bCs/>
        </w:rPr>
        <w:t xml:space="preserve">Coarse locking:</w:t>
      </w:r>
      <w:r>
        <w:t xml:space="preserve"> Lock the whole table. Cheap to manage, but kills concurrency.</w:t>
      </w:r>
    </w:p>
    <w:p>
      <w:pPr>
        <w:pStyle w:val="ListParagraph"/>
        <w:numPr>
          <w:ilvl w:val="0"/>
          <w:numId w:val="2"/>
        </w:numPr>
        <w:spacing w:after="100"/>
      </w:pPr>
      <w:r>
        <w:rPr>
          <w:b/>
          <w:bCs/>
        </w:rPr>
        <w:t xml:space="preserve">Fine locking:</w:t>
      </w:r>
      <w:r>
        <w:t xml:space="preserve"> Lock just the row being touched. Lets many people work at once, but costs more CPU and memory to track who is holding what.</w:t>
      </w:r>
    </w:p>
    <w:p>
      <w:pPr>
        <w:pBdr>
          <w:left w:val="single" w:color="378ADD" w:sz="18" w:space="8"/>
        </w:pBdr>
        <w:spacing w:after="200" w:before="80"/>
        <w:ind w:left="200"/>
      </w:pPr>
      <w:r>
        <w:rPr>
          <w:b/>
          <w:bCs/>
          <w:color w:val="0C447C"/>
        </w:rPr>
        <w:t xml:space="preserve">Why MySQL is special here: </w:t>
      </w:r>
      <w:r>
        <w:t xml:space="preserve">Unlike most commercial databases that force one locking style on you, MySQL lets each storage engine choose its own locking granularity — a direct consequence of the pluggable storage engine architecture from Section 1.</w:t>
      </w:r>
    </w:p>
    <w:p>
      <w:pPr>
        <w:pStyle w:val="Heading2"/>
        <w:spacing w:after="120" w:before="240"/>
      </w:pPr>
      <w:r>
        <w:t xml:space="preserve">8. Table locks</w:t>
      </w:r>
    </w:p>
    <w:p>
      <w:pPr>
        <w:pStyle w:val="ListParagraph"/>
        <w:numPr>
          <w:ilvl w:val="0"/>
          <w:numId w:val="2"/>
        </w:numPr>
        <w:spacing w:after="100"/>
      </w:pPr>
      <w:r>
        <w:t xml:space="preserve">Locks the entire table for writes, blocking all reads and other writes until released.</w:t>
      </w:r>
    </w:p>
    <w:p>
      <w:pPr>
        <w:pStyle w:val="ListParagraph"/>
        <w:numPr>
          <w:ilvl w:val="0"/>
          <w:numId w:val="2"/>
        </w:numPr>
        <w:spacing w:after="100"/>
      </w:pPr>
      <w:r>
        <w:t xml:space="preserve">Lowest overhead, but worst concurrency — one writer blocks everyone.</w:t>
      </w:r>
    </w:p>
    <w:p>
      <w:pPr>
        <w:pStyle w:val="ListParagraph"/>
        <w:numPr>
          <w:ilvl w:val="0"/>
          <w:numId w:val="2"/>
        </w:numPr>
        <w:spacing w:after="100"/>
      </w:pPr>
      <w:r>
        <w:t xml:space="preserve">MySQL softens this with READ LOCAL locks, which permit some concurrent writes and reads, and by giving write requests priority over queued reads.</w:t>
      </w:r>
    </w:p>
    <w:p>
      <w:pPr>
        <w:pBdr>
          <w:left w:val="single" w:color="378ADD" w:sz="18" w:space="8"/>
        </w:pBdr>
        <w:spacing w:after="200" w:before="80"/>
        <w:ind w:left="200"/>
      </w:pPr>
      <w:r>
        <w:rPr>
          <w:b/>
          <w:bCs/>
          <w:color w:val="0C447C"/>
        </w:rPr>
        <w:t xml:space="preserve">When this still shows up: </w:t>
      </w:r>
      <w:r>
        <w:t xml:space="preserve">MyISAM tables, or ALTER TABLE operations on InnoDB that briefly need table-level locking.</w:t>
      </w:r>
    </w:p>
    <w:p>
      <w:pPr>
        <w:pStyle w:val="Heading2"/>
        <w:spacing w:after="120" w:before="240"/>
      </w:pPr>
      <w:r>
        <w:t xml:space="preserve">9. Row locks — the workhorse of modern MySQL</w:t>
      </w:r>
    </w:p>
    <w:p>
      <w:pPr>
        <w:pStyle w:val="ListParagraph"/>
        <w:numPr>
          <w:ilvl w:val="0"/>
          <w:numId w:val="2"/>
        </w:numPr>
        <w:spacing w:after="100"/>
      </w:pPr>
      <w:r>
        <w:t xml:space="preserve">Locks only the specific row being changed, leaving every other row in the table fully accessible to other transactions.</w:t>
      </w:r>
    </w:p>
    <w:p>
      <w:pPr>
        <w:pStyle w:val="ListParagraph"/>
        <w:numPr>
          <w:ilvl w:val="0"/>
          <w:numId w:val="2"/>
        </w:numPr>
        <w:spacing w:after="100"/>
      </w:pPr>
      <w:r>
        <w:t xml:space="preserve">Big concurrency win, with real overhead: MySQL has to track who holds which lock, for how long, and of what type, then clean it all up afterward.</w:t>
      </w:r>
    </w:p>
    <w:p>
      <w:pPr>
        <w:pBdr>
          <w:left w:val="single" w:color="378ADD" w:sz="18" w:space="8"/>
        </w:pBdr>
        <w:spacing w:after="200" w:before="80"/>
        <w:ind w:left="200"/>
      </w:pPr>
      <w:r>
        <w:rPr>
          <w:b/>
          <w:bCs/>
          <w:color w:val="0C447C"/>
        </w:rPr>
        <w:t xml:space="preserve">Critical detail: </w:t>
      </w:r>
      <w:r>
        <w:t xml:space="preserve">Row locking is implemented inside the storage engine, not the MySQL server itself — InnoDB does this work under the hood. This is why InnoDB is the default engine: row-level locking plus MVCC is what lets it handle high-concurrency OLTP workloads far better than MyISAM ever could.</w:t>
      </w:r>
    </w:p>
    <w:p>
      <w:pPr>
        <w:pBdr>
          <w:left w:val="single" w:color="639922" w:sz="18" w:space="8"/>
        </w:pBdr>
        <w:spacing w:after="100" w:before="100"/>
        <w:ind w:left="200"/>
      </w:pPr>
      <w:r>
        <w:rPr>
          <w:b/>
          <w:bCs/>
        </w:rPr>
        <w:t xml:space="preserve">Part I takeaway: </w:t>
      </w:r>
      <w:r>
        <w:t xml:space="preserve">every architectural choice in MySQL — where SQL gets parsed, how connections are pooled, whether locks are table-wide or row-level — sits on a speed-versus-safety spectrum. Knowing where each storage engine and configuration sits on that spectrum is what lets a DBA pick the right tool for the workload instead of fighting MySQL's defaults.</w:t>
      </w:r>
    </w:p>
    <w:p>
      <w:pPr>
        <w:pStyle w:val="Heading1"/>
        <w:spacing w:after="150" w:before="500"/>
      </w:pPr>
      <w:r>
        <w:t xml:space="preserve">Part II — Transaction Isolation Levels</w:t>
      </w:r>
    </w:p>
    <w:p>
      <w:pPr>
        <w:spacing w:after="160"/>
      </w:pPr>
      <w:r>
        <w:t xml:space="preserve">Isolation defines what changes are visible inside and outside a running transaction. Lower isolation levels give higher concurrency and less overhead; higher levels give more safety at the cost of concurrency.</w:t>
      </w:r>
    </w:p>
    <w:p>
      <w:pPr>
        <w:pBdr>
          <w:left w:val="single" w:color="B4B2A9" w:sz="18" w:space="8"/>
        </w:pBdr>
        <w:spacing w:after="60" w:before="100"/>
        <w:ind w:left="300" w:right="300"/>
      </w:pPr>
      <w:r>
        <w:rPr>
          <w:i/>
          <w:iCs/>
          <w:color w:val="444441"/>
        </w:rPr>
        <w:t xml:space="preserve">The ANSI SQL standard defines four isolation levels, which set the rules for which changes are and aren't visible inside and outside a transaction. Each storage engine implements them slightly differently.</w:t>
      </w:r>
    </w:p>
    <w:p>
      <w:pPr>
        <w:spacing w:after="200"/>
        <w:ind w:left="300"/>
      </w:pPr>
      <w:r>
        <w:rPr>
          <w:i/>
          <w:iCs/>
          <w:color w:val="5F5E5A"/>
          <w:sz w:val="20"/>
          <w:szCs w:val="20"/>
        </w:rPr>
        <w:t xml:space="preserve">— High Performance MySQL</w:t>
      </w:r>
    </w:p>
    <w:p>
      <w:pPr>
        <w:pStyle w:val="Heading2"/>
        <w:spacing w:after="120" w:before="240"/>
      </w:pPr>
      <w:r>
        <w:t xml:space="preserve">What is isolation?</w:t>
      </w:r>
    </w:p>
    <w:p>
      <w:pPr>
        <w:spacing w:after="160"/>
      </w:pPr>
      <w:r>
        <w:t xml:space="preserve">Isolation is the rule that decides what one transaction can see of another transaction's in-progress work. Think of it as curtains between workers in an office — the isolation level controls how transparent or opaque those curtains are.</w:t>
      </w:r>
    </w:p>
    <w:p>
      <w:pPr>
        <w:pStyle w:val="Heading2"/>
        <w:spacing w:after="120" w:before="240"/>
      </w:pPr>
      <w:r>
        <w:t xml:space="preserve">The four isolation levels</w:t>
      </w:r>
    </w:p>
    <w:p>
      <w:pPr>
        <w:pStyle w:val="Heading3"/>
        <w:spacing w:after="100" w:before="200"/>
      </w:pPr>
      <w:r>
        <w:t xml:space="preserve">Read uncommitted</w:t>
      </w:r>
    </w:p>
    <w:p>
      <w:pPr>
        <w:spacing w:after="160"/>
      </w:pPr>
      <w:r>
        <w:t xml:space="preserve">A transaction can see another transaction's changes even before that transaction commits — known as a dirty read.</w:t>
      </w:r>
    </w:p>
    <w:p>
      <w:pPr>
        <w:pBdr>
          <w:left w:val="single" w:color="378ADD" w:sz="18" w:space="8"/>
        </w:pBdr>
        <w:spacing w:after="200" w:before="80"/>
        <w:ind w:left="200"/>
      </w:pPr>
      <w:r>
        <w:rPr>
          <w:b/>
          <w:bCs/>
          <w:color w:val="0C447C"/>
        </w:rPr>
        <w:t xml:space="preserve">Analogy: </w:t>
      </w:r>
      <w:r>
        <w:t xml:space="preserve">A coworker is still writing a report. You read it mid-draft and act on it, then they delete the whole thing. You acted on data that never officially existed.</w:t>
      </w:r>
    </w:p>
    <w:p>
      <w:pPr>
        <w:pBdr>
          <w:left w:val="single" w:color="378ADD" w:sz="18" w:space="8"/>
        </w:pBdr>
        <w:spacing w:after="200" w:before="80"/>
        <w:ind w:left="200"/>
      </w:pPr>
      <w:r>
        <w:rPr>
          <w:b/>
          <w:bCs/>
          <w:color w:val="0C447C"/>
        </w:rPr>
        <w:t xml:space="preserve">In practice: </w:t>
      </w:r>
      <w:r>
        <w:t xml:space="preserve">Rarely used. The risk is high and the performance gain over the other levels is not worth it.</w:t>
      </w:r>
    </w:p>
    <w:p>
      <w:pPr>
        <w:pStyle w:val="Heading3"/>
        <w:spacing w:after="100" w:before="200"/>
      </w:pPr>
      <w:r>
        <w:t xml:space="preserve">Read committed</w:t>
      </w:r>
    </w:p>
    <w:p>
      <w:pPr>
        <w:spacing w:after="160"/>
      </w:pPr>
      <w:r>
        <w:t xml:space="preserve">A transaction only sees changes from other transactions that have fully committed. This still allows a non-repeatable read — running the same query twice inside one transaction can return different results if another transaction commits a change in between.</w:t>
      </w:r>
    </w:p>
    <w:p>
      <w:pPr>
        <w:pBdr>
          <w:left w:val="single" w:color="378ADD" w:sz="18" w:space="8"/>
        </w:pBdr>
        <w:spacing w:after="200" w:before="80"/>
        <w:ind w:left="200"/>
      </w:pPr>
      <w:r>
        <w:rPr>
          <w:b/>
          <w:bCs/>
          <w:color w:val="0C447C"/>
        </w:rPr>
        <w:t xml:space="preserve">Note: </w:t>
      </w:r>
      <w:r>
        <w:t xml:space="preserve">This is the default isolation level in most databases (Oracle, PostgreSQL, SQL Server) — but not MySQL.</w:t>
      </w:r>
    </w:p>
    <w:p>
      <w:pPr>
        <w:pStyle w:val="Heading3"/>
        <w:spacing w:after="100" w:before="200"/>
      </w:pPr>
      <w:r>
        <w:t xml:space="preserve">Repeatable read — MySQL's default</w:t>
      </w:r>
    </w:p>
    <w:p>
      <w:pPr>
        <w:spacing w:after="160"/>
      </w:pPr>
      <w:r>
        <w:t xml:space="preserve">Any row a transaction reads stays the same for the entire duration of that transaction, even if another transaction changes it. This solves the non-repeatable read problem but, in theory, still allows a phantom read: querying a range of rows, having another transaction insert a new qualifying row, and seeing that new row on a repeated query.</w:t>
      </w:r>
    </w:p>
    <w:p>
      <w:pPr>
        <w:pBdr>
          <w:left w:val="single" w:color="378ADD" w:sz="18" w:space="8"/>
        </w:pBdr>
        <w:spacing w:after="200" w:before="80"/>
        <w:ind w:left="200"/>
      </w:pPr>
      <w:r>
        <w:rPr>
          <w:b/>
          <w:bCs/>
          <w:color w:val="0C447C"/>
        </w:rPr>
        <w:t xml:space="preserve">Why MySQL avoids the theoretical gap: </w:t>
      </w:r>
      <w:r>
        <w:t xml:space="preserve">InnoDB solves the phantom read problem too, using multiversion concurrency control (MVCC), which keeps multiple versions of rows so every transaction sees a consistent snapshot.</w:t>
      </w:r>
    </w:p>
    <w:p>
      <w:pPr>
        <w:pStyle w:val="Heading3"/>
        <w:spacing w:after="100" w:before="200"/>
      </w:pPr>
      <w:r>
        <w:t xml:space="preserve">Serializable</w:t>
      </w:r>
    </w:p>
    <w:p>
      <w:pPr>
        <w:spacing w:after="160"/>
      </w:pPr>
      <w:r>
        <w:t xml:space="preserve">The highest isolation level. Transactions are ordered so they cannot conflict — in effect, a lock is placed on every row read.</w:t>
      </w:r>
    </w:p>
    <w:p>
      <w:pPr>
        <w:pBdr>
          <w:left w:val="single" w:color="378ADD" w:sz="18" w:space="8"/>
        </w:pBdr>
        <w:spacing w:after="200" w:before="80"/>
        <w:ind w:left="200"/>
      </w:pPr>
      <w:r>
        <w:rPr>
          <w:b/>
          <w:bCs/>
          <w:color w:val="0C447C"/>
        </w:rPr>
        <w:t xml:space="preserve">Trade-off: </w:t>
      </w:r>
      <w:r>
        <w:t xml:space="preserve">Solves every consistency problem, but causes heavy locking, timeouts, and the lowest concurrency of the four levels. Rarely used in practice.</w:t>
      </w:r>
    </w:p>
    <w:p>
      <w:pPr>
        <w:pStyle w:val="Heading2"/>
        <w:spacing w:after="120" w:before="240"/>
      </w:pPr>
      <w:r>
        <w:t xml:space="preserve">Comparison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470"/>
        <w:gridCol w:w="2100"/>
        <w:gridCol w:w="2520"/>
        <w:gridCol w:w="1470"/>
      </w:tblGrid>
      <w:tr>
        <w:trPr>
          <w:tblHeader/>
        </w:trPr>
        <w:tc>
          <w:tcPr>
            <w:tcW w:type="dxa" w:w="2520"/>
            <w:shd w:fill="E6F1FB" w:val="clear"/>
            <w:tcMar>
              <w:top w:type="dxa" w:w="100"/>
              <w:left w:type="dxa" w:w="120"/>
              <w:bottom w:type="dxa" w:w="100"/>
              <w:right w:type="dxa" w:w="120"/>
            </w:tcMar>
            <w:vAlign w:val="center"/>
          </w:tcPr>
          <w:p>
            <w:r>
              <w:rPr>
                <w:b/>
                <w:bCs/>
                <w:color w:val="0C447C"/>
                <w:sz w:val="20"/>
                <w:szCs w:val="20"/>
              </w:rPr>
              <w:t xml:space="preserve">Isolation level</w:t>
            </w:r>
          </w:p>
        </w:tc>
        <w:tc>
          <w:tcPr>
            <w:tcW w:type="dxa" w:w="1470"/>
            <w:shd w:fill="E6F1FB" w:val="clear"/>
            <w:tcMar>
              <w:top w:type="dxa" w:w="100"/>
              <w:left w:type="dxa" w:w="120"/>
              <w:bottom w:type="dxa" w:w="100"/>
              <w:right w:type="dxa" w:w="120"/>
            </w:tcMar>
            <w:vAlign w:val="center"/>
          </w:tcPr>
          <w:p>
            <w:r>
              <w:rPr>
                <w:b/>
                <w:bCs/>
                <w:color w:val="0C447C"/>
                <w:sz w:val="20"/>
                <w:szCs w:val="20"/>
              </w:rPr>
              <w:t xml:space="preserve">Dirty read</w:t>
            </w:r>
          </w:p>
        </w:tc>
        <w:tc>
          <w:tcPr>
            <w:tcW w:type="dxa" w:w="2100"/>
            <w:shd w:fill="E6F1FB" w:val="clear"/>
            <w:tcMar>
              <w:top w:type="dxa" w:w="100"/>
              <w:left w:type="dxa" w:w="120"/>
              <w:bottom w:type="dxa" w:w="100"/>
              <w:right w:type="dxa" w:w="120"/>
            </w:tcMar>
            <w:vAlign w:val="center"/>
          </w:tcPr>
          <w:p>
            <w:r>
              <w:rPr>
                <w:b/>
                <w:bCs/>
                <w:color w:val="0C447C"/>
                <w:sz w:val="20"/>
                <w:szCs w:val="20"/>
              </w:rPr>
              <w:t xml:space="preserve">Non-repeatable read</w:t>
            </w:r>
          </w:p>
        </w:tc>
        <w:tc>
          <w:tcPr>
            <w:tcW w:type="dxa" w:w="2520"/>
            <w:shd w:fill="E6F1FB" w:val="clear"/>
            <w:tcMar>
              <w:top w:type="dxa" w:w="100"/>
              <w:left w:type="dxa" w:w="120"/>
              <w:bottom w:type="dxa" w:w="100"/>
              <w:right w:type="dxa" w:w="120"/>
            </w:tcMar>
            <w:vAlign w:val="center"/>
          </w:tcPr>
          <w:p>
            <w:r>
              <w:rPr>
                <w:b/>
                <w:bCs/>
                <w:color w:val="0C447C"/>
                <w:sz w:val="20"/>
                <w:szCs w:val="20"/>
              </w:rPr>
              <w:t xml:space="preserve">Phantom read</w:t>
            </w:r>
          </w:p>
        </w:tc>
        <w:tc>
          <w:tcPr>
            <w:tcW w:type="dxa" w:w="1470"/>
            <w:shd w:fill="E6F1FB" w:val="clear"/>
            <w:tcMar>
              <w:top w:type="dxa" w:w="100"/>
              <w:left w:type="dxa" w:w="120"/>
              <w:bottom w:type="dxa" w:w="100"/>
              <w:right w:type="dxa" w:w="120"/>
            </w:tcMar>
            <w:vAlign w:val="center"/>
          </w:tcPr>
          <w:p>
            <w:r>
              <w:rPr>
                <w:b/>
                <w:bCs/>
                <w:color w:val="0C447C"/>
                <w:sz w:val="20"/>
                <w:szCs w:val="20"/>
              </w:rPr>
              <w:t xml:space="preserve">Concurrency</w:t>
            </w:r>
          </w:p>
        </w:tc>
      </w:tr>
      <w:tr>
        <w:tc>
          <w:tcPr>
            <w:tcW w:type="dxa" w:w="2520"/>
            <w:tcMar>
              <w:top w:type="dxa" w:w="100"/>
              <w:left w:type="dxa" w:w="120"/>
              <w:bottom w:type="dxa" w:w="100"/>
              <w:right w:type="dxa" w:w="120"/>
            </w:tcMar>
            <w:vAlign w:val="center"/>
          </w:tcPr>
          <w:p>
            <w:r>
              <w:rPr>
                <w:sz w:val="20"/>
                <w:szCs w:val="20"/>
              </w:rPr>
              <w:t xml:space="preserve">Read uncommitted</w:t>
            </w:r>
          </w:p>
        </w:tc>
        <w:tc>
          <w:tcPr>
            <w:tcW w:type="dxa" w:w="1470"/>
            <w:tcMar>
              <w:top w:type="dxa" w:w="100"/>
              <w:left w:type="dxa" w:w="120"/>
              <w:bottom w:type="dxa" w:w="100"/>
              <w:right w:type="dxa" w:w="120"/>
            </w:tcMar>
            <w:vAlign w:val="center"/>
          </w:tcPr>
          <w:p>
            <w:r>
              <w:rPr>
                <w:sz w:val="20"/>
                <w:szCs w:val="20"/>
              </w:rPr>
              <w:t xml:space="preserve">Possible</w:t>
            </w:r>
          </w:p>
        </w:tc>
        <w:tc>
          <w:tcPr>
            <w:tcW w:type="dxa" w:w="2100"/>
            <w:tcMar>
              <w:top w:type="dxa" w:w="100"/>
              <w:left w:type="dxa" w:w="120"/>
              <w:bottom w:type="dxa" w:w="100"/>
              <w:right w:type="dxa" w:w="120"/>
            </w:tcMar>
            <w:vAlign w:val="center"/>
          </w:tcPr>
          <w:p>
            <w:r>
              <w:rPr>
                <w:sz w:val="20"/>
                <w:szCs w:val="20"/>
              </w:rPr>
              <w:t xml:space="preserve">Possible</w:t>
            </w:r>
          </w:p>
        </w:tc>
        <w:tc>
          <w:tcPr>
            <w:tcW w:type="dxa" w:w="2520"/>
            <w:tcMar>
              <w:top w:type="dxa" w:w="100"/>
              <w:left w:type="dxa" w:w="120"/>
              <w:bottom w:type="dxa" w:w="100"/>
              <w:right w:type="dxa" w:w="120"/>
            </w:tcMar>
            <w:vAlign w:val="center"/>
          </w:tcPr>
          <w:p>
            <w:r>
              <w:rPr>
                <w:sz w:val="20"/>
                <w:szCs w:val="20"/>
              </w:rPr>
              <w:t xml:space="preserve">Possible</w:t>
            </w:r>
          </w:p>
        </w:tc>
        <w:tc>
          <w:tcPr>
            <w:tcW w:type="dxa" w:w="1470"/>
            <w:tcMar>
              <w:top w:type="dxa" w:w="100"/>
              <w:left w:type="dxa" w:w="120"/>
              <w:bottom w:type="dxa" w:w="100"/>
              <w:right w:type="dxa" w:w="120"/>
            </w:tcMar>
            <w:vAlign w:val="center"/>
          </w:tcPr>
          <w:p>
            <w:r>
              <w:rPr>
                <w:sz w:val="20"/>
                <w:szCs w:val="20"/>
              </w:rPr>
              <w:t xml:space="preserve">Highest</w:t>
            </w:r>
          </w:p>
        </w:tc>
      </w:tr>
      <w:tr>
        <w:tc>
          <w:tcPr>
            <w:tcW w:type="dxa" w:w="2520"/>
            <w:tcMar>
              <w:top w:type="dxa" w:w="100"/>
              <w:left w:type="dxa" w:w="120"/>
              <w:bottom w:type="dxa" w:w="100"/>
              <w:right w:type="dxa" w:w="120"/>
            </w:tcMar>
            <w:vAlign w:val="center"/>
          </w:tcPr>
          <w:p>
            <w:r>
              <w:rPr>
                <w:sz w:val="20"/>
                <w:szCs w:val="20"/>
              </w:rPr>
              <w:t xml:space="preserve">Read committed</w:t>
            </w:r>
          </w:p>
        </w:tc>
        <w:tc>
          <w:tcPr>
            <w:tcW w:type="dxa" w:w="1470"/>
            <w:tcMar>
              <w:top w:type="dxa" w:w="100"/>
              <w:left w:type="dxa" w:w="120"/>
              <w:bottom w:type="dxa" w:w="100"/>
              <w:right w:type="dxa" w:w="120"/>
            </w:tcMar>
            <w:vAlign w:val="center"/>
          </w:tcPr>
          <w:p>
            <w:r>
              <w:rPr>
                <w:sz w:val="20"/>
                <w:szCs w:val="20"/>
              </w:rPr>
              <w:t xml:space="preserve">Prevented</w:t>
            </w:r>
          </w:p>
        </w:tc>
        <w:tc>
          <w:tcPr>
            <w:tcW w:type="dxa" w:w="2100"/>
            <w:tcMar>
              <w:top w:type="dxa" w:w="100"/>
              <w:left w:type="dxa" w:w="120"/>
              <w:bottom w:type="dxa" w:w="100"/>
              <w:right w:type="dxa" w:w="120"/>
            </w:tcMar>
            <w:vAlign w:val="center"/>
          </w:tcPr>
          <w:p>
            <w:r>
              <w:rPr>
                <w:sz w:val="20"/>
                <w:szCs w:val="20"/>
              </w:rPr>
              <w:t xml:space="preserve">Possible</w:t>
            </w:r>
          </w:p>
        </w:tc>
        <w:tc>
          <w:tcPr>
            <w:tcW w:type="dxa" w:w="2520"/>
            <w:tcMar>
              <w:top w:type="dxa" w:w="100"/>
              <w:left w:type="dxa" w:w="120"/>
              <w:bottom w:type="dxa" w:w="100"/>
              <w:right w:type="dxa" w:w="120"/>
            </w:tcMar>
            <w:vAlign w:val="center"/>
          </w:tcPr>
          <w:p>
            <w:r>
              <w:rPr>
                <w:sz w:val="20"/>
                <w:szCs w:val="20"/>
              </w:rPr>
              <w:t xml:space="preserve">Possible</w:t>
            </w:r>
          </w:p>
        </w:tc>
        <w:tc>
          <w:tcPr>
            <w:tcW w:type="dxa" w:w="1470"/>
            <w:tcMar>
              <w:top w:type="dxa" w:w="100"/>
              <w:left w:type="dxa" w:w="120"/>
              <w:bottom w:type="dxa" w:w="100"/>
              <w:right w:type="dxa" w:w="120"/>
            </w:tcMar>
            <w:vAlign w:val="center"/>
          </w:tcPr>
          <w:p>
            <w:r>
              <w:rPr>
                <w:sz w:val="20"/>
                <w:szCs w:val="20"/>
              </w:rPr>
              <w:t xml:space="preserve">High</w:t>
            </w:r>
          </w:p>
        </w:tc>
      </w:tr>
      <w:tr>
        <w:tc>
          <w:tcPr>
            <w:tcW w:type="dxa" w:w="2520"/>
            <w:tcMar>
              <w:top w:type="dxa" w:w="100"/>
              <w:left w:type="dxa" w:w="120"/>
              <w:bottom w:type="dxa" w:w="100"/>
              <w:right w:type="dxa" w:w="120"/>
            </w:tcMar>
            <w:vAlign w:val="center"/>
          </w:tcPr>
          <w:p>
            <w:r>
              <w:rPr>
                <w:sz w:val="20"/>
                <w:szCs w:val="20"/>
              </w:rPr>
              <w:t xml:space="preserve">Repeatable read</w:t>
            </w:r>
          </w:p>
        </w:tc>
        <w:tc>
          <w:tcPr>
            <w:tcW w:type="dxa" w:w="1470"/>
            <w:tcMar>
              <w:top w:type="dxa" w:w="100"/>
              <w:left w:type="dxa" w:w="120"/>
              <w:bottom w:type="dxa" w:w="100"/>
              <w:right w:type="dxa" w:w="120"/>
            </w:tcMar>
            <w:vAlign w:val="center"/>
          </w:tcPr>
          <w:p>
            <w:r>
              <w:rPr>
                <w:sz w:val="20"/>
                <w:szCs w:val="20"/>
              </w:rPr>
              <w:t xml:space="preserve">Prevented</w:t>
            </w:r>
          </w:p>
        </w:tc>
        <w:tc>
          <w:tcPr>
            <w:tcW w:type="dxa" w:w="2100"/>
            <w:tcMar>
              <w:top w:type="dxa" w:w="100"/>
              <w:left w:type="dxa" w:w="120"/>
              <w:bottom w:type="dxa" w:w="100"/>
              <w:right w:type="dxa" w:w="120"/>
            </w:tcMar>
            <w:vAlign w:val="center"/>
          </w:tcPr>
          <w:p>
            <w:r>
              <w:rPr>
                <w:sz w:val="20"/>
                <w:szCs w:val="20"/>
              </w:rPr>
              <w:t xml:space="preserve">Prevented</w:t>
            </w:r>
          </w:p>
        </w:tc>
        <w:tc>
          <w:tcPr>
            <w:tcW w:type="dxa" w:w="2520"/>
            <w:tcMar>
              <w:top w:type="dxa" w:w="100"/>
              <w:left w:type="dxa" w:w="120"/>
              <w:bottom w:type="dxa" w:w="100"/>
              <w:right w:type="dxa" w:w="120"/>
            </w:tcMar>
            <w:vAlign w:val="center"/>
          </w:tcPr>
          <w:p>
            <w:r>
              <w:rPr>
                <w:sz w:val="20"/>
                <w:szCs w:val="20"/>
              </w:rPr>
              <w:t xml:space="preserve">Prevented in InnoDB (via MVCC)</w:t>
            </w:r>
          </w:p>
        </w:tc>
        <w:tc>
          <w:tcPr>
            <w:tcW w:type="dxa" w:w="1470"/>
            <w:tcMar>
              <w:top w:type="dxa" w:w="100"/>
              <w:left w:type="dxa" w:w="120"/>
              <w:bottom w:type="dxa" w:w="100"/>
              <w:right w:type="dxa" w:w="120"/>
            </w:tcMar>
            <w:vAlign w:val="center"/>
          </w:tcPr>
          <w:p>
            <w:r>
              <w:rPr>
                <w:sz w:val="20"/>
                <w:szCs w:val="20"/>
              </w:rPr>
              <w:t xml:space="preserve">Medium</w:t>
            </w:r>
          </w:p>
        </w:tc>
      </w:tr>
      <w:tr>
        <w:tc>
          <w:tcPr>
            <w:tcW w:type="dxa" w:w="2520"/>
            <w:tcMar>
              <w:top w:type="dxa" w:w="100"/>
              <w:left w:type="dxa" w:w="120"/>
              <w:bottom w:type="dxa" w:w="100"/>
              <w:right w:type="dxa" w:w="120"/>
            </w:tcMar>
            <w:vAlign w:val="center"/>
          </w:tcPr>
          <w:p>
            <w:r>
              <w:rPr>
                <w:sz w:val="20"/>
                <w:szCs w:val="20"/>
              </w:rPr>
              <w:t xml:space="preserve">Serializable</w:t>
            </w:r>
          </w:p>
        </w:tc>
        <w:tc>
          <w:tcPr>
            <w:tcW w:type="dxa" w:w="1470"/>
            <w:tcMar>
              <w:top w:type="dxa" w:w="100"/>
              <w:left w:type="dxa" w:w="120"/>
              <w:bottom w:type="dxa" w:w="100"/>
              <w:right w:type="dxa" w:w="120"/>
            </w:tcMar>
            <w:vAlign w:val="center"/>
          </w:tcPr>
          <w:p>
            <w:r>
              <w:rPr>
                <w:sz w:val="20"/>
                <w:szCs w:val="20"/>
              </w:rPr>
              <w:t xml:space="preserve">Prevented</w:t>
            </w:r>
          </w:p>
        </w:tc>
        <w:tc>
          <w:tcPr>
            <w:tcW w:type="dxa" w:w="2100"/>
            <w:tcMar>
              <w:top w:type="dxa" w:w="100"/>
              <w:left w:type="dxa" w:w="120"/>
              <w:bottom w:type="dxa" w:w="100"/>
              <w:right w:type="dxa" w:w="120"/>
            </w:tcMar>
            <w:vAlign w:val="center"/>
          </w:tcPr>
          <w:p>
            <w:r>
              <w:rPr>
                <w:sz w:val="20"/>
                <w:szCs w:val="20"/>
              </w:rPr>
              <w:t xml:space="preserve">Prevented</w:t>
            </w:r>
          </w:p>
        </w:tc>
        <w:tc>
          <w:tcPr>
            <w:tcW w:type="dxa" w:w="2520"/>
            <w:tcMar>
              <w:top w:type="dxa" w:w="100"/>
              <w:left w:type="dxa" w:w="120"/>
              <w:bottom w:type="dxa" w:w="100"/>
              <w:right w:type="dxa" w:w="120"/>
            </w:tcMar>
            <w:vAlign w:val="center"/>
          </w:tcPr>
          <w:p>
            <w:r>
              <w:rPr>
                <w:sz w:val="20"/>
                <w:szCs w:val="20"/>
              </w:rPr>
              <w:t xml:space="preserve">Prevented</w:t>
            </w:r>
          </w:p>
        </w:tc>
        <w:tc>
          <w:tcPr>
            <w:tcW w:type="dxa" w:w="1470"/>
            <w:tcMar>
              <w:top w:type="dxa" w:w="100"/>
              <w:left w:type="dxa" w:w="120"/>
              <w:bottom w:type="dxa" w:w="100"/>
              <w:right w:type="dxa" w:w="120"/>
            </w:tcMar>
            <w:vAlign w:val="center"/>
          </w:tcPr>
          <w:p>
            <w:r>
              <w:rPr>
                <w:sz w:val="20"/>
                <w:szCs w:val="20"/>
              </w:rPr>
              <w:t xml:space="preserve">Lowest</w:t>
            </w:r>
          </w:p>
        </w:tc>
      </w:tr>
    </w:tbl>
    <w:p>
      <w:pPr>
        <w:spacing w:after="200"/>
      </w:pPr>
    </w:p>
    <w:p>
      <w:pPr>
        <w:pStyle w:val="Heading2"/>
        <w:spacing w:after="120" w:before="240"/>
      </w:pPr>
      <w:r>
        <w:t xml:space="preserve">Who decides the isolation level</w:t>
      </w:r>
    </w:p>
    <w:p>
      <w:pPr>
        <w:spacing w:after="160"/>
      </w:pPr>
      <w:r>
        <w:t xml:space="preserve">This is a decision made at several levels, not by any one role alone:</w:t>
      </w:r>
    </w:p>
    <w:p>
      <w:pPr>
        <w:pStyle w:val="ListParagraph"/>
        <w:numPr>
          <w:ilvl w:val="0"/>
          <w:numId w:val="2"/>
        </w:numPr>
        <w:spacing w:after="100"/>
      </w:pPr>
      <w:r>
        <w:rPr>
          <w:b/>
          <w:bCs/>
        </w:rPr>
        <w:t xml:space="preserve">Application architect / developer —</w:t>
      </w:r>
      <w:r>
        <w:t xml:space="preserve"> The most common decision-maker. Chooses the level based on what the application does, how critical consistency is, and how much concurrency is needed. Sets it in application code or database config.</w:t>
      </w:r>
    </w:p>
    <w:p>
      <w:pPr>
        <w:pStyle w:val="ListParagraph"/>
        <w:numPr>
          <w:ilvl w:val="0"/>
          <w:numId w:val="2"/>
        </w:numPr>
        <w:spacing w:after="100"/>
      </w:pPr>
      <w:r>
        <w:rPr>
          <w:b/>
          <w:bCs/>
        </w:rPr>
        <w:t xml:space="preserve">DBA —</w:t>
      </w:r>
      <w:r>
        <w:t xml:space="preserve"> Sets the server-wide default in MySQL's configuration.</w:t>
      </w:r>
    </w:p>
    <w:p>
      <w:pPr>
        <w:pBdr>
          <w:top w:val="single" w:color="D3D1C7" w:sz="4" w:space="6"/>
          <w:bottom w:val="single" w:color="D3D1C7" w:sz="4" w:space="6"/>
          <w:left w:val="single" w:color="D3D1C7" w:sz="4" w:space="6"/>
          <w:right w:val="single" w:color="D3D1C7" w:sz="4" w:space="6"/>
        </w:pBdr>
        <w:shd w:fill="F1EFE8" w:val="clear"/>
        <w:spacing w:after="200" w:before="120"/>
        <w:ind w:left="200" w:right="200"/>
      </w:pPr>
      <w:r>
        <w:rPr>
          <w:rFonts w:ascii="Consolas" w:cs="Consolas" w:eastAsia="Consolas" w:hAnsi="Consolas"/>
          <w:sz w:val="20"/>
          <w:szCs w:val="20"/>
        </w:rPr>
        <w:t xml:space="preserve">-- Check current level</w:t>
      </w:r>
      <w:r>
        <w:br/>
      </w:r>
      <w:r>
        <w:rPr>
          <w:rFonts w:ascii="Consolas" w:cs="Consolas" w:eastAsia="Consolas" w:hAnsi="Consolas"/>
          <w:sz w:val="20"/>
          <w:szCs w:val="20"/>
        </w:rPr>
        <w:t xml:space="preserve">SELECT @@transaction_isolation;</w:t>
      </w:r>
      <w:r>
        <w:br/>
      </w:r>
      <w:r>
        <w:rPr>
          <w:rFonts w:ascii="Consolas" w:cs="Consolas" w:eastAsia="Consolas" w:hAnsi="Consolas"/>
          <w:sz w:val="20"/>
          <w:szCs w:val="20"/>
        </w:rPr>
        <w:t xml:space="preserve"/>
      </w:r>
      <w:r>
        <w:br/>
      </w:r>
      <w:r>
        <w:rPr>
          <w:rFonts w:ascii="Consolas" w:cs="Consolas" w:eastAsia="Consolas" w:hAnsi="Consolas"/>
          <w:sz w:val="20"/>
          <w:szCs w:val="20"/>
        </w:rPr>
        <w:t xml:space="preserve">-- Set globally (affects all new connections)</w:t>
      </w:r>
      <w:r>
        <w:br/>
      </w:r>
      <w:r>
        <w:rPr>
          <w:rFonts w:ascii="Consolas" w:cs="Consolas" w:eastAsia="Consolas" w:hAnsi="Consolas"/>
          <w:sz w:val="20"/>
          <w:szCs w:val="20"/>
        </w:rPr>
        <w:t xml:space="preserve">SET GLOBAL transaction_isolation = 'READ-COMMITTED';</w:t>
      </w:r>
      <w:r>
        <w:br/>
      </w:r>
      <w:r>
        <w:rPr>
          <w:rFonts w:ascii="Consolas" w:cs="Consolas" w:eastAsia="Consolas" w:hAnsi="Consolas"/>
          <w:sz w:val="20"/>
          <w:szCs w:val="20"/>
        </w:rPr>
        <w:t xml:space="preserve"/>
      </w:r>
      <w:r>
        <w:br/>
      </w:r>
      <w:r>
        <w:rPr>
          <w:rFonts w:ascii="Consolas" w:cs="Consolas" w:eastAsia="Consolas" w:hAnsi="Consolas"/>
          <w:sz w:val="20"/>
          <w:szCs w:val="20"/>
        </w:rPr>
        <w:t xml:space="preserve">-- Set for the current session only</w:t>
      </w:r>
      <w:r>
        <w:br/>
      </w:r>
      <w:r>
        <w:rPr>
          <w:rFonts w:ascii="Consolas" w:cs="Consolas" w:eastAsia="Consolas" w:hAnsi="Consolas"/>
          <w:sz w:val="20"/>
          <w:szCs w:val="20"/>
        </w:rPr>
        <w:t xml:space="preserve">SET SESSION transaction_isolation = 'REPEATABLE-READ';</w:t>
      </w:r>
    </w:p>
    <w:p>
      <w:pPr>
        <w:pStyle w:val="ListParagraph"/>
        <w:numPr>
          <w:ilvl w:val="0"/>
          <w:numId w:val="2"/>
        </w:numPr>
        <w:spacing w:after="100"/>
      </w:pPr>
      <w:r>
        <w:rPr>
          <w:b/>
          <w:bCs/>
        </w:rPr>
        <w:t xml:space="preserve">Developer, per transaction —</w:t>
      </w:r>
      <w:r>
        <w:t xml:space="preserve"> Can override the isolation level for one specific transaction in code, e.g. bumping a financial transfer to SERIALIZABLE while the rest of the app runs at READ COMMITTED.</w:t>
      </w:r>
    </w:p>
    <w:p>
      <w:pPr>
        <w:pBdr>
          <w:top w:val="single" w:color="D3D1C7" w:sz="4" w:space="6"/>
          <w:bottom w:val="single" w:color="D3D1C7" w:sz="4" w:space="6"/>
          <w:left w:val="single" w:color="D3D1C7" w:sz="4" w:space="6"/>
          <w:right w:val="single" w:color="D3D1C7" w:sz="4" w:space="6"/>
        </w:pBdr>
        <w:shd w:fill="F1EFE8" w:val="clear"/>
        <w:spacing w:after="200" w:before="120"/>
        <w:ind w:left="200" w:right="200"/>
      </w:pPr>
      <w:r>
        <w:rPr>
          <w:rFonts w:ascii="Consolas" w:cs="Consolas" w:eastAsia="Consolas" w:hAnsi="Consolas"/>
          <w:sz w:val="20"/>
          <w:szCs w:val="20"/>
        </w:rPr>
        <w:t xml:space="preserve">SET TRANSACTION ISOLATION LEVEL SERIALIZABLE;</w:t>
      </w:r>
      <w:r>
        <w:br/>
      </w:r>
      <w:r>
        <w:rPr>
          <w:rFonts w:ascii="Consolas" w:cs="Consolas" w:eastAsia="Consolas" w:hAnsi="Consolas"/>
          <w:sz w:val="20"/>
          <w:szCs w:val="20"/>
        </w:rPr>
        <w:t xml:space="preserve">START TRANSACTION;</w:t>
      </w:r>
      <w:r>
        <w:br/>
      </w:r>
      <w:r>
        <w:rPr>
          <w:rFonts w:ascii="Consolas" w:cs="Consolas" w:eastAsia="Consolas" w:hAnsi="Consolas"/>
          <w:sz w:val="20"/>
          <w:szCs w:val="20"/>
        </w:rPr>
        <w:t xml:space="preserve">-- critical operations here</w:t>
      </w:r>
      <w:r>
        <w:br/>
      </w:r>
      <w:r>
        <w:rPr>
          <w:rFonts w:ascii="Consolas" w:cs="Consolas" w:eastAsia="Consolas" w:hAnsi="Consolas"/>
          <w:sz w:val="20"/>
          <w:szCs w:val="20"/>
        </w:rPr>
        <w:t xml:space="preserve">COMMIT;</w:t>
      </w:r>
    </w:p>
    <w:p>
      <w:pPr>
        <w:pStyle w:val="ListParagraph"/>
        <w:numPr>
          <w:ilvl w:val="0"/>
          <w:numId w:val="2"/>
        </w:numPr>
        <w:spacing w:after="100"/>
      </w:pPr>
      <w:r>
        <w:rPr>
          <w:b/>
          <w:bCs/>
        </w:rPr>
        <w:t xml:space="preserve">ORM / framework —</w:t>
      </w:r>
      <w:r>
        <w:t xml:space="preserve"> Sometimes neither the DBA nor the developer explicitly decides — the ORM (Hibernate, SQLAlchemy, Laravel Eloquent) sets its own default, often invisibly. This is a common source of subtle production bugs.</w:t>
      </w:r>
    </w:p>
    <w:p>
      <w:pPr>
        <w:pStyle w:val="Heading3"/>
        <w:spacing w:after="100" w:before="200"/>
      </w:pPr>
      <w:r>
        <w:t xml:space="preserve">Practical guide by application type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4032"/>
      </w:tblGrid>
      <w:tr>
        <w:trPr>
          <w:tblHeader/>
        </w:trPr>
        <w:tc>
          <w:tcPr>
            <w:tcW w:type="dxa" w:w="3024"/>
            <w:shd w:fill="E6F1FB" w:val="clear"/>
            <w:tcMar>
              <w:top w:type="dxa" w:w="100"/>
              <w:left w:type="dxa" w:w="120"/>
              <w:bottom w:type="dxa" w:w="100"/>
              <w:right w:type="dxa" w:w="120"/>
            </w:tcMar>
            <w:vAlign w:val="center"/>
          </w:tcPr>
          <w:p>
            <w:r>
              <w:rPr>
                <w:b/>
                <w:bCs/>
                <w:color w:val="0C447C"/>
                <w:sz w:val="20"/>
                <w:szCs w:val="20"/>
              </w:rPr>
              <w:t xml:space="preserve">Application type</w:t>
            </w:r>
          </w:p>
        </w:tc>
        <w:tc>
          <w:tcPr>
            <w:tcW w:type="dxa" w:w="3024"/>
            <w:shd w:fill="E6F1FB" w:val="clear"/>
            <w:tcMar>
              <w:top w:type="dxa" w:w="100"/>
              <w:left w:type="dxa" w:w="120"/>
              <w:bottom w:type="dxa" w:w="100"/>
              <w:right w:type="dxa" w:w="120"/>
            </w:tcMar>
            <w:vAlign w:val="center"/>
          </w:tcPr>
          <w:p>
            <w:r>
              <w:rPr>
                <w:b/>
                <w:bCs/>
                <w:color w:val="0C447C"/>
                <w:sz w:val="20"/>
                <w:szCs w:val="20"/>
              </w:rPr>
              <w:t xml:space="preserve">Recommended level</w:t>
            </w:r>
          </w:p>
        </w:tc>
        <w:tc>
          <w:tcPr>
            <w:tcW w:type="dxa" w:w="4032"/>
            <w:shd w:fill="E6F1FB" w:val="clear"/>
            <w:tcMar>
              <w:top w:type="dxa" w:w="100"/>
              <w:left w:type="dxa" w:w="120"/>
              <w:bottom w:type="dxa" w:w="100"/>
              <w:right w:type="dxa" w:w="120"/>
            </w:tcMar>
            <w:vAlign w:val="center"/>
          </w:tcPr>
          <w:p>
            <w:r>
              <w:rPr>
                <w:b/>
                <w:bCs/>
                <w:color w:val="0C447C"/>
                <w:sz w:val="20"/>
                <w:szCs w:val="20"/>
              </w:rPr>
              <w:t xml:space="preserve">Why</w:t>
            </w:r>
          </w:p>
        </w:tc>
      </w:tr>
      <w:tr>
        <w:tc>
          <w:tcPr>
            <w:tcW w:type="dxa" w:w="3024"/>
            <w:tcMar>
              <w:top w:type="dxa" w:w="100"/>
              <w:left w:type="dxa" w:w="120"/>
              <w:bottom w:type="dxa" w:w="100"/>
              <w:right w:type="dxa" w:w="120"/>
            </w:tcMar>
            <w:vAlign w:val="center"/>
          </w:tcPr>
          <w:p>
            <w:r>
              <w:rPr>
                <w:sz w:val="20"/>
                <w:szCs w:val="20"/>
              </w:rPr>
              <w:t xml:space="preserve">Banking / finance</w:t>
            </w:r>
          </w:p>
        </w:tc>
        <w:tc>
          <w:tcPr>
            <w:tcW w:type="dxa" w:w="3024"/>
            <w:tcMar>
              <w:top w:type="dxa" w:w="100"/>
              <w:left w:type="dxa" w:w="120"/>
              <w:bottom w:type="dxa" w:w="100"/>
              <w:right w:type="dxa" w:w="120"/>
            </w:tcMar>
            <w:vAlign w:val="center"/>
          </w:tcPr>
          <w:p>
            <w:r>
              <w:rPr>
                <w:sz w:val="20"/>
                <w:szCs w:val="20"/>
              </w:rPr>
              <w:t xml:space="preserve">Repeatable read or serializable</w:t>
            </w:r>
          </w:p>
        </w:tc>
        <w:tc>
          <w:tcPr>
            <w:tcW w:type="dxa" w:w="4032"/>
            <w:tcMar>
              <w:top w:type="dxa" w:w="100"/>
              <w:left w:type="dxa" w:w="120"/>
              <w:bottom w:type="dxa" w:w="100"/>
              <w:right w:type="dxa" w:w="120"/>
            </w:tcMar>
            <w:vAlign w:val="center"/>
          </w:tcPr>
          <w:p>
            <w:r>
              <w:rPr>
                <w:sz w:val="20"/>
                <w:szCs w:val="20"/>
              </w:rPr>
              <w:t xml:space="preserve">Data accuracy is everything</w:t>
            </w:r>
          </w:p>
        </w:tc>
      </w:tr>
      <w:tr>
        <w:tc>
          <w:tcPr>
            <w:tcW w:type="dxa" w:w="3024"/>
            <w:tcMar>
              <w:top w:type="dxa" w:w="100"/>
              <w:left w:type="dxa" w:w="120"/>
              <w:bottom w:type="dxa" w:w="100"/>
              <w:right w:type="dxa" w:w="120"/>
            </w:tcMar>
            <w:vAlign w:val="center"/>
          </w:tcPr>
          <w:p>
            <w:r>
              <w:rPr>
                <w:sz w:val="20"/>
                <w:szCs w:val="20"/>
              </w:rPr>
              <w:t xml:space="preserve">E-commerce orders</w:t>
            </w:r>
          </w:p>
        </w:tc>
        <w:tc>
          <w:tcPr>
            <w:tcW w:type="dxa" w:w="3024"/>
            <w:tcMar>
              <w:top w:type="dxa" w:w="100"/>
              <w:left w:type="dxa" w:w="120"/>
              <w:bottom w:type="dxa" w:w="100"/>
              <w:right w:type="dxa" w:w="120"/>
            </w:tcMar>
            <w:vAlign w:val="center"/>
          </w:tcPr>
          <w:p>
            <w:r>
              <w:rPr>
                <w:sz w:val="20"/>
                <w:szCs w:val="20"/>
              </w:rPr>
              <w:t xml:space="preserve">Repeatable read (MySQL default)</w:t>
            </w:r>
          </w:p>
        </w:tc>
        <w:tc>
          <w:tcPr>
            <w:tcW w:type="dxa" w:w="4032"/>
            <w:tcMar>
              <w:top w:type="dxa" w:w="100"/>
              <w:left w:type="dxa" w:w="120"/>
              <w:bottom w:type="dxa" w:w="100"/>
              <w:right w:type="dxa" w:w="120"/>
            </w:tcMar>
            <w:vAlign w:val="center"/>
          </w:tcPr>
          <w:p>
            <w:r>
              <w:rPr>
                <w:sz w:val="20"/>
                <w:szCs w:val="20"/>
              </w:rPr>
              <w:t xml:space="preserve">Balance of safety and speed</w:t>
            </w:r>
          </w:p>
        </w:tc>
      </w:tr>
      <w:tr>
        <w:tc>
          <w:tcPr>
            <w:tcW w:type="dxa" w:w="3024"/>
            <w:tcMar>
              <w:top w:type="dxa" w:w="100"/>
              <w:left w:type="dxa" w:w="120"/>
              <w:bottom w:type="dxa" w:w="100"/>
              <w:right w:type="dxa" w:w="120"/>
            </w:tcMar>
            <w:vAlign w:val="center"/>
          </w:tcPr>
          <w:p>
            <w:r>
              <w:rPr>
                <w:sz w:val="20"/>
                <w:szCs w:val="20"/>
              </w:rPr>
              <w:t xml:space="preserve">Social media feed</w:t>
            </w:r>
          </w:p>
        </w:tc>
        <w:tc>
          <w:tcPr>
            <w:tcW w:type="dxa" w:w="3024"/>
            <w:tcMar>
              <w:top w:type="dxa" w:w="100"/>
              <w:left w:type="dxa" w:w="120"/>
              <w:bottom w:type="dxa" w:w="100"/>
              <w:right w:type="dxa" w:w="120"/>
            </w:tcMar>
            <w:vAlign w:val="center"/>
          </w:tcPr>
          <w:p>
            <w:r>
              <w:rPr>
                <w:sz w:val="20"/>
                <w:szCs w:val="20"/>
              </w:rPr>
              <w:t xml:space="preserve">Read committed</w:t>
            </w:r>
          </w:p>
        </w:tc>
        <w:tc>
          <w:tcPr>
            <w:tcW w:type="dxa" w:w="4032"/>
            <w:tcMar>
              <w:top w:type="dxa" w:w="100"/>
              <w:left w:type="dxa" w:w="120"/>
              <w:bottom w:type="dxa" w:w="100"/>
              <w:right w:type="dxa" w:w="120"/>
            </w:tcMar>
            <w:vAlign w:val="center"/>
          </w:tcPr>
          <w:p>
            <w:r>
              <w:rPr>
                <w:sz w:val="20"/>
                <w:szCs w:val="20"/>
              </w:rPr>
              <w:t xml:space="preserve">Speed matters; minor inconsistency is fine</w:t>
            </w:r>
          </w:p>
        </w:tc>
      </w:tr>
      <w:tr>
        <w:tc>
          <w:tcPr>
            <w:tcW w:type="dxa" w:w="3024"/>
            <w:tcMar>
              <w:top w:type="dxa" w:w="100"/>
              <w:left w:type="dxa" w:w="120"/>
              <w:bottom w:type="dxa" w:w="100"/>
              <w:right w:type="dxa" w:w="120"/>
            </w:tcMar>
            <w:vAlign w:val="center"/>
          </w:tcPr>
          <w:p>
            <w:r>
              <w:rPr>
                <w:sz w:val="20"/>
                <w:szCs w:val="20"/>
              </w:rPr>
              <w:t xml:space="preserve">Real-time analytics / reporting</w:t>
            </w:r>
          </w:p>
        </w:tc>
        <w:tc>
          <w:tcPr>
            <w:tcW w:type="dxa" w:w="3024"/>
            <w:tcMar>
              <w:top w:type="dxa" w:w="100"/>
              <w:left w:type="dxa" w:w="120"/>
              <w:bottom w:type="dxa" w:w="100"/>
              <w:right w:type="dxa" w:w="120"/>
            </w:tcMar>
            <w:vAlign w:val="center"/>
          </w:tcPr>
          <w:p>
            <w:r>
              <w:rPr>
                <w:sz w:val="20"/>
                <w:szCs w:val="20"/>
              </w:rPr>
              <w:t xml:space="preserve">Read uncommitted</w:t>
            </w:r>
          </w:p>
        </w:tc>
        <w:tc>
          <w:tcPr>
            <w:tcW w:type="dxa" w:w="4032"/>
            <w:tcMar>
              <w:top w:type="dxa" w:w="100"/>
              <w:left w:type="dxa" w:w="120"/>
              <w:bottom w:type="dxa" w:w="100"/>
              <w:right w:type="dxa" w:w="120"/>
            </w:tcMar>
            <w:vAlign w:val="center"/>
          </w:tcPr>
          <w:p>
            <w:r>
              <w:rPr>
                <w:sz w:val="20"/>
                <w:szCs w:val="20"/>
              </w:rPr>
              <w:t xml:space="preserve">Fast, approximate numbers are enough</w:t>
            </w:r>
          </w:p>
        </w:tc>
      </w:tr>
    </w:tbl>
    <w:p>
      <w:pPr>
        <w:spacing w:after="100"/>
      </w:pPr>
    </w:p>
    <w:p>
      <w:pPr>
        <w:pBdr>
          <w:left w:val="single" w:color="378ADD" w:sz="18" w:space="8"/>
        </w:pBdr>
        <w:spacing w:after="200" w:before="80"/>
        <w:ind w:left="200"/>
      </w:pPr>
      <w:r>
        <w:rPr>
          <w:b/>
          <w:bCs/>
          <w:color w:val="0C447C"/>
        </w:rPr>
        <w:t xml:space="preserve">Bottom line: </w:t>
      </w:r>
      <w:r>
        <w:t xml:space="preserve">The architect or senior developer makes the strategic decision, the DBA enforces the default, and individual developers fine-tune per transaction when needed. The worst situation is when nobody consciously decides — the app just runs on MySQL's default (REPEATABLE READ) by accident rather than by informed choice.</w:t>
      </w:r>
    </w:p>
    <w:p>
      <w:pPr>
        <w:pStyle w:val="Heading1"/>
        <w:spacing w:after="150" w:before="500"/>
      </w:pPr>
      <w:r>
        <w:t xml:space="preserve">Part III — Deadlocks</w:t>
      </w:r>
    </w:p>
    <w:p>
      <w:pPr>
        <w:spacing w:after="160"/>
      </w:pPr>
      <w:r>
        <w:t xml:space="preserve">A deadlock happens when two or more transactions mutually hold and request locks on the same resources, forming a cycle of dependencies. It occurs when transactions lock the same resources in a different order.</w:t>
      </w:r>
    </w:p>
    <w:p>
      <w:pPr>
        <w:pBdr>
          <w:left w:val="single" w:color="B4B2A9" w:sz="18" w:space="8"/>
        </w:pBdr>
        <w:spacing w:after="60" w:before="100"/>
        <w:ind w:left="300" w:right="300"/>
      </w:pPr>
      <w:r>
        <w:rPr>
          <w:i/>
          <w:iCs/>
          <w:color w:val="444441"/>
        </w:rPr>
        <w:t xml:space="preserve">Deadlocks occur when transactions try to lock resources in a different order. [...] The two transactions will wait forever for each other to complete unless something intervenes to break the deadlock.</w:t>
      </w:r>
    </w:p>
    <w:p>
      <w:pPr>
        <w:spacing w:after="200"/>
        <w:ind w:left="300"/>
      </w:pPr>
      <w:r>
        <w:rPr>
          <w:i/>
          <w:iCs/>
          <w:color w:val="5F5E5A"/>
          <w:sz w:val="20"/>
          <w:szCs w:val="20"/>
        </w:rPr>
        <w:t xml:space="preserve">— High Performance MySQL</w:t>
      </w:r>
    </w:p>
    <w:p>
      <w:pPr>
        <w:pStyle w:val="Heading2"/>
        <w:spacing w:after="120" w:before="240"/>
      </w:pPr>
      <w:r>
        <w:t xml:space="preserve">Worked example</w:t>
      </w:r>
    </w:p>
    <w:p>
      <w:pPr>
        <w:spacing w:after="160"/>
      </w:pPr>
      <w:r>
        <w:t xml:space="preserve">Two transactions updating the same two rows of a StockPrice table (primary key stock_id, date), but in opposite order:</w:t>
      </w:r>
    </w:p>
    <w:p>
      <w:pPr>
        <w:pBdr>
          <w:top w:val="single" w:color="D3D1C7" w:sz="4" w:space="6"/>
          <w:bottom w:val="single" w:color="D3D1C7" w:sz="4" w:space="6"/>
          <w:left w:val="single" w:color="D3D1C7" w:sz="4" w:space="6"/>
          <w:right w:val="single" w:color="D3D1C7" w:sz="4" w:space="6"/>
        </w:pBdr>
        <w:shd w:fill="F1EFE8" w:val="clear"/>
        <w:spacing w:after="200" w:before="120"/>
        <w:ind w:left="200" w:right="200"/>
      </w:pPr>
      <w:r>
        <w:rPr>
          <w:rFonts w:ascii="Consolas" w:cs="Consolas" w:eastAsia="Consolas" w:hAnsi="Consolas"/>
          <w:sz w:val="20"/>
          <w:szCs w:val="20"/>
        </w:rPr>
        <w:t xml:space="preserve">-- Transaction 1</w:t>
      </w:r>
      <w:r>
        <w:br/>
      </w:r>
      <w:r>
        <w:rPr>
          <w:rFonts w:ascii="Consolas" w:cs="Consolas" w:eastAsia="Consolas" w:hAnsi="Consolas"/>
          <w:sz w:val="20"/>
          <w:szCs w:val="20"/>
        </w:rPr>
        <w:t xml:space="preserve">START TRANSACTION;</w:t>
      </w:r>
      <w:r>
        <w:br/>
      </w:r>
      <w:r>
        <w:rPr>
          <w:rFonts w:ascii="Consolas" w:cs="Consolas" w:eastAsia="Consolas" w:hAnsi="Consolas"/>
          <w:sz w:val="20"/>
          <w:szCs w:val="20"/>
        </w:rPr>
        <w:t xml:space="preserve">UPDATE StockPrice SET close = 45.50 WHERE stock_id = 4 AND date = '2020-05-01';</w:t>
      </w:r>
      <w:r>
        <w:br/>
      </w:r>
      <w:r>
        <w:rPr>
          <w:rFonts w:ascii="Consolas" w:cs="Consolas" w:eastAsia="Consolas" w:hAnsi="Consolas"/>
          <w:sz w:val="20"/>
          <w:szCs w:val="20"/>
        </w:rPr>
        <w:t xml:space="preserve">UPDATE StockPrice SET close = 19.80 WHERE stock_id = 3 AND date = '2020-05-02';</w:t>
      </w:r>
      <w:r>
        <w:br/>
      </w:r>
      <w:r>
        <w:rPr>
          <w:rFonts w:ascii="Consolas" w:cs="Consolas" w:eastAsia="Consolas" w:hAnsi="Consolas"/>
          <w:sz w:val="20"/>
          <w:szCs w:val="20"/>
        </w:rPr>
        <w:t xml:space="preserve">COMMIT;</w:t>
      </w:r>
    </w:p>
    <w:p>
      <w:pPr>
        <w:pBdr>
          <w:top w:val="single" w:color="D3D1C7" w:sz="4" w:space="6"/>
          <w:bottom w:val="single" w:color="D3D1C7" w:sz="4" w:space="6"/>
          <w:left w:val="single" w:color="D3D1C7" w:sz="4" w:space="6"/>
          <w:right w:val="single" w:color="D3D1C7" w:sz="4" w:space="6"/>
        </w:pBdr>
        <w:shd w:fill="F1EFE8" w:val="clear"/>
        <w:spacing w:after="200" w:before="120"/>
        <w:ind w:left="200" w:right="200"/>
      </w:pPr>
      <w:r>
        <w:rPr>
          <w:rFonts w:ascii="Consolas" w:cs="Consolas" w:eastAsia="Consolas" w:hAnsi="Consolas"/>
          <w:sz w:val="20"/>
          <w:szCs w:val="20"/>
        </w:rPr>
        <w:t xml:space="preserve">-- Transaction 2</w:t>
      </w:r>
      <w:r>
        <w:br/>
      </w:r>
      <w:r>
        <w:rPr>
          <w:rFonts w:ascii="Consolas" w:cs="Consolas" w:eastAsia="Consolas" w:hAnsi="Consolas"/>
          <w:sz w:val="20"/>
          <w:szCs w:val="20"/>
        </w:rPr>
        <w:t xml:space="preserve">START TRANSACTION;</w:t>
      </w:r>
      <w:r>
        <w:br/>
      </w:r>
      <w:r>
        <w:rPr>
          <w:rFonts w:ascii="Consolas" w:cs="Consolas" w:eastAsia="Consolas" w:hAnsi="Consolas"/>
          <w:sz w:val="20"/>
          <w:szCs w:val="20"/>
        </w:rPr>
        <w:t xml:space="preserve">UPDATE StockPrice SET high = 20.12 WHERE stock_id = 3 AND date = '2020-05-02';</w:t>
      </w:r>
      <w:r>
        <w:br/>
      </w:r>
      <w:r>
        <w:rPr>
          <w:rFonts w:ascii="Consolas" w:cs="Consolas" w:eastAsia="Consolas" w:hAnsi="Consolas"/>
          <w:sz w:val="20"/>
          <w:szCs w:val="20"/>
        </w:rPr>
        <w:t xml:space="preserve">UPDATE StockPrice SET high = 47.20 WHERE stock_id = 4 AND date = '2020-05-01';</w:t>
      </w:r>
      <w:r>
        <w:br/>
      </w:r>
      <w:r>
        <w:rPr>
          <w:rFonts w:ascii="Consolas" w:cs="Consolas" w:eastAsia="Consolas" w:hAnsi="Consolas"/>
          <w:sz w:val="20"/>
          <w:szCs w:val="20"/>
        </w:rPr>
        <w:t xml:space="preserve">COMMIT;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13"/>
        <w:gridCol w:w="4234"/>
        <w:gridCol w:w="4234"/>
      </w:tblGrid>
      <w:tr>
        <w:trPr>
          <w:tblHeader/>
        </w:trPr>
        <w:tc>
          <w:tcPr>
            <w:tcW w:type="dxa" w:w="1613"/>
            <w:shd w:fill="E6F1FB" w:val="clear"/>
            <w:tcMar>
              <w:top w:type="dxa" w:w="100"/>
              <w:left w:type="dxa" w:w="120"/>
              <w:bottom w:type="dxa" w:w="100"/>
              <w:right w:type="dxa" w:w="120"/>
            </w:tcMar>
            <w:vAlign w:val="center"/>
          </w:tcPr>
          <w:p>
            <w:r>
              <w:rPr>
                <w:b/>
                <w:bCs/>
                <w:color w:val="0C447C"/>
                <w:sz w:val="20"/>
                <w:szCs w:val="20"/>
              </w:rPr>
              <w:t xml:space="preserve">Step</w:t>
            </w:r>
          </w:p>
        </w:tc>
        <w:tc>
          <w:tcPr>
            <w:tcW w:type="dxa" w:w="4234"/>
            <w:shd w:fill="E6F1FB" w:val="clear"/>
            <w:tcMar>
              <w:top w:type="dxa" w:w="100"/>
              <w:left w:type="dxa" w:w="120"/>
              <w:bottom w:type="dxa" w:w="100"/>
              <w:right w:type="dxa" w:w="120"/>
            </w:tcMar>
            <w:vAlign w:val="center"/>
          </w:tcPr>
          <w:p>
            <w:r>
              <w:rPr>
                <w:b/>
                <w:bCs/>
                <w:color w:val="0C447C"/>
                <w:sz w:val="20"/>
                <w:szCs w:val="20"/>
              </w:rPr>
              <w:t xml:space="preserve">Transaction 1</w:t>
            </w:r>
          </w:p>
        </w:tc>
        <w:tc>
          <w:tcPr>
            <w:tcW w:type="dxa" w:w="4234"/>
            <w:shd w:fill="E6F1FB" w:val="clear"/>
            <w:tcMar>
              <w:top w:type="dxa" w:w="100"/>
              <w:left w:type="dxa" w:w="120"/>
              <w:bottom w:type="dxa" w:w="100"/>
              <w:right w:type="dxa" w:w="120"/>
            </w:tcMar>
            <w:vAlign w:val="center"/>
          </w:tcPr>
          <w:p>
            <w:r>
              <w:rPr>
                <w:b/>
                <w:bCs/>
                <w:color w:val="0C447C"/>
                <w:sz w:val="20"/>
                <w:szCs w:val="20"/>
              </w:rPr>
              <w:t xml:space="preserve">Transaction 2</w:t>
            </w:r>
          </w:p>
        </w:tc>
      </w:tr>
      <w:tr>
        <w:tc>
          <w:tcPr>
            <w:tcW w:type="dxa" w:w="1613"/>
            <w:tcMar>
              <w:top w:type="dxa" w:w="100"/>
              <w:left w:type="dxa" w:w="120"/>
              <w:bottom w:type="dxa" w:w="100"/>
              <w:right w:type="dxa" w:w="120"/>
            </w:tcMar>
            <w:vAlign w:val="center"/>
          </w:tcPr>
          <w:p>
            <w:r>
              <w:rPr>
                <w:sz w:val="20"/>
                <w:szCs w:val="20"/>
              </w:rPr>
              <w:t xml:space="preserve">1</w:t>
            </w:r>
          </w:p>
        </w:tc>
        <w:tc>
          <w:tcPr>
            <w:tcW w:type="dxa" w:w="4234"/>
            <w:tcMar>
              <w:top w:type="dxa" w:w="100"/>
              <w:left w:type="dxa" w:w="120"/>
              <w:bottom w:type="dxa" w:w="100"/>
              <w:right w:type="dxa" w:w="120"/>
            </w:tcMar>
            <w:vAlign w:val="center"/>
          </w:tcPr>
          <w:p>
            <w:r>
              <w:rPr>
                <w:sz w:val="20"/>
                <w:szCs w:val="20"/>
              </w:rPr>
              <w:t xml:space="preserve">Locks row A (stock 4)</w:t>
            </w:r>
          </w:p>
        </w:tc>
        <w:tc>
          <w:tcPr>
            <w:tcW w:type="dxa" w:w="4234"/>
            <w:tcMar>
              <w:top w:type="dxa" w:w="100"/>
              <w:left w:type="dxa" w:w="120"/>
              <w:bottom w:type="dxa" w:w="100"/>
              <w:right w:type="dxa" w:w="120"/>
            </w:tcMar>
            <w:vAlign w:val="center"/>
          </w:tcPr>
          <w:p>
            <w:r>
              <w:rPr>
                <w:sz w:val="20"/>
                <w:szCs w:val="20"/>
              </w:rPr>
              <w:t xml:space="preserve">Locks row B (stock 3)</w:t>
            </w:r>
          </w:p>
        </w:tc>
      </w:tr>
      <w:tr>
        <w:tc>
          <w:tcPr>
            <w:tcW w:type="dxa" w:w="1613"/>
            <w:tcMar>
              <w:top w:type="dxa" w:w="100"/>
              <w:left w:type="dxa" w:w="120"/>
              <w:bottom w:type="dxa" w:w="100"/>
              <w:right w:type="dxa" w:w="120"/>
            </w:tcMar>
            <w:vAlign w:val="center"/>
          </w:tcPr>
          <w:p>
            <w:r>
              <w:rPr>
                <w:sz w:val="20"/>
                <w:szCs w:val="20"/>
              </w:rPr>
              <w:t xml:space="preserve">2</w:t>
            </w:r>
          </w:p>
        </w:tc>
        <w:tc>
          <w:tcPr>
            <w:tcW w:type="dxa" w:w="4234"/>
            <w:tcMar>
              <w:top w:type="dxa" w:w="100"/>
              <w:left w:type="dxa" w:w="120"/>
              <w:bottom w:type="dxa" w:w="100"/>
              <w:right w:type="dxa" w:w="120"/>
            </w:tcMar>
            <w:vAlign w:val="center"/>
          </w:tcPr>
          <w:p>
            <w:r>
              <w:rPr>
                <w:sz w:val="20"/>
                <w:szCs w:val="20"/>
              </w:rPr>
              <w:t xml:space="preserve">Tries to lock row B — waits</w:t>
            </w:r>
          </w:p>
        </w:tc>
        <w:tc>
          <w:tcPr>
            <w:tcW w:type="dxa" w:w="4234"/>
            <w:tcMar>
              <w:top w:type="dxa" w:w="100"/>
              <w:left w:type="dxa" w:w="120"/>
              <w:bottom w:type="dxa" w:w="100"/>
              <w:right w:type="dxa" w:w="120"/>
            </w:tcMar>
            <w:vAlign w:val="center"/>
          </w:tcPr>
          <w:p>
            <w:r>
              <w:rPr>
                <w:sz w:val="20"/>
                <w:szCs w:val="20"/>
              </w:rPr>
              <w:t xml:space="preserve">Tries to lock row A — waits</w:t>
            </w:r>
          </w:p>
        </w:tc>
      </w:tr>
      <w:tr>
        <w:tc>
          <w:tcPr>
            <w:tcW w:type="dxa" w:w="1613"/>
            <w:tcMar>
              <w:top w:type="dxa" w:w="100"/>
              <w:left w:type="dxa" w:w="120"/>
              <w:bottom w:type="dxa" w:w="100"/>
              <w:right w:type="dxa" w:w="120"/>
            </w:tcMar>
            <w:vAlign w:val="center"/>
          </w:tcPr>
          <w:p>
            <w:r>
              <w:rPr>
                <w:sz w:val="20"/>
                <w:szCs w:val="20"/>
              </w:rPr>
              <w:t xml:space="preserve">Result</w:t>
            </w:r>
          </w:p>
        </w:tc>
        <w:tc>
          <w:tcPr>
            <w:tcW w:type="dxa" w:w="4234"/>
            <w:tcMar>
              <w:top w:type="dxa" w:w="100"/>
              <w:left w:type="dxa" w:w="120"/>
              <w:bottom w:type="dxa" w:w="100"/>
              <w:right w:type="dxa" w:w="120"/>
            </w:tcMar>
            <w:vAlign w:val="center"/>
          </w:tcPr>
          <w:p>
            <w:r>
              <w:rPr>
                <w:sz w:val="20"/>
                <w:szCs w:val="20"/>
              </w:rPr>
              <w:t xml:space="preserve">Waiting for T2, forever</w:t>
            </w:r>
          </w:p>
        </w:tc>
        <w:tc>
          <w:tcPr>
            <w:tcW w:type="dxa" w:w="4234"/>
            <w:tcMar>
              <w:top w:type="dxa" w:w="100"/>
              <w:left w:type="dxa" w:w="120"/>
              <w:bottom w:type="dxa" w:w="100"/>
              <w:right w:type="dxa" w:w="120"/>
            </w:tcMar>
            <w:vAlign w:val="center"/>
          </w:tcPr>
          <w:p>
            <w:r>
              <w:rPr>
                <w:sz w:val="20"/>
                <w:szCs w:val="20"/>
              </w:rPr>
              <w:t xml:space="preserve">Waiting for T1, forever</w:t>
            </w:r>
          </w:p>
        </w:tc>
      </w:tr>
    </w:tbl>
    <w:p>
      <w:pPr>
        <w:spacing w:after="100"/>
      </w:pPr>
    </w:p>
    <w:p>
      <w:pPr>
        <w:pBdr>
          <w:left w:val="single" w:color="378ADD" w:sz="18" w:space="8"/>
        </w:pBdr>
        <w:spacing w:after="200" w:before="80"/>
        <w:ind w:left="200"/>
      </w:pPr>
      <w:r>
        <w:rPr>
          <w:b/>
          <w:bCs/>
          <w:color w:val="0C447C"/>
        </w:rPr>
        <w:t xml:space="preserve">Root cause: </w:t>
      </w:r>
      <w:r>
        <w:t xml:space="preserve">Transaction 1 locks in order A then B; transaction 2 locks in order B then A. If both had locked in the same order, one would simply wait its turn like a normal queue — opposite ordering is what creates the cycle.</w:t>
      </w:r>
    </w:p>
    <w:p>
      <w:pPr>
        <w:pStyle w:val="Heading2"/>
        <w:spacing w:after="120" w:before="240"/>
      </w:pPr>
      <w:r>
        <w:t xml:space="preserve">How InnoDB handles it</w:t>
      </w:r>
    </w:p>
    <w:p>
      <w:pPr>
        <w:pStyle w:val="ListParagraph"/>
        <w:numPr>
          <w:ilvl w:val="0"/>
          <w:numId w:val="2"/>
        </w:numPr>
        <w:spacing w:after="100"/>
      </w:pPr>
      <w:r>
        <w:rPr>
          <w:b/>
          <w:bCs/>
        </w:rPr>
        <w:t xml:space="preserve">Instant detection:</w:t>
      </w:r>
      <w:r>
        <w:t xml:space="preserve"> InnoDB actively watches for circular dependencies and breaks them immediately on detection, rather than waiting for a timeout — which would otherwise just look like a mysteriously slow query.</w:t>
      </w:r>
    </w:p>
    <w:p>
      <w:pPr>
        <w:pStyle w:val="ListParagraph"/>
        <w:numPr>
          <w:ilvl w:val="0"/>
          <w:numId w:val="2"/>
        </w:numPr>
        <w:spacing w:after="100"/>
      </w:pPr>
      <w:r>
        <w:rPr>
          <w:b/>
          <w:bCs/>
        </w:rPr>
        <w:t xml:space="preserve">Choosing the victim:</w:t>
      </w:r>
      <w:r>
        <w:t xml:space="preserve"> InnoDB rolls back the transaction holding the fewest exclusive row locks — an approximation of “easiest to undo.” The other transaction proceeds normally.</w:t>
      </w:r>
    </w:p>
    <w:p>
      <w:pPr>
        <w:pBdr>
          <w:top w:val="single" w:color="D3D1C7" w:sz="4" w:space="6"/>
          <w:bottom w:val="single" w:color="D3D1C7" w:sz="4" w:space="6"/>
          <w:left w:val="single" w:color="D3D1C7" w:sz="4" w:space="6"/>
          <w:right w:val="single" w:color="D3D1C7" w:sz="4" w:space="6"/>
        </w:pBdr>
        <w:shd w:fill="F1EFE8" w:val="clear"/>
        <w:spacing w:after="200" w:before="120"/>
        <w:ind w:left="200" w:right="200"/>
      </w:pPr>
      <w:r>
        <w:rPr>
          <w:rFonts w:ascii="Consolas" w:cs="Consolas" w:eastAsia="Consolas" w:hAnsi="Consolas"/>
          <w:sz w:val="20"/>
          <w:szCs w:val="20"/>
        </w:rPr>
        <w:t xml:space="preserve">ERROR 1213 (40001): Deadlock found when trying to get lock;</w:t>
      </w:r>
      <w:r>
        <w:br/>
      </w:r>
      <w:r>
        <w:rPr>
          <w:rFonts w:ascii="Consolas" w:cs="Consolas" w:eastAsia="Consolas" w:hAnsi="Consolas"/>
          <w:sz w:val="20"/>
          <w:szCs w:val="20"/>
        </w:rPr>
        <w:t xml:space="preserve">try restarting transaction</w:t>
      </w:r>
    </w:p>
    <w:p>
      <w:pPr>
        <w:pStyle w:val="Heading2"/>
        <w:spacing w:after="120" w:before="240"/>
      </w:pPr>
      <w:r>
        <w:t xml:space="preserve">Two types of deadlocks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21"/>
        <w:gridCol w:w="4435"/>
        <w:gridCol w:w="3024"/>
      </w:tblGrid>
      <w:tr>
        <w:trPr>
          <w:tblHeader/>
        </w:trPr>
        <w:tc>
          <w:tcPr>
            <w:tcW w:type="dxa" w:w="2621"/>
            <w:shd w:fill="E6F1FB" w:val="clear"/>
            <w:tcMar>
              <w:top w:type="dxa" w:w="100"/>
              <w:left w:type="dxa" w:w="120"/>
              <w:bottom w:type="dxa" w:w="100"/>
              <w:right w:type="dxa" w:w="120"/>
            </w:tcMar>
            <w:vAlign w:val="center"/>
          </w:tcPr>
          <w:p>
            <w:r>
              <w:rPr>
                <w:b/>
                <w:bCs/>
                <w:color w:val="0C447C"/>
                <w:sz w:val="20"/>
                <w:szCs w:val="20"/>
              </w:rPr>
              <w:t xml:space="preserve">Type</w:t>
            </w:r>
          </w:p>
        </w:tc>
        <w:tc>
          <w:tcPr>
            <w:tcW w:type="dxa" w:w="4435"/>
            <w:shd w:fill="E6F1FB" w:val="clear"/>
            <w:tcMar>
              <w:top w:type="dxa" w:w="100"/>
              <w:left w:type="dxa" w:w="120"/>
              <w:bottom w:type="dxa" w:w="100"/>
              <w:right w:type="dxa" w:w="120"/>
            </w:tcMar>
            <w:vAlign w:val="center"/>
          </w:tcPr>
          <w:p>
            <w:r>
              <w:rPr>
                <w:b/>
                <w:bCs/>
                <w:color w:val="0C447C"/>
                <w:sz w:val="20"/>
                <w:szCs w:val="20"/>
              </w:rPr>
              <w:t xml:space="preserve">Cause</w:t>
            </w:r>
          </w:p>
        </w:tc>
        <w:tc>
          <w:tcPr>
            <w:tcW w:type="dxa" w:w="3024"/>
            <w:shd w:fill="E6F1FB" w:val="clear"/>
            <w:tcMar>
              <w:top w:type="dxa" w:w="100"/>
              <w:left w:type="dxa" w:w="120"/>
              <w:bottom w:type="dxa" w:w="100"/>
              <w:right w:type="dxa" w:w="120"/>
            </w:tcMar>
            <w:vAlign w:val="center"/>
          </w:tcPr>
          <w:p>
            <w:r>
              <w:rPr>
                <w:b/>
                <w:bCs/>
                <w:color w:val="0C447C"/>
                <w:sz w:val="20"/>
                <w:szCs w:val="20"/>
              </w:rPr>
              <w:t xml:space="preserve">Fixable?</w:t>
            </w:r>
          </w:p>
        </w:tc>
      </w:tr>
      <w:tr>
        <w:tc>
          <w:tcPr>
            <w:tcW w:type="dxa" w:w="2621"/>
            <w:tcMar>
              <w:top w:type="dxa" w:w="100"/>
              <w:left w:type="dxa" w:w="120"/>
              <w:bottom w:type="dxa" w:w="100"/>
              <w:right w:type="dxa" w:w="120"/>
            </w:tcMar>
            <w:vAlign w:val="center"/>
          </w:tcPr>
          <w:p>
            <w:r>
              <w:rPr>
                <w:sz w:val="20"/>
                <w:szCs w:val="20"/>
              </w:rPr>
              <w:t xml:space="preserve">True data conflict</w:t>
            </w:r>
          </w:p>
        </w:tc>
        <w:tc>
          <w:tcPr>
            <w:tcW w:type="dxa" w:w="4435"/>
            <w:tcMar>
              <w:top w:type="dxa" w:w="100"/>
              <w:left w:type="dxa" w:w="120"/>
              <w:bottom w:type="dxa" w:w="100"/>
              <w:right w:type="dxa" w:w="120"/>
            </w:tcMar>
            <w:vAlign w:val="center"/>
          </w:tcPr>
          <w:p>
            <w:r>
              <w:rPr>
                <w:sz w:val="20"/>
                <w:szCs w:val="20"/>
              </w:rPr>
              <w:t xml:space="preserve">The application genuinely needs the same rows in conflicting order</w:t>
            </w:r>
          </w:p>
        </w:tc>
        <w:tc>
          <w:tcPr>
            <w:tcW w:type="dxa" w:w="3024"/>
            <w:tcMar>
              <w:top w:type="dxa" w:w="100"/>
              <w:left w:type="dxa" w:w="120"/>
              <w:bottom w:type="dxa" w:w="100"/>
              <w:right w:type="dxa" w:w="120"/>
            </w:tcMar>
            <w:vAlign w:val="center"/>
          </w:tcPr>
          <w:p>
            <w:r>
              <w:rPr>
                <w:sz w:val="20"/>
                <w:szCs w:val="20"/>
              </w:rPr>
              <w:t xml:space="preserve">Not really — handle with retries</w:t>
            </w:r>
          </w:p>
        </w:tc>
      </w:tr>
      <w:tr>
        <w:tc>
          <w:tcPr>
            <w:tcW w:type="dxa" w:w="2621"/>
            <w:tcMar>
              <w:top w:type="dxa" w:w="100"/>
              <w:left w:type="dxa" w:w="120"/>
              <w:bottom w:type="dxa" w:w="100"/>
              <w:right w:type="dxa" w:w="120"/>
            </w:tcMar>
            <w:vAlign w:val="center"/>
          </w:tcPr>
          <w:p>
            <w:r>
              <w:rPr>
                <w:sz w:val="20"/>
                <w:szCs w:val="20"/>
              </w:rPr>
              <w:t xml:space="preserve">Storage engine behavior</w:t>
            </w:r>
          </w:p>
        </w:tc>
        <w:tc>
          <w:tcPr>
            <w:tcW w:type="dxa" w:w="4435"/>
            <w:tcMar>
              <w:top w:type="dxa" w:w="100"/>
              <w:left w:type="dxa" w:w="120"/>
              <w:bottom w:type="dxa" w:w="100"/>
              <w:right w:type="dxa" w:w="120"/>
            </w:tcMar>
            <w:vAlign w:val="center"/>
          </w:tcPr>
          <w:p>
            <w:r>
              <w:rPr>
                <w:sz w:val="20"/>
                <w:szCs w:val="20"/>
              </w:rPr>
              <w:t xml:space="preserve">How InnoDB internally locks rows and indexes</w:t>
            </w:r>
          </w:p>
        </w:tc>
        <w:tc>
          <w:tcPr>
            <w:tcW w:type="dxa" w:w="3024"/>
            <w:tcMar>
              <w:top w:type="dxa" w:w="100"/>
              <w:left w:type="dxa" w:w="120"/>
              <w:bottom w:type="dxa" w:w="100"/>
              <w:right w:type="dxa" w:w="120"/>
            </w:tcMar>
            <w:vAlign w:val="center"/>
          </w:tcPr>
          <w:p>
            <w:r>
              <w:rPr>
                <w:sz w:val="20"/>
                <w:szCs w:val="20"/>
              </w:rPr>
              <w:t xml:space="preserve">Often — better indexes or query design</w:t>
            </w:r>
          </w:p>
        </w:tc>
      </w:tr>
    </w:tbl>
    <w:p>
      <w:pPr>
        <w:spacing w:after="100"/>
      </w:pPr>
    </w:p>
    <w:p>
      <w:pPr>
        <w:spacing w:after="160"/>
      </w:pPr>
      <w:r>
        <w:t xml:space="preserve">The same SQL can deadlock on one storage engine but not another, since each engine locks differently.</w:t>
      </w:r>
    </w:p>
    <w:p>
      <w:pPr>
        <w:pStyle w:val="Heading2"/>
        <w:spacing w:after="120" w:before="240"/>
      </w:pPr>
      <w:r>
        <w:t xml:space="preserve">Handling deadlocks in application code</w:t>
      </w:r>
    </w:p>
    <w:p>
      <w:pPr>
        <w:spacing w:after="160"/>
      </w:pPr>
      <w:r>
        <w:t xml:space="preserve">Deadlocks are a fact of life in transactional systems — applications should be designed to survive them, typically with a retry pattern:</w:t>
      </w:r>
    </w:p>
    <w:p>
      <w:pPr>
        <w:pBdr>
          <w:top w:val="single" w:color="D3D1C7" w:sz="4" w:space="6"/>
          <w:bottom w:val="single" w:color="D3D1C7" w:sz="4" w:space="6"/>
          <w:left w:val="single" w:color="D3D1C7" w:sz="4" w:space="6"/>
          <w:right w:val="single" w:color="D3D1C7" w:sz="4" w:space="6"/>
        </w:pBdr>
        <w:shd w:fill="F1EFE8" w:val="clear"/>
        <w:spacing w:after="200" w:before="120"/>
        <w:ind w:left="200" w:right="200"/>
      </w:pPr>
      <w:r>
        <w:rPr>
          <w:rFonts w:ascii="Consolas" w:cs="Consolas" w:eastAsia="Consolas" w:hAnsi="Consolas"/>
          <w:sz w:val="20"/>
          <w:szCs w:val="20"/>
        </w:rPr>
        <w:t xml:space="preserve">max_attempts = 3</w:t>
      </w:r>
      <w:r>
        <w:br/>
      </w:r>
      <w:r>
        <w:rPr>
          <w:rFonts w:ascii="Consolas" w:cs="Consolas" w:eastAsia="Consolas" w:hAnsi="Consolas"/>
          <w:sz w:val="20"/>
          <w:szCs w:val="20"/>
        </w:rPr>
        <w:t xml:space="preserve">for attempt in range(max_attempts):</w:t>
      </w:r>
      <w:r>
        <w:br/>
      </w:r>
      <w:r>
        <w:rPr>
          <w:rFonts w:ascii="Consolas" w:cs="Consolas" w:eastAsia="Consolas" w:hAnsi="Consolas"/>
          <w:sz w:val="20"/>
          <w:szCs w:val="20"/>
        </w:rPr>
        <w:t xml:space="preserve">    try:</w:t>
      </w:r>
      <w:r>
        <w:br/>
      </w:r>
      <w:r>
        <w:rPr>
          <w:rFonts w:ascii="Consolas" w:cs="Consolas" w:eastAsia="Consolas" w:hAnsi="Consolas"/>
          <w:sz w:val="20"/>
          <w:szCs w:val="20"/>
        </w:rPr>
        <w:t xml:space="preserve">        start_transaction()</w:t>
      </w:r>
      <w:r>
        <w:br/>
      </w:r>
      <w:r>
        <w:rPr>
          <w:rFonts w:ascii="Consolas" w:cs="Consolas" w:eastAsia="Consolas" w:hAnsi="Consolas"/>
          <w:sz w:val="20"/>
          <w:szCs w:val="20"/>
        </w:rPr>
        <w:t xml:space="preserve">        # ... do your updates ...</w:t>
      </w:r>
      <w:r>
        <w:br/>
      </w:r>
      <w:r>
        <w:rPr>
          <w:rFonts w:ascii="Consolas" w:cs="Consolas" w:eastAsia="Consolas" w:hAnsi="Consolas"/>
          <w:sz w:val="20"/>
          <w:szCs w:val="20"/>
        </w:rPr>
        <w:t xml:space="preserve">        commit()</w:t>
      </w:r>
      <w:r>
        <w:br/>
      </w:r>
      <w:r>
        <w:rPr>
          <w:rFonts w:ascii="Consolas" w:cs="Consolas" w:eastAsia="Consolas" w:hAnsi="Consolas"/>
          <w:sz w:val="20"/>
          <w:szCs w:val="20"/>
        </w:rPr>
        <w:t xml:space="preserve">        break  # success</w:t>
      </w:r>
      <w:r>
        <w:br/>
      </w:r>
      <w:r>
        <w:rPr>
          <w:rFonts w:ascii="Consolas" w:cs="Consolas" w:eastAsia="Consolas" w:hAnsi="Consolas"/>
          <w:sz w:val="20"/>
          <w:szCs w:val="20"/>
        </w:rPr>
        <w:t xml:space="preserve">    except DeadlockError:</w:t>
      </w:r>
      <w:r>
        <w:br/>
      </w:r>
      <w:r>
        <w:rPr>
          <w:rFonts w:ascii="Consolas" w:cs="Consolas" w:eastAsia="Consolas" w:hAnsi="Consolas"/>
          <w:sz w:val="20"/>
          <w:szCs w:val="20"/>
        </w:rPr>
        <w:t xml:space="preserve">        rollback()</w:t>
      </w:r>
      <w:r>
        <w:br/>
      </w:r>
      <w:r>
        <w:rPr>
          <w:rFonts w:ascii="Consolas" w:cs="Consolas" w:eastAsia="Consolas" w:hAnsi="Consolas"/>
          <w:sz w:val="20"/>
          <w:szCs w:val="20"/>
        </w:rPr>
        <w:t xml:space="preserve">        # wait a small random delay, then retry</w:t>
      </w:r>
    </w:p>
    <w:p>
      <w:pPr>
        <w:spacing w:after="160"/>
      </w:pPr>
      <w:r>
        <w:t xml:space="preserve">Since the rolled-back transaction is fully undone, retrying from the start is safe — it almost always succeeds on the second attempt because the other transaction has since finished.</w:t>
      </w:r>
    </w:p>
    <w:p>
      <w:pPr>
        <w:pStyle w:val="Heading3"/>
        <w:spacing w:after="100" w:before="200"/>
      </w:pPr>
      <w:r>
        <w:t xml:space="preserve">Prevention tips</w:t>
      </w:r>
    </w:p>
    <w:p>
      <w:pPr>
        <w:pStyle w:val="ListParagraph"/>
        <w:numPr>
          <w:ilvl w:val="0"/>
          <w:numId w:val="3"/>
        </w:numPr>
        <w:spacing w:after="100"/>
      </w:pPr>
      <w:r>
        <w:t xml:space="preserve">Access rows in a consistent order everywhere in the code (e.g. always sort by ID before updating multiple rows).</w:t>
      </w:r>
    </w:p>
    <w:p>
      <w:pPr>
        <w:pStyle w:val="ListParagraph"/>
        <w:numPr>
          <w:ilvl w:val="0"/>
          <w:numId w:val="3"/>
        </w:numPr>
        <w:spacing w:after="100"/>
      </w:pPr>
      <w:r>
        <w:t xml:space="preserve">Keep transactions short — less time holding locks means less chance of collision.</w:t>
      </w:r>
    </w:p>
    <w:p>
      <w:pPr>
        <w:pStyle w:val="ListParagraph"/>
        <w:numPr>
          <w:ilvl w:val="0"/>
          <w:numId w:val="3"/>
        </w:numPr>
        <w:spacing w:after="100"/>
      </w:pPr>
      <w:r>
        <w:t xml:space="preserve">Use good indexes — poor indexes cause InnoDB to lock far more rows than necessary, increasing deadlock risk.</w:t>
      </w:r>
    </w:p>
    <w:p>
      <w:pPr>
        <w:pStyle w:val="ListParagraph"/>
        <w:numPr>
          <w:ilvl w:val="0"/>
          <w:numId w:val="3"/>
        </w:numPr>
        <w:spacing w:after="100"/>
      </w:pPr>
      <w:r>
        <w:t xml:space="preserve">Never leave a transaction open while waiting on user input.</w:t>
      </w:r>
    </w:p>
    <w:p>
      <w:pPr>
        <w:pBdr>
          <w:left w:val="single" w:color="639922" w:sz="18" w:space="8"/>
        </w:pBdr>
        <w:spacing w:before="100"/>
        <w:ind w:left="200"/>
      </w:pPr>
      <w:r>
        <w:rPr>
          <w:b/>
          <w:bCs/>
        </w:rPr>
        <w:t xml:space="preserve">Part III takeaway: </w:t>
      </w:r>
      <w:r>
        <w:t xml:space="preserve">a deadlock isn't a MySQL bug — it's a natural side effect of concurrency. InnoDB detects it instantly, sacrifices the cheapest transaction to break the cycle, and expects the application to gracefully retry. Code that doesn't handle error 1213 is code waiting to fail in production.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93a7eaaa4cbdf67809949c4fd893a89b890b438.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2026-07-20T11:19:35.463Z</dcterms:created>
  <dcterms:modified xsi:type="dcterms:W3CDTF">2026-07-20T11:19:35.477Z</dcterms:modified>
</cp:coreProperties>
</file>

<file path=docProps/custom.xml><?xml version="1.0" encoding="utf-8"?>
<Properties xmlns="http://schemas.openxmlformats.org/officeDocument/2006/custom-properties" xmlns:vt="http://schemas.openxmlformats.org/officeDocument/2006/docPropsVTypes"/>
</file>