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9" w:lineRule="auto" w:after="80"/>
        <w:jc w:val="left"/>
        <w:bidi w:val="0"/>
      </w:pPr>
      <w:r>
        <w:rPr>
          <w:rFonts w:ascii="DejaVu Sans" w:hAnsi="DejaVu Sans"/>
          <w:sz w:val="44"/>
        </w:rPr>
        <w:t>Withdrawal and Academic Failure in OULAD</w:t>
      </w:r>
    </w:p>
    <w:p>
      <w:pPr>
        <w:pStyle w:val="Subtitle"/>
        <w:spacing w:line="259" w:lineRule="auto" w:after="80"/>
        <w:jc w:val="left"/>
        <w:bidi w:val="0"/>
      </w:pPr>
      <w:r>
        <w:rPr>
          <w:rFonts w:ascii="DejaVu Sans" w:hAnsi="DejaVu Sans"/>
          <w:i w:val="0"/>
          <w:sz w:val="24"/>
        </w:rPr>
        <w:t>Stakeholder briefing  October 2026</w:t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The core problem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/>
          <w:sz w:val="21"/>
        </w:rPr>
        <w:t>More than half of enrollments ended in withdrawal or failure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Withdrawal and failure together accounted for 52.80% of enrollments: 17,208 out of 32,593. Withdrawal represented 31.16% and failure 21.64%.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Overall success, including distinction, was 47.20%. The study covers 28,785 students across 7 modules and 22 presentations in 2013 and 2014.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96640"/>
            <wp:docPr id="1" name="Picture 1" descr="Original analysis chart from notebook cell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1  Final outcomes across all enrollments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Reading guide: PASS means a pass without distinction; DISTINCTION is a higher achievement category; FAIL means failure; WITHDRAWN means withdrawal. Overall success combines PASS and DISTINCTION.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The unit of analysis is one student enrollment in a specific module presentation. A student may have several enrollments. The following sections identify potential contributing factors and support needs; the findings describe associations and do not establish causality.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1 Modules with the greatest support needs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Combined withdrawal and failure rates were 62.16% in CCC, 58.39% in DDD, 53.00% in FFF and 52.54% in BBB, compared with 43.76% in EEE, 40.25% in GGG and 29.01% in AAA.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CCC and DDD had the highest combined rates. BBB and FFF had the largest numbers of affected enrollments: 4,155 and 4,114, respectively.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GGG had the highest failure rate, at 28.73%, despite withdrawal of only 11.52%. Academic performance support is therefore important alongside retention efforts.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3222767"/>
            <wp:docPr id="2" name="Picture 2" descr="Original analysis chart from notebook cell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2  Final outcomes by module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Percentages use enrollments within each module as the denominator; bars show counts. Combined rates were calculated from the original counts and may differ slightly from the sum of rounded percentages.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CCC and DDD: Review study requirements and assessment sequencing, and contact students early to understand difficulties with continuing their studies.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BBB and FFF: Allocate advisers and support sessions in proportion to the volume of cases.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GGG: Explain difficult concepts, provide practical exercises and help students prepare for assessments.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2 When withdrawals occurred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There were 2,676 withdrawals before teaching began, representing 26.35% of all withdrawals. Another 2,356 occurred during days 0–27, accounting for 23.20%.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Together, 49.55% of withdrawals occurred before the end of the first four weeks. A further 49.54% occurred from day 28 onward. Timing was unknown for 93 enrollments, or 0.92%.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These findings support preparation before the course starts, intensive early follow-up and continued support beyond the first month.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43313"/>
            <wp:docPr id="3" name="Picture 3" descr="Original analysis chart from notebook cell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3  Withdrawal timing before and during the course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The denominator is all 10,156 withdrawals. The periods differ in length, so the line does not represent a daily withdrawal rate or an equal-duration weekly comparison.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Before teaching starts: Explain course requirements and expected study time, and check that students can access the platform.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First four weeks: Follow up with students who have not started activities or have missed submissions, and offer direct assistance.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Beyond the first month: Continue monitoring before major assessments and when sustained declines emerge.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3 Study load and final outcomes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Combined withdrawal and failure rose from 48.20% among enrollments with 1–60 studied credits to 58.58% at 61–120 credits and 69.64% above 120 credits.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The increase was mainly in withdrawal, which rose from 25.35% to 51.29%. Study load refers to the total credits a student was studying at the time of enrollment.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80988" cy="2858517"/>
            <wp:docPr id="4" name="Picture 4" descr="Original analysis chart from notebook cell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6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988" cy="2858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4  Success failure and withdrawal by study load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Withdrawal increased with study load within all seven modules. Comparing the lowest and highest load bands, it rose from 37.22% to 62.84% in CCC and from 28.59% to 60.08% in DDD.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80988" cy="2415335"/>
            <wp:docPr id="5" name="Picture 5" descr="Original analysis chart from notebook cell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6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988" cy="241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5  Withdrawal by study load within each module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Review study load: Check whether the credit load fits the student’s available time and other commitments, especially above 120 credits.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Plan study time: Develop a weekly schedule, spread out submission tasks and allow load reductions or adjustments where regulations permit.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Before enrollment: Offer individual advice to students planning a high study load.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4 Previous attempts at the same module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Combined withdrawal and failure were 66.92% among enrollments with previous attempts, compared with 50.72% among those without: a gap of 16.20 percentage points.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Failure was 31.66% versus 20.16%, and withdrawal was 35.26% versus 30.56%. The groups contained 4,172 enrollments with previous attempts and 28,421 without.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Students repeating a module may benefit from structured follow-up that addresses unresolved difficulties from their earlier attempt.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05629"/>
            <wp:docPr id="6" name="Picture 6" descr="Original analysis chart from notebook cell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7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6  Outcomes with and without previous module attempts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This comparison distinguishes any previous attempt from none. It does not demonstrate that each additional attempt produces a similar increase in difficulty.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Identify learning gaps: Use a short diagnostic assessment to identify difficulties that remain from the previous attempt.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Build a repeat-study plan: Set clear goals, provide targeted practice and arrange regular adviser follow-up.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Review progress: Reassess performance after the first assessment and adapt support to the student’s needs.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5 Deprivation and regional differences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Combined withdrawal and failure were 64.84% in the most deprived IMD band, 0–10%, compared with 42.47% in the least deprived band, 90–100%.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In North Western Region, 37.9% of enrollments were in the most deprived 0–20% bands, alongside a combined withdrawal and failure rate of 59.81%. In South Region, the corresponding figures were 5.9% and 47.61%.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Deprivation alone does not explain regional differences. Wales had the highest regional failure rate, at 29.72%, despite a lower concentration of deprivation than North Western Region.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537960" cy="2418007"/>
            <wp:docPr id="7" name="Picture 7" descr="Original analysis chart from notebook cell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3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418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7  Deprivation bands and outcome rates by region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Lower IMD bands indicate greater deprivation. The chart describes project enrollments, not regional populations. Missing deprivation data for 40.1% of North Region enrollments and 22.5% in Ireland limit comparisons.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Identify barriers: Check connectivity costs, access to devices and difficulties reaching support services.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Improve access: Offer downloadable, low-data materials, flexible support hours and referrals to available assistance.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Allocate resources: Prioritize areas with greater needs while assessing each student’s circumstances individually.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6 Prior educational attainment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Combined withdrawal and failure were 70.32% among enrollments with no formal qualifications and 61.15% among those below A Level, compared with 47.97% for A Level or equivalent.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The combined rate fell to 43.83% for higher education qualifications and 34.50% for postgraduate qualifications.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These findings support reviewing academic preparation and foundational skills needs. The no-formal-qualification and postgraduate groups were relatively small, with 347 and 313 enrollments, respectively.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92240" cy="2821470"/>
            <wp:docPr id="8" name="Picture 8" descr="Original analysis chart from notebook cell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3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21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8  Failure and withdrawal by highest prior qualification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Dashed lines show the overall rate for each outcome. Differences should also be considered alongside module mix, study load and previous attempts.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Strengthen academic preparation: Offer introductory units in study skills, academic writing, numeracy and digital skills.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Assess individual needs: Use a diagnostic assessment to identify the skills each student needs to develop.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Provide gradual practice: Use worked examples, progressively demanding exercises and feedback, especially early in the course.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7 Assessment completion across modules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Of eligible assessment opportunities, 22.93% had no submission record. Mean completion per enrollment was 43.67% for failure and 58.17% for withdrawal, compared with 95.52% for pass and 96.68% for distinction.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87241" cy="2195222"/>
            <wp:docPr id="9" name="Picture 9" descr="Original analysis chart from notebook cell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9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7241" cy="2195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9  Mean assessment completion per enrollment by outcome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The shares of assessment opportunities with a submission record, for failed and withdrawn enrollments respectively, were: AAA 63.2% and 70.1%; BBB 43.2% and 57.4%; CCC 46.2% and 60.6%; DDD 50.4% and 61.6%; EEE 34.7% and 51.8%; FFF 35.9% and 60.5%; GGG 28.3% and 57.3%.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25415" cy="2444990"/>
            <wp:docPr id="10" name="Picture 10" descr="Original analysis chart from notebook cell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415" cy="244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10  On-time submissions as a share of eligible assessment opportunities by module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Module percentages are assessment-opportunity rates, unlike the enrollment averages in Figure 9. Figure 10 measures on-time submission specifically. For withdrawn enrollments, only assessments due before withdrawal are included. Missing submission records require a data-completeness check.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Follow up early: Provide a clear assessment calendar and reminders, and contact students about missing expected submissions after checking record completeness.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Make tasks manageable: Break large assignments into stages and explain task requirements and marking criteria in support sessions.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Prioritize modules: Review completion gaps in GGG, EEE and FFF, and difficulties meeting deadlines in CCC.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8 Early engagement with learning resources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During days 0–27, median active days were 11 for pass and 14 for distinction, compared with 7 for failure and 8 for withdrawal.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Within modules, median active days for pass, failure and withdrawal, respectively, were: AAA 14, 7, 12; BBB 8, 5, 6; CCC 11, 7, 8; DDD 14, 8.5, 9; EEE 12, 7, 7; FFF 16, 9, 12; GGG 4, 3, 3.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Engagement should be interpreted in the context of each module. In AAA, median clicks for withdrawal and pass were similar, at 275 and 279.5; activity volume alone is therefore insufficient.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58843"/>
            <wp:docPr id="11" name="Picture 11" descr="Original analysis chart from notebook cell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2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5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11  Median early clicks and active days by module and outcome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The chart covers 26,754 full-window eligible enrollments with interaction records and combines PASS and DISTINCTION as SUCCESS. Pass figures in the text refer to PASS alone. Engagement measures exclude 475 eligible enrollments without records; these were not automatically treated as zero activity.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Establish a clear starting point: Identify essential first-week resources and activities and connect them to assessments.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Make individual contact: Ask students with low activity about technical or study difficulties and limited time.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Use module-specific expectations: Interpret activity against the module’s own patterns rather than applying one universal click threshold.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9 Weekly engagement patterns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The success group generally showed higher weekly engagement. In week 3, mean clicks were 94.53 for success, 70.42 for withdrawal and 57.22 for failure.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By week 4, the averages had fallen to 72.29, 46.38 and 38.40, respectively. Changes should be interpreted alongside teaching and assessment schedules, rather than using a single week in isolation.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72937" cy="4903854"/>
            <wp:docPr id="12" name="Picture 12" descr="Original analysis chart from notebook cell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4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2937" cy="490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12  Weekly clicks active days and measured enrollment counts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The measured sample changes each week with enrollment eligibility and withdrawal; the lines do not track the same individuals over time. Means include zero-activity weeks for enrollments with interaction records. The withdrawal line ends when no eligible weeks remain.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Monitor changes: Look for sustained declines relative to each student’s earlier activity, allowing for the module calendar.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Help students regain momentum: Offer supportive contact, a short discussion and a follow-up plan where needed.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Support assessment preparation: Arrange revision sessions, then review activity and submissions after support is provided.</w:t>
      </w:r>
    </w:p>
    <w:p>
      <w:pPr>
        <w:spacing w:before="0" w:after="0" w:lineRule="exact" w:line="20"/>
      </w:pPr>
      <w:r>
        <w:rPr>
          <w:sz w:val="2"/>
        </w:rPr>
        <w:br w:type="page"/>
      </w:r>
    </w:p>
    <w:p>
      <w:pPr>
        <w:pStyle w:val="Heading1"/>
        <w:spacing w:line="259" w:lineRule="auto" w:after="80"/>
        <w:jc w:val="left"/>
        <w:bidi w:val="0"/>
      </w:pPr>
      <w:r>
        <w:rPr>
          <w:rFonts w:ascii="DejaVu Sans" w:hAnsi="DejaVu Sans"/>
          <w:sz w:val="34"/>
        </w:rPr>
        <w:t>10 Engagement and submission together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Success was 69.35% when both engagement and submission were high, compared with 22.82% when engagement was high but submission was low.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• Success was 50.27% with low engagement and high submission, and 10.83% when both were low. Using the two indicators together can help identify support needs.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771" cy="2836984"/>
            <wp:docPr id="13" name="Picture 13" descr="Original analysis chart from notebook cell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6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771" cy="2836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 w:line="259" w:lineRule="auto"/>
        <w:jc w:val="left"/>
        <w:keepNext w:val="0"/>
        <w:bidi w:val="0"/>
      </w:pPr>
      <w:r>
        <w:rPr>
          <w:rFonts w:ascii="DejaVu Sans" w:hAnsi="DejaVu Sans"/>
          <w:sz w:val="18"/>
        </w:rPr>
        <w:t>Figure 13  Outcomes by early engagement and assessment submission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Measures cover days 0–27. High engagement means positive clicks at or above the presentation median. High submission means completing at least 80% of assessments due in the window by day 27.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The comparison includes 21,533 enrollments in AAA, BBB, CCC, DDD and FFF, excluding EEE and GGG. The high-engagement, low-submission group contains only 241 enrollments. These are exploratory thresholds, not validated alert rules.</w:t>
      </w:r>
    </w:p>
    <w:p>
      <w:pPr>
        <w:pStyle w:val="Heading2"/>
        <w:spacing w:before="180" w:after="80" w:line="259" w:lineRule="auto"/>
        <w:jc w:val="left"/>
        <w:keepNext/>
        <w:bidi w:val="0"/>
      </w:pPr>
      <w:r>
        <w:rPr>
          <w:rFonts w:ascii="DejaVu Sans" w:hAnsi="DejaVu Sans"/>
          <w:sz w:val="24"/>
        </w:rPr>
        <w:t>Proposed support for affected groups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High engagement and low submission: Help students understand assessment requirements, manage time and complete the task.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Low engagement and high submission: Review grades, learning quality and study methods before deciding on an intervention.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Both low: Prioritize individual contact to explore technical, academic and personal barriers.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• Both high: Continue routine monitoring and offer suitable enrichment activities.</w:t>
      </w:r>
    </w:p>
    <w:p>
      <w:pPr>
        <w:spacing w:before="0" w:after="80" w:line="259" w:lineRule="auto"/>
        <w:jc w:val="left"/>
        <w:keepNext w:val="0"/>
        <w:bidi w:val="0"/>
      </w:pPr>
      <w:r>
        <w:rPr>
          <w:rFonts w:ascii="DejaVu Sans" w:hAnsi="DejaVu Sans"/>
          <w:b w:val="0"/>
          <w:sz w:val="21"/>
        </w:rPr>
        <w:t>Evaluate support: Pilot actions on a limited scale and track assessment completion, retention and success. Before expanding, assess changes in combined withdrawal and failure using comparable groups within the same module and presentation.</w:t>
      </w:r>
    </w:p>
    <w:p>
      <w:pPr>
        <w:pStyle w:val="Heading2"/>
        <w:spacing w:line="259" w:lineRule="auto" w:after="80"/>
        <w:jc w:val="left"/>
        <w:bidi w:val="0"/>
      </w:pPr>
      <w:r>
        <w:rPr>
          <w:rFonts w:ascii="DejaVu Sans" w:hAnsi="DejaVu Sans"/>
          <w:sz w:val="24"/>
        </w:rPr>
        <w:t>Action priorities</w:t>
      </w:r>
    </w:p>
    <w:p>
      <w:pPr>
        <w:spacing w:line="259" w:lineRule="auto" w:after="80"/>
        <w:jc w:val="left"/>
        <w:bidi w:val="0"/>
      </w:pPr>
      <w:r>
        <w:rPr>
          <w:rFonts w:ascii="DejaVu Sans" w:hAnsi="DejaVu Sans"/>
          <w:b w:val="0"/>
          <w:sz w:val="21"/>
        </w:rPr>
        <w:t>Focus support on CCC and DDD, provide capacity for the case volumes in BBB and FFF, review high study loads and previous attempts, and monitor submission and engagement together.</w:t>
      </w:r>
    </w:p>
    <w:p>
      <w:pPr>
        <w:spacing w:before="100" w:line="259" w:lineRule="auto" w:after="80"/>
        <w:jc w:val="left"/>
        <w:bidi w:val="0"/>
      </w:pPr>
      <w:r>
        <w:rPr>
          <w:rFonts w:ascii="DejaVu Sans" w:hAnsi="DejaVu Sans"/>
          <w:b w:val="0"/>
          <w:sz w:val="18"/>
        </w:rPr>
        <w:t>Source for all figures and results: saved outputs in Final_OULAD_Analysis_EN(1).ipynb. Original notebook charts are reproduced. Combined indicators were calculated from the original counts; minor differences may arise from rounding.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6"/>
      </w:rPr>
      <w:t>OULAD  |  Stakeholder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DejaVu Sans" w:hAnsi="DejaVu Sans" w:cs="DejaVu Sans" w:eastAsia="DejaVu Sans"/>
      <w:color w:val="000000"/>
      <w:sz w:val="23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74" w:lineRule="auto"/>
      <w:outlineLvl w:val="0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000000"/>
      <w:sz w:val="3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74" w:lineRule="auto"/>
      <w:outlineLvl w:val="1"/>
    </w:pPr>
    <w:rPr>
      <w:rFonts w:asciiTheme="majorHAnsi" w:eastAsiaTheme="majorEastAsia" w:hAnsiTheme="majorHAnsi" w:cstheme="majorBidi" w:ascii="DejaVu Sans" w:hAnsi="DejaVu Sans" w:cs="DejaVu Sans" w:eastAsia="DejaVu Sans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DejaVu Sans" w:hAnsi="DejaVu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DejaVu Sans" w:hAnsi="DejaVu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DejaVu Sans" w:hAnsi="DejaVu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DejaVu Sans" w:hAnsi="DejaVu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DejaVu Sans" w:hAnsi="DejaVu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hAnsi="DejaVu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74" w:lineRule="auto"/>
      <w:contextualSpacing/>
    </w:pPr>
    <w:rPr>
      <w:rFonts w:asciiTheme="majorHAnsi" w:eastAsiaTheme="majorEastAsia" w:hAnsiTheme="majorHAnsi" w:cstheme="majorBidi" w:ascii="DejaVu Sans" w:hAnsi="DejaVu Sans" w:cs="DejaVu Sans" w:eastAsia="DejaVu Sans"/>
      <w:color w:val="000000"/>
      <w:spacing w:val="5"/>
      <w:kern w:val="28"/>
      <w:sz w:val="4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40" w:line="274" w:lineRule="auto"/>
    </w:pPr>
    <w:rPr>
      <w:rFonts w:asciiTheme="majorHAnsi" w:eastAsiaTheme="majorEastAsia" w:hAnsiTheme="majorHAnsi" w:cstheme="majorBidi" w:ascii="DejaVu Sans" w:hAnsi="DejaVu Sans" w:cs="DejaVu Sans" w:eastAsia="DejaVu Sans"/>
      <w:i w:val="0"/>
      <w:iCs/>
      <w:color w:val="000000"/>
      <w:spacing w:val="15"/>
      <w:sz w:val="24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DejaVu Sans" w:hAnsi="DejaVu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DejaVu Sans" w:hAnsi="DejaVu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DejaVu Sans" w:hAnsi="DejaVu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DejaVu Sans" w:hAnsi="DejaVu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DejaVu Sans" w:hAnsi="DejaVu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DejaVu Sans" w:hAnsi="DejaVu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DejaVu Sans" w:hAnsi="DejaVu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DejaVu Sans" w:hAnsi="DejaVu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DejaVu Sans" w:hAnsi="DejaVu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DejaVu Sans" w:hAnsi="DejaVu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DejaVu Sans" w:hAnsi="DejaVu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DejaVu Sans" w:hAnsi="DejaVu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hAnsi="DejaVu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DejaVu Sans" w:hAnsi="DejaVu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74" w:lineRule="auto" w:after="140"/>
    </w:pPr>
    <w:rPr>
      <w:rFonts w:ascii="DejaVu Sans" w:hAnsi="DejaVu Sans" w:cs="DejaVu Sans" w:eastAsia="DejaVu Sans"/>
      <w:b/>
      <w:bCs/>
      <w:color w:val="000000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DejaVu Sans" w:hAnsi="DejaVu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hAnsi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Withdrawal and Academic Failure in OULAD</dc:title>
  <dc:subject>Stakeholder findings and proposed support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