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aps/>
          <w:color w:val="2E86AB"/>
          <w:sz w:val="20"/>
          <w:szCs w:val="20"/>
        </w:rPr>
        <w:t xml:space="preserve">API REFERENCE MAP</w:t>
      </w:r>
    </w:p>
    <w:p>
      <w:pPr>
        <w:spacing w:after="120" w:before="0"/>
        <w:jc w:val="center"/>
      </w:pPr>
      <w:r>
        <w:rPr>
          <w:rFonts w:ascii="Arial" w:cs="Arial" w:eastAsia="Arial" w:hAnsi="Arial"/>
          <w:b/>
          <w:bCs/>
          <w:color w:val="1E3A5F"/>
          <w:sz w:val="48"/>
          <w:szCs w:val="48"/>
        </w:rPr>
        <w:t xml:space="preserve">E-Invoicing Compliance Platform</w:t>
      </w:r>
    </w:p>
    <w:p>
      <w:pPr>
        <w:spacing w:after="400" w:before="0"/>
        <w:jc w:val="center"/>
      </w:pPr>
      <w:r>
        <w:rPr>
          <w:rFonts w:ascii="Arial" w:cs="Arial" w:eastAsia="Arial" w:hAnsi="Arial"/>
          <w:i/>
          <w:iCs/>
          <w:color w:val="555555"/>
          <w:sz w:val="24"/>
          <w:szCs w:val="24"/>
        </w:rPr>
        <w:t xml:space="preserve">All API Endpoints — ETA Egypt  ·  ZATCA Saudi Arabia</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  ETA Egypt</w:t>
            </w:r>
          </w:p>
        </w:tc>
        <w:tc>
          <w:tcPr>
            <w:tcW w:type="dxa" w:w="300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color w:val="1A1A2E"/>
                <w:sz w:val="18"/>
                <w:szCs w:val="18"/>
              </w:rPr>
              <w:t xml:space="preserve">15 Invoice APIs  +  15 Common APIs</w:t>
            </w:r>
          </w:p>
        </w:tc>
      </w:tr>
      <w:tr>
        <w:tc>
          <w:tcPr>
            <w:tcW w:type="dxa" w:w="2000"/>
            <w:tcBorders>
              <w:top w:val="none" w:color="FFFFFF" w:sz="0"/>
              <w:left w:val="none" w:color="FFFFFF" w:sz="0"/>
              <w:bottom w:val="none" w:color="FFFFFF" w:sz="0"/>
              <w:right w:val="none" w:color="FFFFFF" w:sz="0"/>
            </w:tcBorders>
            <w:shd w:fill="1A7A4A"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  ZATCA KSA</w:t>
            </w:r>
          </w:p>
        </w:tc>
        <w:tc>
          <w:tcPr>
            <w:tcW w:type="dxa" w:w="300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color w:val="1A1A2E"/>
                <w:sz w:val="18"/>
                <w:szCs w:val="18"/>
              </w:rPr>
              <w:t xml:space="preserve">3 Onboarding APIs  +  2 Core APIs (per env)</w:t>
            </w:r>
          </w:p>
        </w:tc>
      </w:tr>
      <w:tr>
        <w:tc>
          <w:tcPr>
            <w:tcW w:type="dxa" w:w="200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Version</w:t>
            </w:r>
          </w:p>
        </w:tc>
        <w:tc>
          <w:tcPr>
            <w:tcW w:type="dxa" w:w="300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color w:val="1A1A2E"/>
                <w:sz w:val="18"/>
                <w:szCs w:val="18"/>
              </w:rPr>
              <w:t xml:space="preserve">1.0  —  April 2026</w:t>
            </w:r>
          </w:p>
        </w:tc>
      </w:tr>
    </w:tbl>
    <w:p>
      <w:pPr>
        <w:spacing w:after="200" w:before="0"/>
      </w:pPr>
      <w:r>
        <w:t xml:space="preserve"/>
      </w:r>
    </w:p>
    <w:p>
      <w:r>
        <w:br w:type="page"/>
      </w:r>
    </w:p>
    <w:p>
      <w:pPr>
        <w:pStyle w:val="Heading1"/>
        <w:pBdr>
          <w:bottom w:val="single" w:color="1E3A5F" w:sz="6" w:space="6"/>
        </w:pBdr>
        <w:spacing w:after="200" w:before="480"/>
      </w:pPr>
      <w:r>
        <w:rPr>
          <w:rFonts w:ascii="Arial" w:cs="Arial" w:eastAsia="Arial" w:hAnsi="Arial"/>
          <w:b/>
          <w:bCs/>
          <w:color w:val="1E3A5F"/>
          <w:sz w:val="34"/>
          <w:szCs w:val="34"/>
        </w:rPr>
        <w:t xml:space="preserve">How to Use This Document</w:t>
      </w:r>
    </w:p>
    <w:p>
      <w:pPr>
        <w:spacing w:after="100" w:before="80"/>
      </w:pPr>
      <w:r>
        <w:rPr>
          <w:rFonts w:ascii="Arial" w:cs="Arial" w:eastAsia="Arial" w:hAnsi="Arial"/>
          <w:color w:val="1A1A2E"/>
          <w:sz w:val="19"/>
          <w:szCs w:val="19"/>
        </w:rPr>
        <w:t xml:space="preserve">This document maps every API call the E-Invoicing Platform must make to both tax authorities. It is structured as the implementation reference for the Spring Boot integration modules (platform-eta and platform-zatca). Each API entry includes the HTTP method, exact endpoint path, purpose, and developer notes.</w:t>
      </w:r>
    </w:p>
    <w:p>
      <w:pPr>
        <w:spacing w:after="100" w:before="0"/>
      </w:pPr>
      <w:r>
        <w:t xml:space="preserve"/>
      </w:r>
    </w:p>
    <w:p>
      <w:pPr>
        <w:spacing w:after="100" w:before="80"/>
      </w:pPr>
      <w:r>
        <w:rPr>
          <w:rFonts w:ascii="Arial" w:cs="Arial" w:eastAsia="Arial" w:hAnsi="Arial"/>
          <w:color w:val="1A1A2E"/>
          <w:sz w:val="19"/>
          <w:szCs w:val="19"/>
        </w:rPr>
        <w:t xml:space="preserve">Important note on ZATCA: Unlike ETA, ZATCA does not provide a 'get invoice status' or 'query invoice' API. Once an invoice is submitted, the response to the submission call itself contains the final status (Cleared / Reported / Rejected). The platform must store that response. There is no separate polling call.</w:t>
      </w:r>
    </w:p>
    <w:p>
      <w:pPr>
        <w:spacing w:after="100" w:before="0"/>
      </w:pPr>
      <w:r>
        <w:t xml:space="preserve"/>
      </w:r>
    </w:p>
    <w:p>
      <w:pPr>
        <w:spacing w:after="100" w:before="80"/>
      </w:pPr>
      <w:r>
        <w:rPr>
          <w:rFonts w:ascii="Arial" w:cs="Arial" w:eastAsia="Arial" w:hAnsi="Arial"/>
          <w:color w:val="1A1A2E"/>
          <w:sz w:val="19"/>
          <w:szCs w:val="19"/>
        </w:rPr>
        <w:t xml:space="preserve">Important note on ETA: ETA uses OAuth2 client_credentials tokens that expire and must be refreshed before each session. All invoice APIs require a valid Bearer token in the Authorization header.</w:t>
      </w:r>
    </w:p>
    <w:p>
      <w:pPr>
        <w:spacing w:after="100" w:before="0"/>
      </w:pPr>
      <w:r>
        <w:t xml:space="preserve"/>
      </w:r>
    </w:p>
    <w:p>
      <w:pPr>
        <w:shd w:fill="C0392B" w:val="clear"/>
        <w:spacing w:after="240" w:before="480"/>
      </w:pPr>
      <w:r>
        <w:rPr>
          <w:rFonts w:ascii="Arial" w:cs="Arial" w:eastAsia="Arial" w:hAnsi="Arial"/>
          <w:b/>
          <w:bCs/>
          <w:color w:val="FFFFFF"/>
          <w:sz w:val="28"/>
          <w:szCs w:val="28"/>
        </w:rPr>
        <w:t xml:space="preserve">  SECTION 1 — Egyptian Tax Authority (ETA) APIs  </w:t>
      </w:r>
    </w:p>
    <w:p>
      <w:pPr>
        <w:pStyle w:val="Heading2"/>
        <w:spacing w:after="160" w:before="360"/>
      </w:pPr>
      <w:r>
        <w:rPr>
          <w:rFonts w:ascii="Arial" w:cs="Arial" w:eastAsia="Arial" w:hAnsi="Arial"/>
          <w:b/>
          <w:bCs/>
          <w:color w:val="C0392B"/>
          <w:sz w:val="26"/>
          <w:szCs w:val="26"/>
        </w:rPr>
        <w:t xml:space="preserve">1.1 Base URLs by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7"/>
                <w:szCs w:val="17"/>
              </w:rPr>
              <w:t xml:space="preserve">Environment</w:t>
            </w:r>
          </w:p>
        </w:tc>
        <w:tc>
          <w:tcPr>
            <w:tcW w:type="dxa" w:w="73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7"/>
                <w:szCs w:val="17"/>
              </w:rPr>
              <w:t xml:space="preserve">Base URL</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7"/>
                <w:szCs w:val="17"/>
              </w:rPr>
              <w:t xml:space="preserve">Pre-Production</w:t>
            </w:r>
          </w:p>
        </w:tc>
        <w:tc>
          <w:tcPr>
            <w:tcW w:type="dxa" w:w="7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https://api.preprod.invoicing.eta.gov.eg/api/v1</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7"/>
                <w:szCs w:val="17"/>
              </w:rPr>
              <w:t xml:space="preserve">Production</w:t>
            </w:r>
          </w:p>
        </w:tc>
        <w:tc>
          <w:tcPr>
            <w:tcW w:type="dxa" w:w="7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https://api.invoicing.eta.gov.eg/api/v1</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7"/>
                <w:szCs w:val="17"/>
              </w:rPr>
              <w:t xml:space="preserve">Auth (both)</w:t>
            </w:r>
          </w:p>
        </w:tc>
        <w:tc>
          <w:tcPr>
            <w:tcW w:type="dxa" w:w="7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https://id.preprod.eta.gov.eg/connect/token  /  https://id.eta.gov.eg/connect/token</w:t>
            </w:r>
          </w:p>
        </w:tc>
      </w:tr>
    </w:tbl>
    <w:p>
      <w:pPr>
        <w:spacing w:after="100" w:before="0"/>
      </w:pPr>
      <w:r>
        <w:t xml:space="preserve"/>
      </w:r>
    </w:p>
    <w:p>
      <w:pPr>
        <w:pStyle w:val="Heading2"/>
        <w:spacing w:after="160" w:before="360"/>
      </w:pPr>
      <w:r>
        <w:rPr>
          <w:rFonts w:ascii="Arial" w:cs="Arial" w:eastAsia="Arial" w:hAnsi="Arial"/>
          <w:b/>
          <w:bCs/>
          <w:color w:val="C0392B"/>
          <w:sz w:val="26"/>
          <w:szCs w:val="26"/>
        </w:rPr>
        <w:t xml:space="preserve">1.2 Authentication</w:t>
      </w:r>
    </w:p>
    <w:p>
      <w:pPr>
        <w:spacing w:after="100" w:before="80"/>
      </w:pPr>
      <w:r>
        <w:rPr>
          <w:rFonts w:ascii="Arial" w:cs="Arial" w:eastAsia="Arial" w:hAnsi="Arial"/>
          <w:color w:val="1A1A2E"/>
          <w:sz w:val="19"/>
          <w:szCs w:val="19"/>
        </w:rPr>
        <w:t xml:space="preserve">ETA uses OAuth2 client_credentials grant. The platform must obtain a Bearer token before calling any protected API. Tokens expire — the platform-eta module must check expiry and refresh automatically before each API call.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Endpoint / Path</w:t>
            </w:r>
          </w:p>
        </w:tc>
        <w:tc>
          <w:tcPr>
            <w:tcW w:type="dxa" w:w="2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Purpose</w:t>
            </w:r>
          </w:p>
        </w:tc>
        <w:tc>
          <w:tcPr>
            <w:tcW w:type="dxa" w:w="22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Notes</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/connect/token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access token (OAuth2 client_credentials)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Body: client_id, client_secret, grant_type. Returns: access_token, expires_in. Store token + expiry in memory. Refresh before expiry.</w:t>
            </w:r>
          </w:p>
        </w:tc>
      </w:tr>
    </w:tbl>
    <w:p>
      <w:pPr>
        <w:spacing w:after="100" w:before="0"/>
      </w:pPr>
      <w:r>
        <w:t xml:space="preserve"/>
      </w:r>
    </w:p>
    <w:p>
      <w:pPr>
        <w:pStyle w:val="Heading2"/>
        <w:spacing w:after="160" w:before="360"/>
      </w:pPr>
      <w:r>
        <w:rPr>
          <w:rFonts w:ascii="Arial" w:cs="Arial" w:eastAsia="Arial" w:hAnsi="Arial"/>
          <w:b/>
          <w:bCs/>
          <w:color w:val="C0392B"/>
          <w:sz w:val="26"/>
          <w:szCs w:val="26"/>
        </w:rPr>
        <w:t xml:space="preserve">1.3 Common APIs (Document Types &amp; Codes)</w:t>
      </w:r>
    </w:p>
    <w:p>
      <w:pPr>
        <w:spacing w:after="100" w:before="80"/>
      </w:pPr>
      <w:r>
        <w:rPr>
          <w:rFonts w:ascii="Arial" w:cs="Arial" w:eastAsia="Arial" w:hAnsi="Arial"/>
          <w:color w:val="1A1A2E"/>
          <w:sz w:val="19"/>
          <w:szCs w:val="19"/>
        </w:rPr>
        <w:t xml:space="preserve">These APIs are called once at startup or on-demand to populate dropdowns and validate document structure. They do not require frequent calls — cache results locally.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Endpoint / Path</w:t>
            </w:r>
          </w:p>
        </w:tc>
        <w:tc>
          <w:tcPr>
            <w:tcW w:type="dxa" w:w="2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Purpose</w:t>
            </w:r>
          </w:p>
        </w:tc>
        <w:tc>
          <w:tcPr>
            <w:tcW w:type="dxa" w:w="22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Notes</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/documenttypes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all ETA document types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Returns list of types: Invoice (I), Credit Note (C), Debit Note (D). Cache result.</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/documenttypes/{documentTypeId}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single document type details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Returns type schema and required fields. Use to validate before submission.</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/documenttypes/{id}/versions/{ver}</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document type version schema</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Returns field definitions for that version. Critical for building the invoice serializer.</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/notifications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ERP notifications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Poll for document events: validation results, rejections, cancellations. Use for status sync.</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/codesusage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Create EGS item code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Register a new company-specific item code (EGS code) in the ETA system.</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/codesusage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Search my EGS code requests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List all EGS codes created by the company. Used to verify code registration status.</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/codesusage/requests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Request code reuse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Request reuse of an existing code for a new product mapping.</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/codes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Search published codes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Search EGS and GS1 published item codes. Use in item catalogue lookup.</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/codes/{itemCode}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code details by item code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Retrieve published code details for a specific item code.</w:t>
            </w:r>
          </w:p>
        </w:tc>
      </w:tr>
      <w:tr>
        <w:tc>
          <w:tcPr>
            <w:tcW w:type="dxa" w:w="900"/>
            <w:tcBorders>
              <w:top w:val="single" w:color="CCCCCC" w:sz="1"/>
              <w:left w:val="single" w:color="CCCCCC" w:sz="1"/>
              <w:bottom w:val="single" w:color="CCCCCC" w:sz="1"/>
              <w:right w:val="single" w:color="CCCCCC" w:sz="1"/>
            </w:tcBorders>
            <w:shd w:fill="FFF3CD" w:val="clear"/>
            <w:tcMar>
              <w:top w:type="dxa" w:w="90"/>
              <w:left w:type="dxa" w:w="140"/>
              <w:bottom w:type="dxa" w:w="90"/>
              <w:right w:type="dxa" w:w="140"/>
            </w:tcMar>
          </w:tcPr>
          <w:p>
            <w:r>
              <w:rPr>
                <w:rFonts w:ascii="Arial" w:cs="Arial" w:eastAsia="Arial" w:hAnsi="Arial"/>
                <w:b/>
                <w:bCs/>
                <w:color w:val="856404"/>
                <w:sz w:val="15"/>
                <w:szCs w:val="15"/>
              </w:rPr>
              <w:t xml:space="preserve">PUT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/codesusage/{id}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Update EGS code usage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Update metadata of an existing EGS code registration.</w:t>
            </w:r>
          </w:p>
        </w:tc>
      </w:tr>
      <w:tr>
        <w:tc>
          <w:tcPr>
            <w:tcW w:type="dxa" w:w="900"/>
            <w:tcBorders>
              <w:top w:val="single" w:color="CCCCCC" w:sz="1"/>
              <w:left w:val="single" w:color="CCCCCC" w:sz="1"/>
              <w:bottom w:val="single" w:color="CCCCCC" w:sz="1"/>
              <w:right w:val="single" w:color="CCCCCC" w:sz="1"/>
            </w:tcBorders>
            <w:shd w:fill="FFF3CD" w:val="clear"/>
            <w:tcMar>
              <w:top w:type="dxa" w:w="90"/>
              <w:left w:type="dxa" w:w="140"/>
              <w:bottom w:type="dxa" w:w="90"/>
              <w:right w:type="dxa" w:w="140"/>
            </w:tcMar>
          </w:tcPr>
          <w:p>
            <w:r>
              <w:rPr>
                <w:rFonts w:ascii="Arial" w:cs="Arial" w:eastAsia="Arial" w:hAnsi="Arial"/>
                <w:b/>
                <w:bCs/>
                <w:color w:val="856404"/>
                <w:sz w:val="15"/>
                <w:szCs w:val="15"/>
              </w:rPr>
              <w:t xml:space="preserve">PUT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/codes/{itemCode}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Update published code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Update a published item code (Admin function).</w:t>
            </w:r>
          </w:p>
        </w:tc>
      </w:tr>
    </w:tbl>
    <w:p>
      <w:pPr>
        <w:spacing w:after="100" w:before="0"/>
      </w:pPr>
      <w:r>
        <w:t xml:space="preserve"/>
      </w:r>
    </w:p>
    <w:p>
      <w:pPr>
        <w:pStyle w:val="Heading2"/>
        <w:spacing w:after="160" w:before="360"/>
      </w:pPr>
      <w:r>
        <w:rPr>
          <w:rFonts w:ascii="Arial" w:cs="Arial" w:eastAsia="Arial" w:hAnsi="Arial"/>
          <w:b/>
          <w:bCs/>
          <w:color w:val="C0392B"/>
          <w:sz w:val="26"/>
          <w:szCs w:val="26"/>
        </w:rPr>
        <w:t xml:space="preserve">1.4 eInvoicing Core APIs</w:t>
      </w:r>
    </w:p>
    <w:p>
      <w:pPr>
        <w:spacing w:after="100" w:before="80"/>
      </w:pPr>
      <w:r>
        <w:rPr>
          <w:rFonts w:ascii="Arial" w:cs="Arial" w:eastAsia="Arial" w:hAnsi="Arial"/>
          <w:color w:val="1A1A2E"/>
          <w:sz w:val="19"/>
          <w:szCs w:val="19"/>
        </w:rPr>
        <w:t xml:space="preserve">These are the primary APIs the platform calls during invoice lifecycle management. Every invoice submission, cancellation, rejection, and retrieval goes through these endpoints.</w:t>
      </w:r>
    </w:p>
    <w:p>
      <w:pPr>
        <w:spacing w:after="100" w:before="0"/>
      </w:pPr>
      <w:r>
        <w:t xml:space="preserve"/>
      </w:r>
    </w:p>
    <w:p>
      <w:pPr>
        <w:pStyle w:val="Heading3"/>
        <w:spacing w:after="120" w:before="240"/>
      </w:pPr>
      <w:r>
        <w:rPr>
          <w:rFonts w:ascii="Arial" w:cs="Arial" w:eastAsia="Arial" w:hAnsi="Arial"/>
          <w:b/>
          <w:bCs/>
          <w:color w:val="555555"/>
          <w:sz w:val="21"/>
          <w:szCs w:val="21"/>
        </w:rPr>
        <w:t xml:space="preserve">1.4.1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Endpoint / Path</w:t>
            </w:r>
          </w:p>
        </w:tc>
        <w:tc>
          <w:tcPr>
            <w:tcW w:type="dxa" w:w="2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Purpose</w:t>
            </w:r>
          </w:p>
        </w:tc>
        <w:tc>
          <w:tcPr>
            <w:tcW w:type="dxa" w:w="22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Notes</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/documentsubmissions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Submit one or more signed invoices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Body: { documents: [...] } — max 100 docs per batch. Each document must be serialized to ETA JSON format and digitally signed (CAdES-BES). Returns: submissionId, accepted/rejected per doc.</w:t>
            </w:r>
          </w:p>
        </w:tc>
      </w:tr>
    </w:tbl>
    <w:p>
      <w:pPr>
        <w:spacing w:after="100" w:before="0"/>
      </w:pPr>
      <w:r>
        <w:t xml:space="preserve"/>
      </w:r>
    </w:p>
    <w:p>
      <w:pPr>
        <w:pStyle w:val="Heading3"/>
        <w:spacing w:after="120" w:before="240"/>
      </w:pPr>
      <w:r>
        <w:rPr>
          <w:rFonts w:ascii="Arial" w:cs="Arial" w:eastAsia="Arial" w:hAnsi="Arial"/>
          <w:b/>
          <w:bCs/>
          <w:color w:val="555555"/>
          <w:sz w:val="21"/>
          <w:szCs w:val="21"/>
        </w:rPr>
        <w:t xml:space="preserve">1.4.2 Post-Submission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Endpoint / Path</w:t>
            </w:r>
          </w:p>
        </w:tc>
        <w:tc>
          <w:tcPr>
            <w:tcW w:type="dxa" w:w="2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Purpose</w:t>
            </w:r>
          </w:p>
        </w:tc>
        <w:tc>
          <w:tcPr>
            <w:tcW w:type="dxa" w:w="22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Notes</w:t>
            </w:r>
          </w:p>
        </w:tc>
      </w:tr>
      <w:tr>
        <w:tc>
          <w:tcPr>
            <w:tcW w:type="dxa" w:w="900"/>
            <w:tcBorders>
              <w:top w:val="single" w:color="CCCCCC" w:sz="1"/>
              <w:left w:val="single" w:color="CCCCCC" w:sz="1"/>
              <w:bottom w:val="single" w:color="CCCCCC" w:sz="1"/>
              <w:right w:val="single" w:color="CCCCCC" w:sz="1"/>
            </w:tcBorders>
            <w:shd w:fill="FFF3CD" w:val="clear"/>
            <w:tcMar>
              <w:top w:type="dxa" w:w="90"/>
              <w:left w:type="dxa" w:w="140"/>
              <w:bottom w:type="dxa" w:w="90"/>
              <w:right w:type="dxa" w:w="140"/>
            </w:tcMar>
          </w:tcPr>
          <w:p>
            <w:r>
              <w:rPr>
                <w:rFonts w:ascii="Arial" w:cs="Arial" w:eastAsia="Arial" w:hAnsi="Arial"/>
                <w:b/>
                <w:bCs/>
                <w:color w:val="856404"/>
                <w:sz w:val="15"/>
                <w:szCs w:val="15"/>
              </w:rPr>
              <w:t xml:space="preserve">PUT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/documents/{documentId}/state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Cancel a document</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Issuer cancels their own document. Body: { status: 'cancelled', reason: '...' }. Only allowed before buyer action.</w:t>
            </w:r>
          </w:p>
        </w:tc>
      </w:tr>
      <w:tr>
        <w:tc>
          <w:tcPr>
            <w:tcW w:type="dxa" w:w="900"/>
            <w:tcBorders>
              <w:top w:val="single" w:color="CCCCCC" w:sz="1"/>
              <w:left w:val="single" w:color="CCCCCC" w:sz="1"/>
              <w:bottom w:val="single" w:color="CCCCCC" w:sz="1"/>
              <w:right w:val="single" w:color="CCCCCC" w:sz="1"/>
            </w:tcBorders>
            <w:shd w:fill="FFF3CD" w:val="clear"/>
            <w:tcMar>
              <w:top w:type="dxa" w:w="90"/>
              <w:left w:type="dxa" w:w="140"/>
              <w:bottom w:type="dxa" w:w="90"/>
              <w:right w:type="dxa" w:w="140"/>
            </w:tcMar>
          </w:tcPr>
          <w:p>
            <w:r>
              <w:rPr>
                <w:rFonts w:ascii="Arial" w:cs="Arial" w:eastAsia="Arial" w:hAnsi="Arial"/>
                <w:b/>
                <w:bCs/>
                <w:color w:val="856404"/>
                <w:sz w:val="15"/>
                <w:szCs w:val="15"/>
              </w:rPr>
              <w:t xml:space="preserve">PUT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/documents/{documentId}/state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Reject a document</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Buyer rejects received document. Body: { status: 'rejected', reason: '...' }. Only valid for received docs.</w:t>
            </w:r>
          </w:p>
        </w:tc>
      </w:tr>
      <w:tr>
        <w:tc>
          <w:tcPr>
            <w:tcW w:type="dxa" w:w="900"/>
            <w:tcBorders>
              <w:top w:val="single" w:color="CCCCCC" w:sz="1"/>
              <w:left w:val="single" w:color="CCCCCC" w:sz="1"/>
              <w:bottom w:val="single" w:color="CCCCCC" w:sz="1"/>
              <w:right w:val="single" w:color="CCCCCC" w:sz="1"/>
            </w:tcBorders>
            <w:shd w:fill="F8D7DA" w:val="clear"/>
            <w:tcMar>
              <w:top w:type="dxa" w:w="90"/>
              <w:left w:type="dxa" w:w="140"/>
              <w:bottom w:type="dxa" w:w="90"/>
              <w:right w:type="dxa" w:w="140"/>
            </w:tcMar>
          </w:tcPr>
          <w:p>
            <w:r>
              <w:rPr>
                <w:rFonts w:ascii="Arial" w:cs="Arial" w:eastAsia="Arial" w:hAnsi="Arial"/>
                <w:b/>
                <w:bCs/>
                <w:color w:val="721C24"/>
                <w:sz w:val="15"/>
                <w:szCs w:val="15"/>
              </w:rPr>
              <w:t xml:space="preserve">DELETE</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/documents/{documentId}/cancellations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Decline a cancellation</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Buyer declines issuer's cancellation request. Document returns to valid state.</w:t>
            </w:r>
          </w:p>
        </w:tc>
      </w:tr>
      <w:tr>
        <w:tc>
          <w:tcPr>
            <w:tcW w:type="dxa" w:w="900"/>
            <w:tcBorders>
              <w:top w:val="single" w:color="CCCCCC" w:sz="1"/>
              <w:left w:val="single" w:color="CCCCCC" w:sz="1"/>
              <w:bottom w:val="single" w:color="CCCCCC" w:sz="1"/>
              <w:right w:val="single" w:color="CCCCCC" w:sz="1"/>
            </w:tcBorders>
            <w:shd w:fill="F8D7DA" w:val="clear"/>
            <w:tcMar>
              <w:top w:type="dxa" w:w="90"/>
              <w:left w:type="dxa" w:w="140"/>
              <w:bottom w:type="dxa" w:w="90"/>
              <w:right w:type="dxa" w:w="140"/>
            </w:tcMar>
          </w:tcPr>
          <w:p>
            <w:r>
              <w:rPr>
                <w:rFonts w:ascii="Arial" w:cs="Arial" w:eastAsia="Arial" w:hAnsi="Arial"/>
                <w:b/>
                <w:bCs/>
                <w:color w:val="721C24"/>
                <w:sz w:val="15"/>
                <w:szCs w:val="15"/>
              </w:rPr>
              <w:t xml:space="preserve">DELETE</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/documents/{documentId}/rejections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Decline a rejection</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Issuer declines buyer's rejection. Document stays valid.</w:t>
            </w:r>
          </w:p>
        </w:tc>
      </w:tr>
    </w:tbl>
    <w:p>
      <w:pPr>
        <w:spacing w:after="100" w:before="0"/>
      </w:pPr>
      <w:r>
        <w:t xml:space="preserve"/>
      </w:r>
    </w:p>
    <w:p>
      <w:pPr>
        <w:pStyle w:val="Heading3"/>
        <w:spacing w:after="120" w:before="240"/>
      </w:pPr>
      <w:r>
        <w:rPr>
          <w:rFonts w:ascii="Arial" w:cs="Arial" w:eastAsia="Arial" w:hAnsi="Arial"/>
          <w:b/>
          <w:bCs/>
          <w:color w:val="555555"/>
          <w:sz w:val="21"/>
          <w:szCs w:val="21"/>
        </w:rPr>
        <w:t xml:space="preserve">1.4.3 Retrieval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Endpoint / Path</w:t>
            </w:r>
          </w:p>
        </w:tc>
        <w:tc>
          <w:tcPr>
            <w:tcW w:type="dxa" w:w="2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Purpose</w:t>
            </w:r>
          </w:p>
        </w:tc>
        <w:tc>
          <w:tcPr>
            <w:tcW w:type="dxa" w:w="22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Notes</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/documents/recent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recent documents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Returns latest sent/received docs. Query params: pageSize, pageNo, direction (sent/received).</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/documents/search</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Search documents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Filter by: dateFrom, dateTo, documentType, status, receiverEtin, issuerId, etc. Returns paged results.</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/documents/{documentId}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single document</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Returns document source XML/JSON with ETA-added metadata (UUID, submission date, status).</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/documents/{documentId}/details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document details + validation</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Full details including all validation messages, errors, warnings. Use to show rejection reason in UI.</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/documentsubmissions/{submissionId}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submission result</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Returns status of all documents in a single submission batch. Use immediately after POST submit.</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/documents/{documentId}/pdf</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ETA-generated PDF printout</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Downloads ETA's official PDF of the invoice. Can be shown alongside our own generated PDF.</w:t>
            </w:r>
          </w:p>
        </w:tc>
      </w:tr>
    </w:tbl>
    <w:p>
      <w:pPr>
        <w:spacing w:after="100" w:before="0"/>
      </w:pPr>
      <w:r>
        <w:t xml:space="preserve"/>
      </w:r>
    </w:p>
    <w:p>
      <w:pPr>
        <w:pStyle w:val="Heading3"/>
        <w:spacing w:after="120" w:before="240"/>
      </w:pPr>
      <w:r>
        <w:rPr>
          <w:rFonts w:ascii="Arial" w:cs="Arial" w:eastAsia="Arial" w:hAnsi="Arial"/>
          <w:b/>
          <w:bCs/>
          <w:color w:val="555555"/>
          <w:sz w:val="21"/>
          <w:szCs w:val="21"/>
        </w:rPr>
        <w:t xml:space="preserve">1.4.4 Bulk Package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Endpoint / Path</w:t>
            </w:r>
          </w:p>
        </w:tc>
        <w:tc>
          <w:tcPr>
            <w:tcW w:type="dxa" w:w="2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Purpose</w:t>
            </w:r>
          </w:p>
        </w:tc>
        <w:tc>
          <w:tcPr>
            <w:tcW w:type="dxa" w:w="22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Notes</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/documentpackages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Request a bulk document package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Request download of large sets of documents. Returns packageId. Async — check status before download.</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/documentpackages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package request status list</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List all previous package requests and their status (processing / ready / expired).</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/documentpackages/{packageId}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Download ready package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Download compressed XML/JSON archive of the document package. Only works when status = ready.</w:t>
            </w:r>
          </w:p>
        </w:tc>
      </w:tr>
    </w:tbl>
    <w:p>
      <w:pPr>
        <w:spacing w:after="100" w:before="0"/>
      </w:pPr>
      <w:r>
        <w:t xml:space="preserve"/>
      </w:r>
    </w:p>
    <w:p>
      <w:pPr>
        <w:pStyle w:val="Heading3"/>
        <w:spacing w:after="120" w:before="240"/>
      </w:pPr>
      <w:r>
        <w:rPr>
          <w:rFonts w:ascii="Arial" w:cs="Arial" w:eastAsia="Arial" w:hAnsi="Arial"/>
          <w:b/>
          <w:bCs/>
          <w:color w:val="555555"/>
          <w:sz w:val="21"/>
          <w:szCs w:val="21"/>
        </w:rPr>
        <w:t xml:space="preserve">1.4.5 ERP Webhook Endpoints (Exposed by Our Platform)</w:t>
      </w:r>
    </w:p>
    <w:p>
      <w:pPr>
        <w:spacing w:after="100" w:before="80"/>
      </w:pPr>
      <w:r>
        <w:rPr>
          <w:rFonts w:ascii="Arial" w:cs="Arial" w:eastAsia="Arial" w:hAnsi="Arial"/>
          <w:color w:val="1A1A2E"/>
          <w:sz w:val="19"/>
          <w:szCs w:val="19"/>
        </w:rPr>
        <w:t xml:space="preserve">These two endpoints must be implemented BY our Spring Boot application and registered with ETA so ETA can push notifications to us in real time. They are not calls we make — they are calls ETA makes to us.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Endpoint / Path</w:t>
            </w:r>
          </w:p>
        </w:tc>
        <w:tc>
          <w:tcPr>
            <w:tcW w:type="dxa" w:w="2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Purpose</w:t>
            </w:r>
          </w:p>
        </w:tc>
        <w:tc>
          <w:tcPr>
            <w:tcW w:type="dxa" w:w="22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Notes</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/our-server/eta/notifications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Receive document event notifications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ETA POSTs to this URL on: validation result, rejection, cancellation. Platform must process and update invoice status in DB.</w:t>
            </w:r>
          </w:p>
        </w:tc>
      </w:tr>
      <w:tr>
        <w:tc>
          <w:tcPr>
            <w:tcW w:type="dxa" w:w="900"/>
            <w:tcBorders>
              <w:top w:val="single" w:color="CCCCCC" w:sz="1"/>
              <w:left w:val="single" w:color="CCCCCC" w:sz="1"/>
              <w:bottom w:val="single" w:color="CCCCCC" w:sz="1"/>
              <w:right w:val="single" w:color="CCCCCC" w:sz="1"/>
            </w:tcBorders>
            <w:shd w:fill="D1ECF1" w:val="clear"/>
            <w:tcMar>
              <w:top w:type="dxa" w:w="90"/>
              <w:left w:type="dxa" w:w="140"/>
              <w:bottom w:type="dxa" w:w="90"/>
              <w:right w:type="dxa" w:w="140"/>
            </w:tcMar>
          </w:tcPr>
          <w:p>
            <w:r>
              <w:rPr>
                <w:rFonts w:ascii="Arial" w:cs="Arial" w:eastAsia="Arial" w:hAnsi="Arial"/>
                <w:b/>
                <w:bCs/>
                <w:color w:val="0C5460"/>
                <w:sz w:val="15"/>
                <w:szCs w:val="15"/>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/our-server/eta/ping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ETA health check (ping)</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ETA pings this endpoint to verify our webhook URL is accessible. Must return HTTP 200.</w:t>
            </w:r>
          </w:p>
        </w:tc>
      </w:tr>
    </w:tbl>
    <w:p>
      <w:pPr>
        <w:spacing w:after="100" w:before="0"/>
      </w:pPr>
      <w:r>
        <w:t xml:space="preserve"/>
      </w:r>
    </w:p>
    <w:p>
      <w:pPr>
        <w:pStyle w:val="Heading2"/>
        <w:spacing w:after="160" w:before="360"/>
      </w:pPr>
      <w:r>
        <w:rPr>
          <w:rFonts w:ascii="Arial" w:cs="Arial" w:eastAsia="Arial" w:hAnsi="Arial"/>
          <w:b/>
          <w:bCs/>
          <w:color w:val="C0392B"/>
          <w:sz w:val="26"/>
          <w:szCs w:val="26"/>
        </w:rPr>
        <w:t xml:space="preserve">1.5 ETA API — Spring Boot Implementation Notes</w:t>
      </w:r>
    </w:p>
    <w:p>
      <w:pPr>
        <w:pStyle w:val="ListParagraph"/>
        <w:numPr>
          <w:ilvl w:val="0"/>
          <w:numId w:val="2"/>
        </w:numPr>
        <w:spacing w:after="50" w:before="50"/>
      </w:pPr>
      <w:r>
        <w:rPr>
          <w:rFonts w:ascii="Arial" w:cs="Arial" w:eastAsia="Arial" w:hAnsi="Arial"/>
          <w:color w:val="1A1A2E"/>
          <w:sz w:val="19"/>
          <w:szCs w:val="19"/>
        </w:rPr>
        <w:t xml:space="preserve">Token Manager: implement a singleton EtaTokenManager bean that holds the current access_token and its expiry. Before every API call, check if token is within 60 seconds of expiry — if so, refresh first.</w:t>
      </w:r>
    </w:p>
    <w:p>
      <w:pPr>
        <w:pStyle w:val="ListParagraph"/>
        <w:numPr>
          <w:ilvl w:val="0"/>
          <w:numId w:val="2"/>
        </w:numPr>
        <w:spacing w:after="50" w:before="50"/>
      </w:pPr>
      <w:r>
        <w:rPr>
          <w:rFonts w:ascii="Arial" w:cs="Arial" w:eastAsia="Arial" w:hAnsi="Arial"/>
          <w:color w:val="1A1A2E"/>
          <w:sz w:val="19"/>
          <w:szCs w:val="19"/>
        </w:rPr>
        <w:t xml:space="preserve">HTTP Client: use Spring's RestTemplate or WebClient. Set Authorization: Bearer {token} header on every request.</w:t>
      </w:r>
    </w:p>
    <w:p>
      <w:pPr>
        <w:pStyle w:val="ListParagraph"/>
        <w:numPr>
          <w:ilvl w:val="0"/>
          <w:numId w:val="2"/>
        </w:numPr>
        <w:spacing w:after="50" w:before="50"/>
      </w:pPr>
      <w:r>
        <w:rPr>
          <w:rFonts w:ascii="Arial" w:cs="Arial" w:eastAsia="Arial" w:hAnsi="Arial"/>
          <w:color w:val="1A1A2E"/>
          <w:sz w:val="19"/>
          <w:szCs w:val="19"/>
        </w:rPr>
        <w:t xml:space="preserve">Serialization: ETA requires a specific JSON schema per document type version. Build an EtaInvoiceSerializer service that maps the platform Invoice entity to ETA's JSON structure.</w:t>
      </w:r>
    </w:p>
    <w:p>
      <w:pPr>
        <w:pStyle w:val="ListParagraph"/>
        <w:numPr>
          <w:ilvl w:val="0"/>
          <w:numId w:val="2"/>
        </w:numPr>
        <w:spacing w:after="50" w:before="50"/>
      </w:pPr>
      <w:r>
        <w:rPr>
          <w:rFonts w:ascii="Arial" w:cs="Arial" w:eastAsia="Arial" w:hAnsi="Arial"/>
          <w:color w:val="1A1A2E"/>
          <w:sz w:val="19"/>
          <w:szCs w:val="19"/>
        </w:rPr>
        <w:t xml:space="preserve">Digital Signing: ETA requires CAdES-BES signature. Use BouncyCastle. The company's certificate (stored encrypted in DB) must be loaded and used to sign the serialized JSON before submission.</w:t>
      </w:r>
    </w:p>
    <w:p>
      <w:pPr>
        <w:pStyle w:val="ListParagraph"/>
        <w:numPr>
          <w:ilvl w:val="0"/>
          <w:numId w:val="2"/>
        </w:numPr>
        <w:spacing w:after="50" w:before="50"/>
      </w:pPr>
      <w:r>
        <w:rPr>
          <w:rFonts w:ascii="Arial" w:cs="Arial" w:eastAsia="Arial" w:hAnsi="Arial"/>
          <w:color w:val="1A1A2E"/>
          <w:sz w:val="19"/>
          <w:szCs w:val="19"/>
        </w:rPr>
        <w:t xml:space="preserve">Webhook Registration: the platform must expose the two ERP endpoints above and register their public URL with ETA during company configuration. Add an /eta/ping controller to our API.</w:t>
      </w:r>
    </w:p>
    <w:p>
      <w:pPr>
        <w:pStyle w:val="ListParagraph"/>
        <w:numPr>
          <w:ilvl w:val="0"/>
          <w:numId w:val="2"/>
        </w:numPr>
        <w:spacing w:after="50" w:before="50"/>
      </w:pPr>
      <w:r>
        <w:rPr>
          <w:rFonts w:ascii="Arial" w:cs="Arial" w:eastAsia="Arial" w:hAnsi="Arial"/>
          <w:color w:val="1A1A2E"/>
          <w:sz w:val="19"/>
          <w:szCs w:val="19"/>
        </w:rPr>
        <w:t xml:space="preserve">Rate Limiting: ETA enforces rate limits per taxpayer ID. Implement exponential backoff retry on HTTP 429 responses. Log every retry attempt.</w:t>
      </w:r>
    </w:p>
    <w:p>
      <w:pPr>
        <w:spacing w:after="100" w:before="0"/>
      </w:pPr>
      <w:r>
        <w:t xml:space="preserve"/>
      </w:r>
    </w:p>
    <w:p>
      <w:r>
        <w:br w:type="page"/>
      </w:r>
    </w:p>
    <w:p>
      <w:pPr>
        <w:shd w:fill="1A7A4A" w:val="clear"/>
        <w:spacing w:after="240" w:before="480"/>
      </w:pPr>
      <w:r>
        <w:rPr>
          <w:rFonts w:ascii="Arial" w:cs="Arial" w:eastAsia="Arial" w:hAnsi="Arial"/>
          <w:b/>
          <w:bCs/>
          <w:color w:val="FFFFFF"/>
          <w:sz w:val="28"/>
          <w:szCs w:val="28"/>
        </w:rPr>
        <w:t xml:space="preserve">  SECTION 2 — ZATCA Saudi Arabia (Fatoora) APIs  </w:t>
      </w:r>
    </w:p>
    <w:p>
      <w:pPr>
        <w:pStyle w:val="Heading2"/>
        <w:spacing w:after="160" w:before="360"/>
      </w:pPr>
      <w:r>
        <w:rPr>
          <w:rFonts w:ascii="Arial" w:cs="Arial" w:eastAsia="Arial" w:hAnsi="Arial"/>
          <w:b/>
          <w:bCs/>
          <w:color w:val="1A7A4A"/>
          <w:sz w:val="26"/>
          <w:szCs w:val="26"/>
        </w:rPr>
        <w:t xml:space="preserve">2.1 Base URLs by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7"/>
                <w:szCs w:val="17"/>
              </w:rPr>
              <w:t xml:space="preserve">Environment</w:t>
            </w:r>
          </w:p>
        </w:tc>
        <w:tc>
          <w:tcPr>
            <w:tcW w:type="dxa" w:w="73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7"/>
                <w:szCs w:val="17"/>
              </w:rPr>
              <w:t xml:space="preserve">Base URL</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7"/>
                <w:szCs w:val="17"/>
              </w:rPr>
              <w:t xml:space="preserve">Sandbox (Dev)</w:t>
            </w:r>
          </w:p>
        </w:tc>
        <w:tc>
          <w:tcPr>
            <w:tcW w:type="dxa" w:w="7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https://gw-fatoora.zatca.gov.sa/e-invoicing/developer-portal</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7"/>
                <w:szCs w:val="17"/>
              </w:rPr>
              <w:t xml:space="preserve">Simulation (Pre-Prod)</w:t>
            </w:r>
          </w:p>
        </w:tc>
        <w:tc>
          <w:tcPr>
            <w:tcW w:type="dxa" w:w="7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https://gw-fatoora.zatca.gov.sa/e-invoicing/simulation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7"/>
                <w:szCs w:val="17"/>
              </w:rPr>
              <w:t xml:space="preserve">Production</w:t>
            </w:r>
          </w:p>
        </w:tc>
        <w:tc>
          <w:tcPr>
            <w:tcW w:type="dxa" w:w="7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https://gw-fatoora.zatca.gov.sa/e-invoicing/core</w:t>
            </w:r>
          </w:p>
        </w:tc>
      </w:tr>
    </w:tbl>
    <w:p>
      <w:pPr>
        <w:spacing w:after="100" w:before="0"/>
      </w:pPr>
      <w:r>
        <w:t xml:space="preserve"/>
      </w:r>
    </w:p>
    <w:p>
      <w:pPr>
        <w:spacing w:after="100" w:before="80"/>
      </w:pPr>
      <w:r>
        <w:rPr>
          <w:rFonts w:ascii="Arial" w:cs="Arial" w:eastAsia="Arial" w:hAnsi="Arial"/>
          <w:color w:val="1A1A2E"/>
          <w:sz w:val="19"/>
          <w:szCs w:val="19"/>
        </w:rPr>
        <w:t xml:space="preserve">IMPORTANT: All three environments share the same endpoint paths. Only the base URL changes. The platform must store the selected environment per branch and route all API calls to the correct base URL accordingly.</w:t>
      </w:r>
    </w:p>
    <w:p>
      <w:pPr>
        <w:spacing w:after="100" w:before="0"/>
      </w:pPr>
      <w:r>
        <w:t xml:space="preserve"/>
      </w:r>
    </w:p>
    <w:p>
      <w:pPr>
        <w:pStyle w:val="Heading2"/>
        <w:spacing w:after="160" w:before="360"/>
      </w:pPr>
      <w:r>
        <w:rPr>
          <w:rFonts w:ascii="Arial" w:cs="Arial" w:eastAsia="Arial" w:hAnsi="Arial"/>
          <w:b/>
          <w:bCs/>
          <w:color w:val="1A7A4A"/>
          <w:sz w:val="26"/>
          <w:szCs w:val="26"/>
        </w:rPr>
        <w:t xml:space="preserve">2.2 Authentication</w:t>
      </w:r>
    </w:p>
    <w:p>
      <w:pPr>
        <w:spacing w:after="100" w:before="80"/>
      </w:pPr>
      <w:r>
        <w:rPr>
          <w:rFonts w:ascii="Arial" w:cs="Arial" w:eastAsia="Arial" w:hAnsi="Arial"/>
          <w:color w:val="1A1A2E"/>
          <w:sz w:val="19"/>
          <w:szCs w:val="19"/>
        </w:rPr>
        <w:t xml:space="preserve">ZATCA does NOT use OAuth2 tokens. Authentication is CSID-based HTTP Basic Auth. Every request must include an Authorization header with the format:</w:t>
      </w:r>
    </w:p>
    <w:p>
      <w:pPr>
        <w:spacing w:after="100" w:before="0"/>
      </w:pPr>
      <w:r>
        <w:t xml:space="preserve"/>
      </w:r>
    </w:p>
    <w:p>
      <w:pPr>
        <w:shd w:fill="F5F5F5" w:val="clear"/>
        <w:spacing w:after="100" w:before="60"/>
      </w:pPr>
      <w:r>
        <w:rPr>
          <w:rFonts w:ascii="Courier New" w:cs="Courier New" w:eastAsia="Courier New" w:hAnsi="Courier New"/>
          <w:color w:val="1E3A5F"/>
          <w:sz w:val="18"/>
          <w:szCs w:val="18"/>
        </w:rPr>
        <w:t xml:space="preserve">  Authorization: Basic Base64(CSID:PrivateKey)  </w:t>
      </w:r>
    </w:p>
    <w:p>
      <w:pPr>
        <w:spacing w:after="100" w:before="0"/>
      </w:pPr>
      <w:r>
        <w:t xml:space="preserve"/>
      </w:r>
    </w:p>
    <w:p>
      <w:pPr>
        <w:spacing w:after="100" w:before="80"/>
      </w:pPr>
      <w:r>
        <w:rPr>
          <w:rFonts w:ascii="Arial" w:cs="Arial" w:eastAsia="Arial" w:hAnsi="Arial"/>
          <w:color w:val="1A1A2E"/>
          <w:sz w:val="19"/>
          <w:szCs w:val="19"/>
        </w:rPr>
        <w:t xml:space="preserve">The CSID (Cryptographic Stamp ID) and private key are stored encrypted in the authority_configs table. The Spring Boot service decrypts them, encodes to Base64, and sets the header on each request. There is no token expiry to manage — only certificate expiry (CSID expiry date, alerted 30 days in advance).</w:t>
      </w:r>
    </w:p>
    <w:p>
      <w:pPr>
        <w:spacing w:after="100" w:before="0"/>
      </w:pPr>
      <w:r>
        <w:t xml:space="preserve"/>
      </w:r>
    </w:p>
    <w:p>
      <w:pPr>
        <w:spacing w:after="100" w:before="80"/>
      </w:pPr>
      <w:r>
        <w:rPr>
          <w:rFonts w:ascii="Arial" w:cs="Arial" w:eastAsia="Arial" w:hAnsi="Arial"/>
          <w:color w:val="1A1A2E"/>
          <w:sz w:val="19"/>
          <w:szCs w:val="19"/>
        </w:rPr>
        <w:t xml:space="preserve">Additionally, every request requires these headers:</w:t>
      </w:r>
    </w:p>
    <w:p>
      <w:pPr>
        <w:pStyle w:val="ListParagraph"/>
        <w:numPr>
          <w:ilvl w:val="0"/>
          <w:numId w:val="2"/>
        </w:numPr>
        <w:spacing w:after="50" w:before="50"/>
      </w:pPr>
      <w:r>
        <w:rPr>
          <w:rFonts w:ascii="Arial" w:cs="Arial" w:eastAsia="Arial" w:hAnsi="Arial"/>
          <w:color w:val="1A1A2E"/>
          <w:sz w:val="19"/>
          <w:szCs w:val="19"/>
        </w:rPr>
        <w:t xml:space="preserve">Accept-Language: ar / en  (controls language of ZATCA error messages)</w:t>
      </w:r>
    </w:p>
    <w:p>
      <w:pPr>
        <w:pStyle w:val="ListParagraph"/>
        <w:numPr>
          <w:ilvl w:val="0"/>
          <w:numId w:val="2"/>
        </w:numPr>
        <w:spacing w:after="50" w:before="50"/>
      </w:pPr>
      <w:r>
        <w:rPr>
          <w:rFonts w:ascii="Arial" w:cs="Arial" w:eastAsia="Arial" w:hAnsi="Arial"/>
          <w:color w:val="1A1A2E"/>
          <w:sz w:val="19"/>
          <w:szCs w:val="19"/>
        </w:rPr>
        <w:t xml:space="preserve">Accept-Version: V2  (required by ZATCA — specifies API version)</w:t>
      </w:r>
    </w:p>
    <w:p>
      <w:pPr>
        <w:pStyle w:val="ListParagraph"/>
        <w:numPr>
          <w:ilvl w:val="0"/>
          <w:numId w:val="2"/>
        </w:numPr>
        <w:spacing w:after="50" w:before="50"/>
      </w:pPr>
      <w:r>
        <w:rPr>
          <w:rFonts w:ascii="Arial" w:cs="Arial" w:eastAsia="Arial" w:hAnsi="Arial"/>
          <w:color w:val="1A1A2E"/>
          <w:sz w:val="19"/>
          <w:szCs w:val="19"/>
        </w:rPr>
        <w:t xml:space="preserve">Content-Type: application/json</w:t>
      </w:r>
    </w:p>
    <w:p>
      <w:pPr>
        <w:spacing w:after="100" w:before="0"/>
      </w:pPr>
      <w:r>
        <w:t xml:space="preserve"/>
      </w:r>
    </w:p>
    <w:p>
      <w:pPr>
        <w:pStyle w:val="Heading2"/>
        <w:spacing w:after="160" w:before="360"/>
      </w:pPr>
      <w:r>
        <w:rPr>
          <w:rFonts w:ascii="Arial" w:cs="Arial" w:eastAsia="Arial" w:hAnsi="Arial"/>
          <w:b/>
          <w:bCs/>
          <w:color w:val="1A7A4A"/>
          <w:sz w:val="26"/>
          <w:szCs w:val="26"/>
        </w:rPr>
        <w:t xml:space="preserve">2.3 Onboarding APIs (CSID Lifecycle)</w:t>
      </w:r>
    </w:p>
    <w:p>
      <w:pPr>
        <w:spacing w:after="100" w:before="80"/>
      </w:pPr>
      <w:r>
        <w:rPr>
          <w:rFonts w:ascii="Arial" w:cs="Arial" w:eastAsia="Arial" w:hAnsi="Arial"/>
          <w:color w:val="1A1A2E"/>
          <w:sz w:val="19"/>
          <w:szCs w:val="19"/>
        </w:rPr>
        <w:t xml:space="preserve">These APIs handle the full ZATCA device onboarding and certificate management flow. They are called during branch setup and certificate renewal — not during normal invoice submission.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Endpoint / Path</w:t>
            </w:r>
          </w:p>
        </w:tc>
        <w:tc>
          <w:tcPr>
            <w:tcW w:type="dxa" w:w="2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Purpose</w:t>
            </w:r>
          </w:p>
        </w:tc>
        <w:tc>
          <w:tcPr>
            <w:tcW w:type="dxa" w:w="22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Notes</w:t>
            </w:r>
          </w:p>
        </w:tc>
      </w:tr>
      <w:tr>
        <w:tc>
          <w:tcPr>
            <w:tcW w:type="dxa" w:w="9360"/>
            <w:gridSpan w:val="4"/>
            <w:tcBorders>
              <w:top w:val="single" w:color="1A7A4A" w:sz="1"/>
              <w:left w:val="single" w:color="1A7A4A" w:sz="1"/>
              <w:bottom w:val="single" w:color="1A7A4A" w:sz="1"/>
              <w:right w:val="single" w:color="1A7A4A" w:sz="1"/>
            </w:tcBorders>
            <w:shd w:fill="1A7A4A" w:val="clear"/>
            <w:tcMar>
              <w:top w:type="dxa" w:w="80"/>
              <w:left w:type="dxa" w:w="140"/>
              <w:bottom w:type="dxa" w:w="80"/>
              <w:right w:type="dxa" w:w="140"/>
            </w:tcMar>
          </w:tcPr>
          <w:p>
            <w:r>
              <w:rPr>
                <w:rFonts w:ascii="Arial" w:cs="Arial" w:eastAsia="Arial" w:hAnsi="Arial"/>
                <w:b/>
                <w:bCs/>
                <w:color w:val="FFFFFF"/>
                <w:sz w:val="17"/>
                <w:szCs w:val="17"/>
              </w:rPr>
              <w:t xml:space="preserve">Step 1 — Get Compliance CSID (Pre-Compliance Certificate)</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/compliance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Request pre-compliance CSID</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Body: { csr: '&lt;base64-encoded CSR&gt;' }. The CSR is generated by the platform using the company's key pair (ECDSA P-256). Returns: requestID, dispositionMessage, binarySecurityToken (compliance CSID), secret. Store all — needed for next step.</w:t>
            </w:r>
          </w:p>
        </w:tc>
      </w:tr>
      <w:tr>
        <w:tc>
          <w:tcPr>
            <w:tcW w:type="dxa" w:w="9360"/>
            <w:gridSpan w:val="4"/>
            <w:tcBorders>
              <w:top w:val="single" w:color="1A7A4A" w:sz="1"/>
              <w:left w:val="single" w:color="1A7A4A" w:sz="1"/>
              <w:bottom w:val="single" w:color="1A7A4A" w:sz="1"/>
              <w:right w:val="single" w:color="1A7A4A" w:sz="1"/>
            </w:tcBorders>
            <w:shd w:fill="1A7A4A" w:val="clear"/>
            <w:tcMar>
              <w:top w:type="dxa" w:w="80"/>
              <w:left w:type="dxa" w:w="140"/>
              <w:bottom w:type="dxa" w:w="80"/>
              <w:right w:type="dxa" w:w="140"/>
            </w:tcMar>
          </w:tcPr>
          <w:p>
            <w:r>
              <w:rPr>
                <w:rFonts w:ascii="Arial" w:cs="Arial" w:eastAsia="Arial" w:hAnsi="Arial"/>
                <w:b/>
                <w:bCs/>
                <w:color w:val="FFFFFF"/>
                <w:sz w:val="17"/>
                <w:szCs w:val="17"/>
              </w:rPr>
              <w:t xml:space="preserve">Step 2 — Run Compliance Check (Test with 6 sample invoices)</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/compliance/invoices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Submit compliance test invoices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Auth: compliance CSID + secret (from Step 1). Body: { invoiceHash, uuid, invoice (base64 UBL XML) }. Must submit 6 specific invoice types. All must pass. Returns: reportingStatus / clearanceStatus. Must be 'REPORTED' or 'CLEARED'.</w:t>
            </w:r>
          </w:p>
        </w:tc>
      </w:tr>
      <w:tr>
        <w:tc>
          <w:tcPr>
            <w:tcW w:type="dxa" w:w="9360"/>
            <w:gridSpan w:val="4"/>
            <w:tcBorders>
              <w:top w:val="single" w:color="1A7A4A" w:sz="1"/>
              <w:left w:val="single" w:color="1A7A4A" w:sz="1"/>
              <w:bottom w:val="single" w:color="1A7A4A" w:sz="1"/>
              <w:right w:val="single" w:color="1A7A4A" w:sz="1"/>
            </w:tcBorders>
            <w:shd w:fill="1A7A4A" w:val="clear"/>
            <w:tcMar>
              <w:top w:type="dxa" w:w="80"/>
              <w:left w:type="dxa" w:w="140"/>
              <w:bottom w:type="dxa" w:w="80"/>
              <w:right w:type="dxa" w:w="140"/>
            </w:tcMar>
          </w:tcPr>
          <w:p>
            <w:r>
              <w:rPr>
                <w:rFonts w:ascii="Arial" w:cs="Arial" w:eastAsia="Arial" w:hAnsi="Arial"/>
                <w:b/>
                <w:bCs/>
                <w:color w:val="FFFFFF"/>
                <w:sz w:val="17"/>
                <w:szCs w:val="17"/>
              </w:rPr>
              <w:t xml:space="preserve">Step 3 — Get Production CSID (Final Certificate)</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/production/csids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Request production CSID</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Auth: compliance CSID + secret. Body: { compliance_request_id: '&lt;id from Step 1&gt;' }. Returns: requestID, binarySecurityToken (PRODUCTION CSID), secret, tokenType, dispositionMessage. Store PRODUCTION CSID + secret in authority_configs encrypted. This is used for all future invoice submissions.</w:t>
            </w:r>
          </w:p>
        </w:tc>
      </w:tr>
      <w:tr>
        <w:tc>
          <w:tcPr>
            <w:tcW w:type="dxa" w:w="9360"/>
            <w:gridSpan w:val="4"/>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17"/>
                <w:szCs w:val="17"/>
              </w:rPr>
              <w:t xml:space="preserve">Certificate Renewal — PATCH /production/csids</w:t>
            </w:r>
          </w:p>
        </w:tc>
      </w:tr>
      <w:tr>
        <w:tc>
          <w:tcPr>
            <w:tcW w:type="dxa" w:w="9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5"/>
                <w:szCs w:val="15"/>
              </w:rPr>
              <w:t xml:space="preserve">PATCH</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/production/csids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Renew existing production CSID</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Auth: CURRENT production CSID + secret. Body: { csr: '&lt;new CSR&gt;' }. Returns new CSID + secret. Platform triggers this from the Company Admin 'Renew Certificate' button. Update authority_configs with new values. Run 30-day expiry alert to prompt admin to start this flow.</w:t>
            </w:r>
          </w:p>
        </w:tc>
      </w:tr>
    </w:tbl>
    <w:p>
      <w:pPr>
        <w:spacing w:after="100" w:before="0"/>
      </w:pPr>
      <w:r>
        <w:t xml:space="preserve"/>
      </w:r>
    </w:p>
    <w:p>
      <w:pPr>
        <w:pStyle w:val="Heading2"/>
        <w:spacing w:after="160" w:before="360"/>
      </w:pPr>
      <w:r>
        <w:rPr>
          <w:rFonts w:ascii="Arial" w:cs="Arial" w:eastAsia="Arial" w:hAnsi="Arial"/>
          <w:b/>
          <w:bCs/>
          <w:color w:val="1A7A4A"/>
          <w:sz w:val="26"/>
          <w:szCs w:val="26"/>
        </w:rPr>
        <w:t xml:space="preserve">2.4 Core Invoice APIs</w:t>
      </w:r>
    </w:p>
    <w:p>
      <w:pPr>
        <w:spacing w:after="100" w:before="80"/>
      </w:pPr>
      <w:r>
        <w:rPr>
          <w:rFonts w:ascii="Arial" w:cs="Arial" w:eastAsia="Arial" w:hAnsi="Arial"/>
          <w:color w:val="1A1A2E"/>
          <w:sz w:val="19"/>
          <w:szCs w:val="19"/>
        </w:rPr>
        <w:t xml:space="preserve">ZATCA has exactly two submission endpoints — one for Clearance (B2B Tax Invoices) and one for Reporting (B2C Simplified Invoices). There are no separate 'get status' or 'query' endpoints. The submission response IS the final status.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2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Endpoint / Path</w:t>
            </w:r>
          </w:p>
        </w:tc>
        <w:tc>
          <w:tcPr>
            <w:tcW w:type="dxa" w:w="2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Purpose</w:t>
            </w:r>
          </w:p>
        </w:tc>
        <w:tc>
          <w:tcPr>
            <w:tcW w:type="dxa" w:w="22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6"/>
                <w:szCs w:val="16"/>
              </w:rPr>
              <w:t xml:space="preserve">Notes</w:t>
            </w:r>
          </w:p>
        </w:tc>
      </w:tr>
      <w:tr>
        <w:tc>
          <w:tcPr>
            <w:tcW w:type="dxa" w:w="9360"/>
            <w:gridSpan w:val="4"/>
            <w:tcBorders>
              <w:top w:val="single" w:color="1A7A4A" w:sz="1"/>
              <w:left w:val="single" w:color="1A7A4A" w:sz="1"/>
              <w:bottom w:val="single" w:color="1A7A4A" w:sz="1"/>
              <w:right w:val="single" w:color="1A7A4A" w:sz="1"/>
            </w:tcBorders>
            <w:shd w:fill="1A7A4A" w:val="clear"/>
            <w:tcMar>
              <w:top w:type="dxa" w:w="80"/>
              <w:left w:type="dxa" w:w="140"/>
              <w:bottom w:type="dxa" w:w="80"/>
              <w:right w:type="dxa" w:w="140"/>
            </w:tcMar>
          </w:tcPr>
          <w:p>
            <w:r>
              <w:rPr>
                <w:rFonts w:ascii="Arial" w:cs="Arial" w:eastAsia="Arial" w:hAnsi="Arial"/>
                <w:b/>
                <w:bCs/>
                <w:color w:val="FFFFFF"/>
                <w:sz w:val="17"/>
                <w:szCs w:val="17"/>
              </w:rPr>
              <w:t xml:space="preserve">B2B Tax Invoices — Clearance Model (Real-time, before sharing with buyer)</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/invoices/clearance/single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Submit single Tax Invoice for clearance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Auth: Production CSID + secret. Headers: Clearance-Status: 0 (for draft check) or 1 (for actual clearance). Body: { invoiceHash, uuid, invoice (base64 UBL XML) }. Returns: clearedInvoice (base64 XML with ZATCA stamp added), reportingStatus='CLEARED', errors/warnings. Store the clearedInvoice — this is the final invoice to send to buyer.</w:t>
            </w:r>
          </w:p>
        </w:tc>
      </w:tr>
      <w:tr>
        <w:tc>
          <w:tcPr>
            <w:tcW w:type="dxa" w:w="9360"/>
            <w:gridSpan w:val="4"/>
            <w:tcBorders>
              <w:top w:val="single" w:color="1A7A4A" w:sz="1"/>
              <w:left w:val="single" w:color="1A7A4A" w:sz="1"/>
              <w:bottom w:val="single" w:color="1A7A4A" w:sz="1"/>
              <w:right w:val="single" w:color="1A7A4A" w:sz="1"/>
            </w:tcBorders>
            <w:shd w:fill="1A7A4A" w:val="clear"/>
            <w:tcMar>
              <w:top w:type="dxa" w:w="80"/>
              <w:left w:type="dxa" w:w="140"/>
              <w:bottom w:type="dxa" w:w="80"/>
              <w:right w:type="dxa" w:w="140"/>
            </w:tcMar>
          </w:tcPr>
          <w:p>
            <w:r>
              <w:rPr>
                <w:rFonts w:ascii="Arial" w:cs="Arial" w:eastAsia="Arial" w:hAnsi="Arial"/>
                <w:b/>
                <w:bCs/>
                <w:color w:val="FFFFFF"/>
                <w:sz w:val="17"/>
                <w:szCs w:val="17"/>
              </w:rPr>
              <w:t xml:space="preserve">B2C Simplified Invoices — Reporting Model (within 24 hours of generation)</w:t>
            </w:r>
          </w:p>
        </w:tc>
      </w:tr>
      <w:tr>
        <w:tc>
          <w:tcPr>
            <w:tcW w:type="dxa" w:w="900"/>
            <w:tcBorders>
              <w:top w:val="single" w:color="CCCCCC" w:sz="1"/>
              <w:left w:val="single" w:color="CCCCCC" w:sz="1"/>
              <w:bottom w:val="single" w:color="CCCCCC" w:sz="1"/>
              <w:right w:val="single" w:color="CCCCCC" w:sz="1"/>
            </w:tcBorders>
            <w:shd w:fill="D4EDDA" w:val="clear"/>
            <w:tcMar>
              <w:top w:type="dxa" w:w="90"/>
              <w:left w:type="dxa" w:w="140"/>
              <w:bottom w:type="dxa" w:w="90"/>
              <w:right w:type="dxa" w:w="140"/>
            </w:tcMar>
          </w:tcPr>
          <w:p>
            <w:r>
              <w:rPr>
                <w:rFonts w:ascii="Arial" w:cs="Arial" w:eastAsia="Arial" w:hAnsi="Arial"/>
                <w:b/>
                <w:bCs/>
                <w:color w:val="155724"/>
                <w:sz w:val="15"/>
                <w:szCs w:val="15"/>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Courier New" w:cs="Courier New" w:eastAsia="Courier New" w:hAnsi="Courier New"/>
                <w:color w:val="1E3A5F"/>
                <w:sz w:val="16"/>
                <w:szCs w:val="16"/>
              </w:rPr>
              <w:t xml:space="preserve">/invoices/reporting/single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Submit single Simplified Invoice for reporting</w:t>
            </w:r>
          </w:p>
        </w:tc>
        <w:tc>
          <w:tcPr>
            <w:tcW w:type="dxa" w:w="22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555555"/>
                <w:sz w:val="15"/>
                <w:szCs w:val="15"/>
              </w:rPr>
              <w:t xml:space="preserve">Auth: Production CSID + secret. Body: { invoiceHash, uuid, invoice (base64 UBL XML) }. Returns: reportingStatus='REPORTED' or 'NOT_REPORTED', errors/warnings. Note: unlike clearance, ZATCA does NOT add a stamp — the invoice is already final before submission. Store reportingStatus in DB.</w:t>
            </w:r>
          </w:p>
        </w:tc>
      </w:tr>
    </w:tbl>
    <w:p>
      <w:pPr>
        <w:spacing w:after="100" w:before="0"/>
      </w:pPr>
      <w:r>
        <w:t xml:space="preserve"/>
      </w:r>
    </w:p>
    <w:p>
      <w:pPr>
        <w:pStyle w:val="Heading2"/>
        <w:spacing w:after="160" w:before="360"/>
      </w:pPr>
      <w:r>
        <w:rPr>
          <w:rFonts w:ascii="Arial" w:cs="Arial" w:eastAsia="Arial" w:hAnsi="Arial"/>
          <w:b/>
          <w:bCs/>
          <w:color w:val="1A7A4A"/>
          <w:sz w:val="26"/>
          <w:szCs w:val="26"/>
        </w:rPr>
        <w:t xml:space="preserve">2.5 ZATCA API — Critical Technical Notes</w:t>
      </w:r>
    </w:p>
    <w:p>
      <w:pPr>
        <w:pStyle w:val="Heading3"/>
        <w:spacing w:after="120" w:before="240"/>
      </w:pPr>
      <w:r>
        <w:rPr>
          <w:rFonts w:ascii="Arial" w:cs="Arial" w:eastAsia="Arial" w:hAnsi="Arial"/>
          <w:b/>
          <w:bCs/>
          <w:color w:val="555555"/>
          <w:sz w:val="21"/>
          <w:szCs w:val="21"/>
        </w:rPr>
        <w:t xml:space="preserve">2.5.1 Invoice Hash Chaining (Mandatory)</w:t>
      </w:r>
    </w:p>
    <w:p>
      <w:pPr>
        <w:spacing w:after="100" w:before="80"/>
      </w:pPr>
      <w:r>
        <w:rPr>
          <w:rFonts w:ascii="Arial" w:cs="Arial" w:eastAsia="Arial" w:hAnsi="Arial"/>
          <w:color w:val="1A1A2E"/>
          <w:sz w:val="19"/>
          <w:szCs w:val="19"/>
        </w:rPr>
        <w:t xml:space="preserve">Every invoice submitted to ZATCA must embed the SHA-256 hash of the PREVIOUS invoice in a chain. This means:</w:t>
      </w:r>
    </w:p>
    <w:p>
      <w:pPr>
        <w:pStyle w:val="ListParagraph"/>
        <w:numPr>
          <w:ilvl w:val="0"/>
          <w:numId w:val="2"/>
        </w:numPr>
        <w:spacing w:after="50" w:before="50"/>
      </w:pPr>
      <w:r>
        <w:rPr>
          <w:rFonts w:ascii="Arial" w:cs="Arial" w:eastAsia="Arial" w:hAnsi="Arial"/>
          <w:color w:val="1A1A2E"/>
          <w:sz w:val="19"/>
          <w:szCs w:val="19"/>
        </w:rPr>
        <w:t xml:space="preserve">The platform must maintain an invoice_counter and previous_invoice_hash per branch, stored in authority_configs.</w:t>
      </w:r>
    </w:p>
    <w:p>
      <w:pPr>
        <w:pStyle w:val="ListParagraph"/>
        <w:numPr>
          <w:ilvl w:val="0"/>
          <w:numId w:val="2"/>
        </w:numPr>
        <w:spacing w:after="50" w:before="50"/>
      </w:pPr>
      <w:r>
        <w:rPr>
          <w:rFonts w:ascii="Arial" w:cs="Arial" w:eastAsia="Arial" w:hAnsi="Arial"/>
          <w:color w:val="1A1A2E"/>
          <w:sz w:val="19"/>
          <w:szCs w:val="19"/>
        </w:rPr>
        <w:t xml:space="preserve">For the very first invoice of a branch, use the hardcoded seed hash: NWZlY2ViNjZmZmM4NmYzOGQ5NTI3ODZjNmQ2OTZjNzljMmRiYzIzOWRkNGU5MWI0NjcyOWQ3M2EyN2ZiNTdlOQ== (base64 SHA-256 of '0').</w:t>
      </w:r>
    </w:p>
    <w:p>
      <w:pPr>
        <w:pStyle w:val="ListParagraph"/>
        <w:numPr>
          <w:ilvl w:val="0"/>
          <w:numId w:val="2"/>
        </w:numPr>
        <w:spacing w:after="50" w:before="50"/>
      </w:pPr>
      <w:r>
        <w:rPr>
          <w:rFonts w:ascii="Arial" w:cs="Arial" w:eastAsia="Arial" w:hAnsi="Arial"/>
          <w:color w:val="1A1A2E"/>
          <w:sz w:val="19"/>
          <w:szCs w:val="19"/>
        </w:rPr>
        <w:t xml:space="preserve">Each time an invoice is submitted and accepted, update the stored hash to the hash of that invoice for the next one.</w:t>
      </w:r>
    </w:p>
    <w:p>
      <w:pPr>
        <w:pStyle w:val="ListParagraph"/>
        <w:numPr>
          <w:ilvl w:val="0"/>
          <w:numId w:val="2"/>
        </w:numPr>
        <w:spacing w:after="50" w:before="50"/>
      </w:pPr>
      <w:r>
        <w:rPr>
          <w:rFonts w:ascii="Arial" w:cs="Arial" w:eastAsia="Arial" w:hAnsi="Arial"/>
          <w:color w:val="1A1A2E"/>
          <w:sz w:val="19"/>
          <w:szCs w:val="19"/>
        </w:rPr>
        <w:t xml:space="preserve">This creates an auditable, tamper-proof chain. ZATCA validates the chain on every submission.</w:t>
      </w:r>
    </w:p>
    <w:p>
      <w:pPr>
        <w:spacing w:after="100" w:before="0"/>
      </w:pPr>
      <w:r>
        <w:t xml:space="preserve"/>
      </w:r>
    </w:p>
    <w:p>
      <w:pPr>
        <w:pStyle w:val="Heading3"/>
        <w:spacing w:after="120" w:before="240"/>
      </w:pPr>
      <w:r>
        <w:rPr>
          <w:rFonts w:ascii="Arial" w:cs="Arial" w:eastAsia="Arial" w:hAnsi="Arial"/>
          <w:b/>
          <w:bCs/>
          <w:color w:val="555555"/>
          <w:sz w:val="21"/>
          <w:szCs w:val="21"/>
        </w:rPr>
        <w:t xml:space="preserve">2.5.2 Invoice UUID</w:t>
      </w:r>
    </w:p>
    <w:p>
      <w:pPr>
        <w:spacing w:after="100" w:before="80"/>
      </w:pPr>
      <w:r>
        <w:rPr>
          <w:rFonts w:ascii="Arial" w:cs="Arial" w:eastAsia="Arial" w:hAnsi="Arial"/>
          <w:color w:val="1A1A2E"/>
          <w:sz w:val="19"/>
          <w:szCs w:val="19"/>
        </w:rPr>
        <w:t xml:space="preserve">Each invoice must have a unique UUID (universally unique identifier) generated by the platform. Use Java's UUID.randomUUID(). This is embedded in the XML and sent in the request body.</w:t>
      </w:r>
    </w:p>
    <w:p>
      <w:pPr>
        <w:spacing w:after="100" w:before="0"/>
      </w:pPr>
      <w:r>
        <w:t xml:space="preserve"/>
      </w:r>
    </w:p>
    <w:p>
      <w:pPr>
        <w:pStyle w:val="Heading3"/>
        <w:spacing w:after="120" w:before="240"/>
      </w:pPr>
      <w:r>
        <w:rPr>
          <w:rFonts w:ascii="Arial" w:cs="Arial" w:eastAsia="Arial" w:hAnsi="Arial"/>
          <w:b/>
          <w:bCs/>
          <w:color w:val="555555"/>
          <w:sz w:val="21"/>
          <w:szCs w:val="21"/>
        </w:rPr>
        <w:t xml:space="preserve">2.5.3 XML Signing (XAdES Enveloped)</w:t>
      </w:r>
    </w:p>
    <w:p>
      <w:pPr>
        <w:spacing w:after="100" w:before="80"/>
      </w:pPr>
      <w:r>
        <w:rPr>
          <w:rFonts w:ascii="Arial" w:cs="Arial" w:eastAsia="Arial" w:hAnsi="Arial"/>
          <w:color w:val="1A1A2E"/>
          <w:sz w:val="19"/>
          <w:szCs w:val="19"/>
        </w:rPr>
        <w:t xml:space="preserve">Before submission, the UBL XML must be digitally signed using XAdES-BES enveloped signature format. Implementation steps:</w:t>
      </w:r>
    </w:p>
    <w:p>
      <w:pPr>
        <w:pStyle w:val="ListParagraph"/>
        <w:numPr>
          <w:ilvl w:val="0"/>
          <w:numId w:val="2"/>
        </w:numPr>
        <w:spacing w:after="50" w:before="50"/>
      </w:pPr>
      <w:r>
        <w:rPr>
          <w:rFonts w:ascii="Arial" w:cs="Arial" w:eastAsia="Arial" w:hAnsi="Arial"/>
          <w:color w:val="1A1A2E"/>
          <w:sz w:val="19"/>
          <w:szCs w:val="19"/>
        </w:rPr>
        <w:t xml:space="preserve">Generate the invoice XML from the platform Invoice entity (UBL 2.1 format).</w:t>
      </w:r>
    </w:p>
    <w:p>
      <w:pPr>
        <w:pStyle w:val="ListParagraph"/>
        <w:numPr>
          <w:ilvl w:val="0"/>
          <w:numId w:val="2"/>
        </w:numPr>
        <w:spacing w:after="50" w:before="50"/>
      </w:pPr>
      <w:r>
        <w:rPr>
          <w:rFonts w:ascii="Arial" w:cs="Arial" w:eastAsia="Arial" w:hAnsi="Arial"/>
          <w:color w:val="1A1A2E"/>
          <w:sz w:val="19"/>
          <w:szCs w:val="19"/>
        </w:rPr>
        <w:t xml:space="preserve">Compute the invoice hash: SHA-256 of the canonicalized XML (C14N), base64 encoded.</w:t>
      </w:r>
    </w:p>
    <w:p>
      <w:pPr>
        <w:pStyle w:val="ListParagraph"/>
        <w:numPr>
          <w:ilvl w:val="0"/>
          <w:numId w:val="2"/>
        </w:numPr>
        <w:spacing w:after="50" w:before="50"/>
      </w:pPr>
      <w:r>
        <w:rPr>
          <w:rFonts w:ascii="Arial" w:cs="Arial" w:eastAsia="Arial" w:hAnsi="Arial"/>
          <w:color w:val="1A1A2E"/>
          <w:sz w:val="19"/>
          <w:szCs w:val="19"/>
        </w:rPr>
        <w:t xml:space="preserve">Embed the hash and the previous invoice hash in the XML SignedProperties.</w:t>
      </w:r>
    </w:p>
    <w:p>
      <w:pPr>
        <w:pStyle w:val="ListParagraph"/>
        <w:numPr>
          <w:ilvl w:val="0"/>
          <w:numId w:val="2"/>
        </w:numPr>
        <w:spacing w:after="50" w:before="50"/>
      </w:pPr>
      <w:r>
        <w:rPr>
          <w:rFonts w:ascii="Arial" w:cs="Arial" w:eastAsia="Arial" w:hAnsi="Arial"/>
          <w:color w:val="1A1A2E"/>
          <w:sz w:val="19"/>
          <w:szCs w:val="19"/>
        </w:rPr>
        <w:t xml:space="preserve">Compute the XAdES signature using the production CSID private key (ECDSA).</w:t>
      </w:r>
    </w:p>
    <w:p>
      <w:pPr>
        <w:pStyle w:val="ListParagraph"/>
        <w:numPr>
          <w:ilvl w:val="0"/>
          <w:numId w:val="2"/>
        </w:numPr>
        <w:spacing w:after="50" w:before="50"/>
      </w:pPr>
      <w:r>
        <w:rPr>
          <w:rFonts w:ascii="Arial" w:cs="Arial" w:eastAsia="Arial" w:hAnsi="Arial"/>
          <w:color w:val="1A1A2E"/>
          <w:sz w:val="19"/>
          <w:szCs w:val="19"/>
        </w:rPr>
        <w:t xml:space="preserve">Embed the signature and the CSID certificate chain in the XML UBLExtensions block.</w:t>
      </w:r>
    </w:p>
    <w:p>
      <w:pPr>
        <w:pStyle w:val="ListParagraph"/>
        <w:numPr>
          <w:ilvl w:val="0"/>
          <w:numId w:val="2"/>
        </w:numPr>
        <w:spacing w:after="50" w:before="50"/>
      </w:pPr>
      <w:r>
        <w:rPr>
          <w:rFonts w:ascii="Arial" w:cs="Arial" w:eastAsia="Arial" w:hAnsi="Arial"/>
          <w:color w:val="1A1A2E"/>
          <w:sz w:val="19"/>
          <w:szCs w:val="19"/>
        </w:rPr>
        <w:t xml:space="preserve">Use library: xades4j or Apache Santuario for Spring Boot. The platform-zatca module handles this entirely.</w:t>
      </w:r>
    </w:p>
    <w:p>
      <w:pPr>
        <w:spacing w:after="100" w:before="0"/>
      </w:pPr>
      <w:r>
        <w:t xml:space="preserve"/>
      </w:r>
    </w:p>
    <w:p>
      <w:pPr>
        <w:pStyle w:val="Heading3"/>
        <w:spacing w:after="120" w:before="240"/>
      </w:pPr>
      <w:r>
        <w:rPr>
          <w:rFonts w:ascii="Arial" w:cs="Arial" w:eastAsia="Arial" w:hAnsi="Arial"/>
          <w:b/>
          <w:bCs/>
          <w:color w:val="555555"/>
          <w:sz w:val="21"/>
          <w:szCs w:val="21"/>
        </w:rPr>
        <w:t xml:space="preserve">2.5.4 QR Code Generation (TLV Encoding)</w:t>
      </w:r>
    </w:p>
    <w:p>
      <w:pPr>
        <w:spacing w:after="100" w:before="80"/>
      </w:pPr>
      <w:r>
        <w:rPr>
          <w:rFonts w:ascii="Arial" w:cs="Arial" w:eastAsia="Arial" w:hAnsi="Arial"/>
          <w:color w:val="1A1A2E"/>
          <w:sz w:val="19"/>
          <w:szCs w:val="19"/>
        </w:rPr>
        <w:t xml:space="preserve">Simplified Tax Invoices require a QR code generated from TLV (Tag-Length-Value) encoded data. Fields encoded:</w:t>
      </w:r>
    </w:p>
    <w:p>
      <w:pPr>
        <w:pStyle w:val="ListParagraph"/>
        <w:numPr>
          <w:ilvl w:val="0"/>
          <w:numId w:val="2"/>
        </w:numPr>
        <w:spacing w:after="50" w:before="50"/>
      </w:pPr>
      <w:r>
        <w:rPr>
          <w:rFonts w:ascii="Arial" w:cs="Arial" w:eastAsia="Arial" w:hAnsi="Arial"/>
          <w:color w:val="1A1A2E"/>
          <w:sz w:val="19"/>
          <w:szCs w:val="19"/>
        </w:rPr>
        <w:t xml:space="preserve">Tag 1: Seller name (UTF-8)</w:t>
      </w:r>
    </w:p>
    <w:p>
      <w:pPr>
        <w:pStyle w:val="ListParagraph"/>
        <w:numPr>
          <w:ilvl w:val="0"/>
          <w:numId w:val="2"/>
        </w:numPr>
        <w:spacing w:after="50" w:before="50"/>
      </w:pPr>
      <w:r>
        <w:rPr>
          <w:rFonts w:ascii="Arial" w:cs="Arial" w:eastAsia="Arial" w:hAnsi="Arial"/>
          <w:color w:val="1A1A2E"/>
          <w:sz w:val="19"/>
          <w:szCs w:val="19"/>
        </w:rPr>
        <w:t xml:space="preserve">Tag 2: Seller VAT registration number</w:t>
      </w:r>
    </w:p>
    <w:p>
      <w:pPr>
        <w:pStyle w:val="ListParagraph"/>
        <w:numPr>
          <w:ilvl w:val="0"/>
          <w:numId w:val="2"/>
        </w:numPr>
        <w:spacing w:after="50" w:before="50"/>
      </w:pPr>
      <w:r>
        <w:rPr>
          <w:rFonts w:ascii="Arial" w:cs="Arial" w:eastAsia="Arial" w:hAnsi="Arial"/>
          <w:color w:val="1A1A2E"/>
          <w:sz w:val="19"/>
          <w:szCs w:val="19"/>
        </w:rPr>
        <w:t xml:space="preserve">Tag 3: Invoice timestamp (ISO 8601)</w:t>
      </w:r>
    </w:p>
    <w:p>
      <w:pPr>
        <w:pStyle w:val="ListParagraph"/>
        <w:numPr>
          <w:ilvl w:val="0"/>
          <w:numId w:val="2"/>
        </w:numPr>
        <w:spacing w:after="50" w:before="50"/>
      </w:pPr>
      <w:r>
        <w:rPr>
          <w:rFonts w:ascii="Arial" w:cs="Arial" w:eastAsia="Arial" w:hAnsi="Arial"/>
          <w:color w:val="1A1A2E"/>
          <w:sz w:val="19"/>
          <w:szCs w:val="19"/>
        </w:rPr>
        <w:t xml:space="preserve">Tag 4: Invoice total amount with VAT</w:t>
      </w:r>
    </w:p>
    <w:p>
      <w:pPr>
        <w:pStyle w:val="ListParagraph"/>
        <w:numPr>
          <w:ilvl w:val="0"/>
          <w:numId w:val="2"/>
        </w:numPr>
        <w:spacing w:after="50" w:before="50"/>
      </w:pPr>
      <w:r>
        <w:rPr>
          <w:rFonts w:ascii="Arial" w:cs="Arial" w:eastAsia="Arial" w:hAnsi="Arial"/>
          <w:color w:val="1A1A2E"/>
          <w:sz w:val="19"/>
          <w:szCs w:val="19"/>
        </w:rPr>
        <w:t xml:space="preserve">Tag 5: VAT total amount</w:t>
      </w:r>
    </w:p>
    <w:p>
      <w:pPr>
        <w:pStyle w:val="ListParagraph"/>
        <w:numPr>
          <w:ilvl w:val="0"/>
          <w:numId w:val="2"/>
        </w:numPr>
        <w:spacing w:after="50" w:before="50"/>
      </w:pPr>
      <w:r>
        <w:rPr>
          <w:rFonts w:ascii="Arial" w:cs="Arial" w:eastAsia="Arial" w:hAnsi="Arial"/>
          <w:color w:val="1A1A2E"/>
          <w:sz w:val="19"/>
          <w:szCs w:val="19"/>
        </w:rPr>
        <w:t xml:space="preserve">Tag 6: Invoice hash (SHA-256 base64)</w:t>
      </w:r>
    </w:p>
    <w:p>
      <w:pPr>
        <w:pStyle w:val="ListParagraph"/>
        <w:numPr>
          <w:ilvl w:val="0"/>
          <w:numId w:val="2"/>
        </w:numPr>
        <w:spacing w:after="50" w:before="50"/>
      </w:pPr>
      <w:r>
        <w:rPr>
          <w:rFonts w:ascii="Arial" w:cs="Arial" w:eastAsia="Arial" w:hAnsi="Arial"/>
          <w:color w:val="1A1A2E"/>
          <w:sz w:val="19"/>
          <w:szCs w:val="19"/>
        </w:rPr>
        <w:t xml:space="preserve">Tag 7: ECDSA signature</w:t>
      </w:r>
    </w:p>
    <w:p>
      <w:pPr>
        <w:pStyle w:val="ListParagraph"/>
        <w:numPr>
          <w:ilvl w:val="0"/>
          <w:numId w:val="2"/>
        </w:numPr>
        <w:spacing w:after="50" w:before="50"/>
      </w:pPr>
      <w:r>
        <w:rPr>
          <w:rFonts w:ascii="Arial" w:cs="Arial" w:eastAsia="Arial" w:hAnsi="Arial"/>
          <w:color w:val="1A1A2E"/>
          <w:sz w:val="19"/>
          <w:szCs w:val="19"/>
        </w:rPr>
        <w:t xml:space="preserve">Tag 8: Public key (from CSID certificate)</w:t>
      </w:r>
    </w:p>
    <w:p>
      <w:pPr>
        <w:spacing w:after="100" w:before="80"/>
      </w:pPr>
      <w:r>
        <w:rPr>
          <w:rFonts w:ascii="Arial" w:cs="Arial" w:eastAsia="Arial" w:hAnsi="Arial"/>
          <w:color w:val="1A1A2E"/>
          <w:sz w:val="19"/>
          <w:szCs w:val="19"/>
        </w:rPr>
        <w:t xml:space="preserve">The TLV byte array is base64 encoded and embedded in the XML and rendered as a QR code image in the PDF.</w:t>
      </w:r>
    </w:p>
    <w:p>
      <w:pPr>
        <w:spacing w:after="100" w:before="0"/>
      </w:pPr>
      <w:r>
        <w:t xml:space="preserve"/>
      </w:r>
    </w:p>
    <w:p>
      <w:pPr>
        <w:pStyle w:val="Heading3"/>
        <w:spacing w:after="120" w:before="240"/>
      </w:pPr>
      <w:r>
        <w:rPr>
          <w:rFonts w:ascii="Arial" w:cs="Arial" w:eastAsia="Arial" w:hAnsi="Arial"/>
          <w:b/>
          <w:bCs/>
          <w:color w:val="555555"/>
          <w:sz w:val="21"/>
          <w:szCs w:val="21"/>
        </w:rPr>
        <w:t xml:space="preserve">2.5.5 No Status Query API — Store the Response</w:t>
      </w:r>
    </w:p>
    <w:p>
      <w:pPr>
        <w:spacing w:after="100" w:before="80"/>
      </w:pPr>
      <w:r>
        <w:rPr>
          <w:rFonts w:ascii="Arial" w:cs="Arial" w:eastAsia="Arial" w:hAnsi="Arial"/>
          <w:color w:val="1A1A2E"/>
          <w:sz w:val="19"/>
          <w:szCs w:val="19"/>
        </w:rPr>
        <w:t xml:space="preserve">ZATCA has no API to check invoice status after submission. The clearance/reporting response is the only status signal. The platform must:</w:t>
      </w:r>
    </w:p>
    <w:p>
      <w:pPr>
        <w:pStyle w:val="ListParagraph"/>
        <w:numPr>
          <w:ilvl w:val="0"/>
          <w:numId w:val="2"/>
        </w:numPr>
        <w:spacing w:after="50" w:before="50"/>
      </w:pPr>
      <w:r>
        <w:rPr>
          <w:rFonts w:ascii="Arial" w:cs="Arial" w:eastAsia="Arial" w:hAnsi="Arial"/>
          <w:color w:val="1A1A2E"/>
          <w:sz w:val="19"/>
          <w:szCs w:val="19"/>
        </w:rPr>
        <w:t xml:space="preserve">Store the full ZATCA response JSON in the submission_logs table.</w:t>
      </w:r>
    </w:p>
    <w:p>
      <w:pPr>
        <w:pStyle w:val="ListParagraph"/>
        <w:numPr>
          <w:ilvl w:val="0"/>
          <w:numId w:val="2"/>
        </w:numPr>
        <w:spacing w:after="50" w:before="50"/>
      </w:pPr>
      <w:r>
        <w:rPr>
          <w:rFonts w:ascii="Arial" w:cs="Arial" w:eastAsia="Arial" w:hAnsi="Arial"/>
          <w:color w:val="1A1A2E"/>
          <w:sz w:val="19"/>
          <w:szCs w:val="19"/>
        </w:rPr>
        <w:t xml:space="preserve">Store the cleared XML (for Tax Invoices) in the invoices table.</w:t>
      </w:r>
    </w:p>
    <w:p>
      <w:pPr>
        <w:pStyle w:val="ListParagraph"/>
        <w:numPr>
          <w:ilvl w:val="0"/>
          <w:numId w:val="2"/>
        </w:numPr>
        <w:spacing w:after="50" w:before="50"/>
      </w:pPr>
      <w:r>
        <w:rPr>
          <w:rFonts w:ascii="Arial" w:cs="Arial" w:eastAsia="Arial" w:hAnsi="Arial"/>
          <w:color w:val="1A1A2E"/>
          <w:sz w:val="19"/>
          <w:szCs w:val="19"/>
        </w:rPr>
        <w:t xml:space="preserve">Update invoice.status based on response: clearanceStatus='CLEARED' → Cleared, reportingStatus='REPORTED' → Reported, any errors → Rejected.</w:t>
      </w:r>
    </w:p>
    <w:p>
      <w:pPr>
        <w:pStyle w:val="ListParagraph"/>
        <w:numPr>
          <w:ilvl w:val="0"/>
          <w:numId w:val="2"/>
        </w:numPr>
        <w:spacing w:after="50" w:before="50"/>
      </w:pPr>
      <w:r>
        <w:rPr>
          <w:rFonts w:ascii="Arial" w:cs="Arial" w:eastAsia="Arial" w:hAnsi="Arial"/>
          <w:color w:val="1A1A2E"/>
          <w:sz w:val="19"/>
          <w:szCs w:val="19"/>
        </w:rPr>
        <w:t xml:space="preserve">Display ZATCA warnings (non-blocking) in the invoice detail view — ZATCA may return warnings with a success status.</w:t>
      </w:r>
    </w:p>
    <w:p>
      <w:pPr>
        <w:spacing w:after="100" w:before="0"/>
      </w:pPr>
      <w:r>
        <w:t xml:space="preserve"/>
      </w:r>
    </w:p>
    <w:p>
      <w:r>
        <w:br w:type="page"/>
      </w:r>
    </w:p>
    <w:p>
      <w:pPr>
        <w:pStyle w:val="Heading1"/>
        <w:pBdr>
          <w:bottom w:val="single" w:color="1E3A5F" w:sz="6" w:space="6"/>
        </w:pBdr>
        <w:spacing w:after="200" w:before="480"/>
      </w:pPr>
      <w:r>
        <w:rPr>
          <w:rFonts w:ascii="Arial" w:cs="Arial" w:eastAsia="Arial" w:hAnsi="Arial"/>
          <w:b/>
          <w:bCs/>
          <w:color w:val="1E3A5F"/>
          <w:sz w:val="34"/>
          <w:szCs w:val="34"/>
        </w:rPr>
        <w:t xml:space="preserve">3. Side-by-Side Comparison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tcPr>
          <w:p>
            <w:r>
              <w:rPr>
                <w:rFonts w:ascii="Arial" w:cs="Arial" w:eastAsia="Arial" w:hAnsi="Arial"/>
                <w:b/>
                <w:bCs/>
                <w:color w:val="FFFFFF"/>
                <w:sz w:val="17"/>
                <w:szCs w:val="17"/>
              </w:rPr>
              <w:t xml:space="preserve">Aspect</w:t>
            </w:r>
          </w:p>
        </w:tc>
        <w:tc>
          <w:tcPr>
            <w:tcW w:type="dxa" w:w="348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40"/>
            </w:tcMar>
          </w:tcPr>
          <w:p>
            <w:r>
              <w:rPr>
                <w:rFonts w:ascii="Arial" w:cs="Arial" w:eastAsia="Arial" w:hAnsi="Arial"/>
                <w:b/>
                <w:bCs/>
                <w:color w:val="FFFFFF"/>
                <w:sz w:val="17"/>
                <w:szCs w:val="17"/>
              </w:rPr>
              <w:t xml:space="preserve">ETA — Egypt</w:t>
            </w:r>
          </w:p>
        </w:tc>
        <w:tc>
          <w:tcPr>
            <w:tcW w:type="dxa" w:w="3480"/>
            <w:tcBorders>
              <w:top w:val="single" w:color="CCCCCC" w:sz="1"/>
              <w:left w:val="single" w:color="CCCCCC" w:sz="1"/>
              <w:bottom w:val="single" w:color="CCCCCC" w:sz="1"/>
              <w:right w:val="single" w:color="CCCCCC" w:sz="1"/>
            </w:tcBorders>
            <w:shd w:fill="1A7A4A" w:val="clear"/>
            <w:tcMar>
              <w:top w:type="dxa" w:w="90"/>
              <w:left w:type="dxa" w:w="140"/>
              <w:bottom w:type="dxa" w:w="90"/>
              <w:right w:type="dxa" w:w="140"/>
            </w:tcMar>
          </w:tcPr>
          <w:p>
            <w:r>
              <w:rPr>
                <w:rFonts w:ascii="Arial" w:cs="Arial" w:eastAsia="Arial" w:hAnsi="Arial"/>
                <w:b/>
                <w:bCs/>
                <w:color w:val="FFFFFF"/>
                <w:sz w:val="17"/>
                <w:szCs w:val="17"/>
              </w:rPr>
              <w:t xml:space="preserve">ZATCA — Saudi Arabia</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Auth method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OAuth2 client_credentials token (expires, must refresh)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HTTP Basic Auth with CSID + Secret (certificate-based, no token expiry)</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Invoice format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ETA proprietary JSON schema (per document type version)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UBL 2.1 XML (XAdES-BES signed, base64 encoded in JSON body)</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Signing algorithm</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CAdES-BES digital signature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XAdES enveloped (ECDSA P-256, SHA-256)</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Submit endpoint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POST /documentsubmissions (up to 100 docs per batch)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POST /invoices/clearance/single  OR  POST /invoices/reporting/single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Check status after submit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/documentsubmissions/{id} — also GET /documents/{id}/details for full validation info</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NOT AVAILABLE — status is in the submission response itself. Store it immediately.</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Cancel an invoice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PUT /documents/{id}/state with status=cancelled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No cancellation API. Cancellation = issue a Credit Note.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Get invoice PDF</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GET /documents/{id}/pdf — ETA returns their standard PDF</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No PDF API. Platform generates its own PDF (JasperReports/iText) with embedded QR.</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Invoice chaining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Not required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Mandatory — each invoice must embed SHA-256 hash of previous invoice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QR code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Not applicable for API integration (ETA generates their own QR in their PDF)</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Platform generates TLV-encoded QR, embeds in XML and PDF. Mandatory for Simplified Invoices.</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Environments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Pre-Production  |  Production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Sandbox (dev)  |  Simulation (pre-prod)  |  Production</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Onboarding process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Register client credentials with ETA portal. Store client_id + client_secret.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3-step API flow: CSR → compliance CSID → compliance test invoices → production CSID. Built into platform.</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Certificate renewal</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No certificate — credentials don't expire, only OAuth tokens expire (refresh automatically)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PATCH /production/csids with new CSR. Platform alerts 30 days before expiry. Admin self-renews.</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1A1A2E"/>
                <w:sz w:val="17"/>
                <w:szCs w:val="17"/>
              </w:rPr>
              <w:t xml:space="preserve">Webhook support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YES — ETA pushes events to our /eta/notifications and /eta/ping endpoints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1A2E"/>
                <w:sz w:val="17"/>
                <w:szCs w:val="17"/>
              </w:rPr>
              <w:t xml:space="preserve">NO — ZATCA is pull-only. Status comes from submission response. No webhooks.</w:t>
            </w:r>
          </w:p>
        </w:tc>
      </w:tr>
    </w:tbl>
    <w:p>
      <w:pPr>
        <w:spacing w:after="100" w:before="0"/>
      </w:pPr>
      <w:r>
        <w:t xml:space="preserve"/>
      </w:r>
    </w:p>
    <w:p>
      <w:pPr>
        <w:pStyle w:val="Heading1"/>
        <w:pBdr>
          <w:bottom w:val="single" w:color="1E3A5F" w:sz="6" w:space="6"/>
        </w:pBdr>
        <w:spacing w:after="200" w:before="480"/>
      </w:pPr>
      <w:r>
        <w:rPr>
          <w:rFonts w:ascii="Arial" w:cs="Arial" w:eastAsia="Arial" w:hAnsi="Arial"/>
          <w:b/>
          <w:bCs/>
          <w:color w:val="1E3A5F"/>
          <w:sz w:val="34"/>
          <w:szCs w:val="34"/>
        </w:rPr>
        <w:t xml:space="preserve">4. Spring Boot Module Implementation Checklist</w:t>
      </w:r>
    </w:p>
    <w:p>
      <w:pPr>
        <w:spacing w:after="100" w:before="80"/>
      </w:pPr>
      <w:r>
        <w:rPr>
          <w:rFonts w:ascii="Arial" w:cs="Arial" w:eastAsia="Arial" w:hAnsi="Arial"/>
          <w:color w:val="1A1A2E"/>
          <w:sz w:val="19"/>
          <w:szCs w:val="19"/>
        </w:rPr>
        <w:t xml:space="preserve">Use this as the task list when building platform-eta and platform-zatca modules.</w:t>
      </w:r>
    </w:p>
    <w:p>
      <w:pPr>
        <w:spacing w:after="100" w:before="0"/>
      </w:pPr>
      <w:r>
        <w:t xml:space="preserve"/>
      </w:r>
    </w:p>
    <w:p>
      <w:pPr>
        <w:pStyle w:val="Heading2"/>
        <w:spacing w:after="160" w:before="360"/>
      </w:pPr>
      <w:r>
        <w:rPr>
          <w:rFonts w:ascii="Arial" w:cs="Arial" w:eastAsia="Arial" w:hAnsi="Arial"/>
          <w:b/>
          <w:bCs/>
          <w:color w:val="2E86AB"/>
          <w:sz w:val="26"/>
          <w:szCs w:val="26"/>
        </w:rPr>
        <w:t xml:space="preserve">4.1 platform-eta Module</w:t>
      </w:r>
    </w:p>
    <w:p>
      <w:pPr>
        <w:pStyle w:val="ListParagraph"/>
        <w:numPr>
          <w:ilvl w:val="0"/>
          <w:numId w:val="2"/>
        </w:numPr>
        <w:spacing w:after="50" w:before="50"/>
      </w:pPr>
      <w:r>
        <w:rPr>
          <w:rFonts w:ascii="Arial" w:cs="Arial" w:eastAsia="Arial" w:hAnsi="Arial"/>
          <w:color w:val="1A1A2E"/>
          <w:sz w:val="19"/>
          <w:szCs w:val="19"/>
        </w:rPr>
        <w:t xml:space="preserve">EtaTokenManager — OAuth2 token fetch, store, auto-refresh before expiry.</w:t>
      </w:r>
    </w:p>
    <w:p>
      <w:pPr>
        <w:pStyle w:val="ListParagraph"/>
        <w:numPr>
          <w:ilvl w:val="0"/>
          <w:numId w:val="2"/>
        </w:numPr>
        <w:spacing w:after="50" w:before="50"/>
      </w:pPr>
      <w:r>
        <w:rPr>
          <w:rFonts w:ascii="Arial" w:cs="Arial" w:eastAsia="Arial" w:hAnsi="Arial"/>
          <w:color w:val="1A1A2E"/>
          <w:sz w:val="19"/>
          <w:szCs w:val="19"/>
        </w:rPr>
        <w:t xml:space="preserve">EtaHttpClient — RestTemplate/WebClient wrapper with auto-token injection.</w:t>
      </w:r>
    </w:p>
    <w:p>
      <w:pPr>
        <w:pStyle w:val="ListParagraph"/>
        <w:numPr>
          <w:ilvl w:val="0"/>
          <w:numId w:val="2"/>
        </w:numPr>
        <w:spacing w:after="50" w:before="50"/>
      </w:pPr>
      <w:r>
        <w:rPr>
          <w:rFonts w:ascii="Arial" w:cs="Arial" w:eastAsia="Arial" w:hAnsi="Arial"/>
          <w:color w:val="1A1A2E"/>
          <w:sz w:val="19"/>
          <w:szCs w:val="19"/>
        </w:rPr>
        <w:t xml:space="preserve">EtaInvoiceSerializer — map platform Invoice entity → ETA JSON per document type version.</w:t>
      </w:r>
    </w:p>
    <w:p>
      <w:pPr>
        <w:pStyle w:val="ListParagraph"/>
        <w:numPr>
          <w:ilvl w:val="0"/>
          <w:numId w:val="2"/>
        </w:numPr>
        <w:spacing w:after="50" w:before="50"/>
      </w:pPr>
      <w:r>
        <w:rPr>
          <w:rFonts w:ascii="Arial" w:cs="Arial" w:eastAsia="Arial" w:hAnsi="Arial"/>
          <w:color w:val="1A1A2E"/>
          <w:sz w:val="19"/>
          <w:szCs w:val="19"/>
        </w:rPr>
        <w:t xml:space="preserve">EtaSigningService — CAdES-BES signature using company certificate (BouncyCastle).</w:t>
      </w:r>
    </w:p>
    <w:p>
      <w:pPr>
        <w:pStyle w:val="ListParagraph"/>
        <w:numPr>
          <w:ilvl w:val="0"/>
          <w:numId w:val="2"/>
        </w:numPr>
        <w:spacing w:after="50" w:before="50"/>
      </w:pPr>
      <w:r>
        <w:rPr>
          <w:rFonts w:ascii="Arial" w:cs="Arial" w:eastAsia="Arial" w:hAnsi="Arial"/>
          <w:color w:val="1A1A2E"/>
          <w:sz w:val="19"/>
          <w:szCs w:val="19"/>
        </w:rPr>
        <w:t xml:space="preserve">EtaSubmissionService — POST /documentsubmissions, parse response, update invoice status.</w:t>
      </w:r>
    </w:p>
    <w:p>
      <w:pPr>
        <w:pStyle w:val="ListParagraph"/>
        <w:numPr>
          <w:ilvl w:val="0"/>
          <w:numId w:val="2"/>
        </w:numPr>
        <w:spacing w:after="50" w:before="50"/>
      </w:pPr>
      <w:r>
        <w:rPr>
          <w:rFonts w:ascii="Arial" w:cs="Arial" w:eastAsia="Arial" w:hAnsi="Arial"/>
          <w:color w:val="1A1A2E"/>
          <w:sz w:val="19"/>
          <w:szCs w:val="19"/>
        </w:rPr>
        <w:t xml:space="preserve">EtaStatusService — GET /documentsubmissions/{id} and GET /documents/{id}/details.</w:t>
      </w:r>
    </w:p>
    <w:p>
      <w:pPr>
        <w:pStyle w:val="ListParagraph"/>
        <w:numPr>
          <w:ilvl w:val="0"/>
          <w:numId w:val="2"/>
        </w:numPr>
        <w:spacing w:after="50" w:before="50"/>
      </w:pPr>
      <w:r>
        <w:rPr>
          <w:rFonts w:ascii="Arial" w:cs="Arial" w:eastAsia="Arial" w:hAnsi="Arial"/>
          <w:color w:val="1A1A2E"/>
          <w:sz w:val="19"/>
          <w:szCs w:val="19"/>
        </w:rPr>
        <w:t xml:space="preserve">EtaDocumentService — cancel, reject, decline cancellation/rejection.</w:t>
      </w:r>
    </w:p>
    <w:p>
      <w:pPr>
        <w:pStyle w:val="ListParagraph"/>
        <w:numPr>
          <w:ilvl w:val="0"/>
          <w:numId w:val="2"/>
        </w:numPr>
        <w:spacing w:after="50" w:before="50"/>
      </w:pPr>
      <w:r>
        <w:rPr>
          <w:rFonts w:ascii="Arial" w:cs="Arial" w:eastAsia="Arial" w:hAnsi="Arial"/>
          <w:color w:val="1A1A2E"/>
          <w:sz w:val="19"/>
          <w:szCs w:val="19"/>
        </w:rPr>
        <w:t xml:space="preserve">EtaRetrievalService — recent docs, search, get single doc, bulk package download.</w:t>
      </w:r>
    </w:p>
    <w:p>
      <w:pPr>
        <w:pStyle w:val="ListParagraph"/>
        <w:numPr>
          <w:ilvl w:val="0"/>
          <w:numId w:val="2"/>
        </w:numPr>
        <w:spacing w:after="50" w:before="50"/>
      </w:pPr>
      <w:r>
        <w:rPr>
          <w:rFonts w:ascii="Arial" w:cs="Arial" w:eastAsia="Arial" w:hAnsi="Arial"/>
          <w:color w:val="1A1A2E"/>
          <w:sz w:val="19"/>
          <w:szCs w:val="19"/>
        </w:rPr>
        <w:t xml:space="preserve">EtaWebhookController — expose POST /eta/notifications and GET /eta/ping.</w:t>
      </w:r>
    </w:p>
    <w:p>
      <w:pPr>
        <w:pStyle w:val="ListParagraph"/>
        <w:numPr>
          <w:ilvl w:val="0"/>
          <w:numId w:val="2"/>
        </w:numPr>
        <w:spacing w:after="50" w:before="50"/>
      </w:pPr>
      <w:r>
        <w:rPr>
          <w:rFonts w:ascii="Arial" w:cs="Arial" w:eastAsia="Arial" w:hAnsi="Arial"/>
          <w:color w:val="1A1A2E"/>
          <w:sz w:val="19"/>
          <w:szCs w:val="19"/>
        </w:rPr>
        <w:t xml:space="preserve">EtaCodeService — EGS code creation, search, update.</w:t>
      </w:r>
    </w:p>
    <w:p>
      <w:pPr>
        <w:spacing w:after="100" w:before="0"/>
      </w:pPr>
      <w:r>
        <w:t xml:space="preserve"/>
      </w:r>
    </w:p>
    <w:p>
      <w:pPr>
        <w:pStyle w:val="Heading2"/>
        <w:spacing w:after="160" w:before="360"/>
      </w:pPr>
      <w:r>
        <w:rPr>
          <w:rFonts w:ascii="Arial" w:cs="Arial" w:eastAsia="Arial" w:hAnsi="Arial"/>
          <w:b/>
          <w:bCs/>
          <w:color w:val="2E86AB"/>
          <w:sz w:val="26"/>
          <w:szCs w:val="26"/>
        </w:rPr>
        <w:t xml:space="preserve">4.2 platform-zatca Module</w:t>
      </w:r>
    </w:p>
    <w:p>
      <w:pPr>
        <w:pStyle w:val="ListParagraph"/>
        <w:numPr>
          <w:ilvl w:val="0"/>
          <w:numId w:val="2"/>
        </w:numPr>
        <w:spacing w:after="50" w:before="50"/>
      </w:pPr>
      <w:r>
        <w:rPr>
          <w:rFonts w:ascii="Arial" w:cs="Arial" w:eastAsia="Arial" w:hAnsi="Arial"/>
          <w:color w:val="1A1A2E"/>
          <w:sz w:val="19"/>
          <w:szCs w:val="19"/>
        </w:rPr>
        <w:t xml:space="preserve">ZatcaHttpClient — RestTemplate wrapper with CSID Basic Auth header injection. Environment-aware base URL.</w:t>
      </w:r>
    </w:p>
    <w:p>
      <w:pPr>
        <w:pStyle w:val="ListParagraph"/>
        <w:numPr>
          <w:ilvl w:val="0"/>
          <w:numId w:val="2"/>
        </w:numPr>
        <w:spacing w:after="50" w:before="50"/>
      </w:pPr>
      <w:r>
        <w:rPr>
          <w:rFonts w:ascii="Arial" w:cs="Arial" w:eastAsia="Arial" w:hAnsi="Arial"/>
          <w:color w:val="1A1A2E"/>
          <w:sz w:val="19"/>
          <w:szCs w:val="19"/>
        </w:rPr>
        <w:t xml:space="preserve">ZatcaCsrGenerator — Generate ECDSA P-256 key pair and CSR for new/renewing branches.</w:t>
      </w:r>
    </w:p>
    <w:p>
      <w:pPr>
        <w:pStyle w:val="ListParagraph"/>
        <w:numPr>
          <w:ilvl w:val="0"/>
          <w:numId w:val="2"/>
        </w:numPr>
        <w:spacing w:after="50" w:before="50"/>
      </w:pPr>
      <w:r>
        <w:rPr>
          <w:rFonts w:ascii="Arial" w:cs="Arial" w:eastAsia="Arial" w:hAnsi="Arial"/>
          <w:color w:val="1A1A2E"/>
          <w:sz w:val="19"/>
          <w:szCs w:val="19"/>
        </w:rPr>
        <w:t xml:space="preserve">ZatcaOnboardingService — 3-step onboarding: POST /compliance → POST /compliance/invoices → POST /production/csids.</w:t>
      </w:r>
    </w:p>
    <w:p>
      <w:pPr>
        <w:pStyle w:val="ListParagraph"/>
        <w:numPr>
          <w:ilvl w:val="0"/>
          <w:numId w:val="2"/>
        </w:numPr>
        <w:spacing w:after="50" w:before="50"/>
      </w:pPr>
      <w:r>
        <w:rPr>
          <w:rFonts w:ascii="Arial" w:cs="Arial" w:eastAsia="Arial" w:hAnsi="Arial"/>
          <w:color w:val="1A1A2E"/>
          <w:sz w:val="19"/>
          <w:szCs w:val="19"/>
        </w:rPr>
        <w:t xml:space="preserve">ZatcaCertRenewalService — PATCH /production/csids, update authority_configs, trigger alert.</w:t>
      </w:r>
    </w:p>
    <w:p>
      <w:pPr>
        <w:pStyle w:val="ListParagraph"/>
        <w:numPr>
          <w:ilvl w:val="0"/>
          <w:numId w:val="2"/>
        </w:numPr>
        <w:spacing w:after="50" w:before="50"/>
      </w:pPr>
      <w:r>
        <w:rPr>
          <w:rFonts w:ascii="Arial" w:cs="Arial" w:eastAsia="Arial" w:hAnsi="Arial"/>
          <w:color w:val="1A1A2E"/>
          <w:sz w:val="19"/>
          <w:szCs w:val="19"/>
        </w:rPr>
        <w:t xml:space="preserve">ZatcaUblBuilder — Build UBL 2.1 XML from platform Invoice entity. All KSA business rules applied.</w:t>
      </w:r>
    </w:p>
    <w:p>
      <w:pPr>
        <w:pStyle w:val="ListParagraph"/>
        <w:numPr>
          <w:ilvl w:val="0"/>
          <w:numId w:val="2"/>
        </w:numPr>
        <w:spacing w:after="50" w:before="50"/>
      </w:pPr>
      <w:r>
        <w:rPr>
          <w:rFonts w:ascii="Arial" w:cs="Arial" w:eastAsia="Arial" w:hAnsi="Arial"/>
          <w:color w:val="1A1A2E"/>
          <w:sz w:val="19"/>
          <w:szCs w:val="19"/>
        </w:rPr>
        <w:t xml:space="preserve">ZatcaHashService — SHA-256 invoice hash, invoice chaining (previous hash management per branch).</w:t>
      </w:r>
    </w:p>
    <w:p>
      <w:pPr>
        <w:pStyle w:val="ListParagraph"/>
        <w:numPr>
          <w:ilvl w:val="0"/>
          <w:numId w:val="2"/>
        </w:numPr>
        <w:spacing w:after="50" w:before="50"/>
      </w:pPr>
      <w:r>
        <w:rPr>
          <w:rFonts w:ascii="Arial" w:cs="Arial" w:eastAsia="Arial" w:hAnsi="Arial"/>
          <w:color w:val="1A1A2E"/>
          <w:sz w:val="19"/>
          <w:szCs w:val="19"/>
        </w:rPr>
        <w:t xml:space="preserve">ZatcaQrService — TLV encoder for QR code fields, base64 output, QR image generation.</w:t>
      </w:r>
    </w:p>
    <w:p>
      <w:pPr>
        <w:pStyle w:val="ListParagraph"/>
        <w:numPr>
          <w:ilvl w:val="0"/>
          <w:numId w:val="2"/>
        </w:numPr>
        <w:spacing w:after="50" w:before="50"/>
      </w:pPr>
      <w:r>
        <w:rPr>
          <w:rFonts w:ascii="Arial" w:cs="Arial" w:eastAsia="Arial" w:hAnsi="Arial"/>
          <w:color w:val="1A1A2E"/>
          <w:sz w:val="19"/>
          <w:szCs w:val="19"/>
        </w:rPr>
        <w:t xml:space="preserve">ZatcaSigningService — XAdES-BES enveloped signature using CSID private key (xades4j / Apache Santuario).</w:t>
      </w:r>
    </w:p>
    <w:p>
      <w:pPr>
        <w:pStyle w:val="ListParagraph"/>
        <w:numPr>
          <w:ilvl w:val="0"/>
          <w:numId w:val="2"/>
        </w:numPr>
        <w:spacing w:after="50" w:before="50"/>
      </w:pPr>
      <w:r>
        <w:rPr>
          <w:rFonts w:ascii="Arial" w:cs="Arial" w:eastAsia="Arial" w:hAnsi="Arial"/>
          <w:color w:val="1A1A2E"/>
          <w:sz w:val="19"/>
          <w:szCs w:val="19"/>
        </w:rPr>
        <w:t xml:space="preserve">ZatcaClearanceService — POST /invoices/clearance/single, parse response, store cleared XML, update status.</w:t>
      </w:r>
    </w:p>
    <w:p>
      <w:pPr>
        <w:pStyle w:val="ListParagraph"/>
        <w:numPr>
          <w:ilvl w:val="0"/>
          <w:numId w:val="2"/>
        </w:numPr>
        <w:spacing w:after="50" w:before="50"/>
      </w:pPr>
      <w:r>
        <w:rPr>
          <w:rFonts w:ascii="Arial" w:cs="Arial" w:eastAsia="Arial" w:hAnsi="Arial"/>
          <w:color w:val="1A1A2E"/>
          <w:sz w:val="19"/>
          <w:szCs w:val="19"/>
        </w:rPr>
        <w:t xml:space="preserve">ZatcaReportingService — POST /invoices/reporting/single, parse response, update status.</w:t>
      </w:r>
    </w:p>
    <w:p>
      <w:pPr>
        <w:pStyle w:val="ListParagraph"/>
        <w:numPr>
          <w:ilvl w:val="0"/>
          <w:numId w:val="2"/>
        </w:numPr>
        <w:spacing w:after="50" w:before="50"/>
      </w:pPr>
      <w:r>
        <w:rPr>
          <w:rFonts w:ascii="Arial" w:cs="Arial" w:eastAsia="Arial" w:hAnsi="Arial"/>
          <w:color w:val="1A1A2E"/>
          <w:sz w:val="19"/>
          <w:szCs w:val="19"/>
        </w:rPr>
        <w:t xml:space="preserve">ZatcaCertExpiryJob — Spring @Scheduled job that checks CSID expiry daily, triggers 30-day alert email + dashboard notification.</w:t>
      </w:r>
    </w:p>
    <w:p>
      <w:pPr>
        <w:spacing w:after="2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20"/>
    </w:pPr>
    <w:r>
      <w:rPr>
        <w:rFonts w:ascii="Arial" w:cs="Arial" w:eastAsia="Arial" w:hAnsi="Arial"/>
        <w:color w:val="555555"/>
        <w:sz w:val="15"/>
        <w:szCs w:val="15"/>
      </w:rPr>
      <w:t xml:space="preserve">Internal Use Only — SpecKit Implementation Reference</w:t>
    </w:r>
    <w:r>
      <w:rPr>
        <w:rFonts w:ascii="Arial" w:cs="Arial" w:eastAsia="Arial" w:hAnsi="Arial"/>
        <w:sz w:val="15"/>
        <w:szCs w:val="15"/>
      </w:rPr>
      <w:t xml:space="preserve">	</w:t>
    </w:r>
    <w:r>
      <w:rPr>
        <w:rFonts w:ascii="Arial" w:cs="Arial" w:eastAsia="Arial" w:hAnsi="Arial"/>
        <w:color w:val="555555"/>
        <w:sz w:val="15"/>
        <w:szCs w:val="15"/>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026"/>
      </w:tabs>
      <w:spacing w:after="160" w:before="0"/>
    </w:pPr>
    <w:r>
      <w:rPr>
        <w:rFonts w:ascii="Arial" w:cs="Arial" w:eastAsia="Arial" w:hAnsi="Arial"/>
        <w:color w:val="555555"/>
        <w:sz w:val="16"/>
        <w:szCs w:val="16"/>
      </w:rPr>
      <w:t xml:space="preserve">E-Invoicing Platform  |  API Reference Map  |  v1.0</w:t>
    </w:r>
    <w:r>
      <w:rPr>
        <w:rFonts w:ascii="Arial" w:cs="Arial" w:eastAsia="Arial" w:hAnsi="Arial"/>
        <w:sz w:val="16"/>
        <w:szCs w:val="16"/>
      </w:rPr>
      <w:t xml:space="preserve">	</w:t>
    </w:r>
    <w:r>
      <w:rPr>
        <w:rFonts w:ascii="Arial" w:cs="Arial" w:eastAsia="Arial" w:hAnsi="Arial"/>
        <w:b/>
        <w:bCs/>
        <w:color w:val="1E3A5F"/>
        <w:sz w:val="16"/>
        <w:szCs w:val="16"/>
      </w:rPr>
      <w:t xml:space="preserve">ETA (Egypt)  +  ZATCA (Saudi Arabia)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2E86A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2026-04-07T10:10:02.856Z</dcterms:created>
  <dcterms:modified xsi:type="dcterms:W3CDTF">2026-04-07T10:10:02.859Z</dcterms:modified>
</cp:coreProperties>
</file>

<file path=docProps/custom.xml><?xml version="1.0" encoding="utf-8"?>
<Properties xmlns="http://schemas.openxmlformats.org/officeDocument/2006/custom-properties" xmlns:vt="http://schemas.openxmlformats.org/officeDocument/2006/docPropsVTypes"/>
</file>