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Plan To Launch In Egypt</w:t>
      </w:r>
    </w:p>
    <w:p>
      <w:r>
        <w:rPr>
          <w:b w:val="0"/>
          <w:i w:val="0"/>
        </w:rPr>
        <w:t>This plan is based on the current product direction in this repo and current digital behavior data for Egypt.</w:t>
      </w:r>
    </w:p>
    <w:p>
      <w:pPr>
        <w:pStyle w:val="Heading1"/>
      </w:pPr>
      <w:r>
        <w:t>Market Reality</w:t>
      </w:r>
    </w:p>
    <w:p>
      <w:r>
        <w:rPr>
          <w:b w:val="0"/>
          <w:i w:val="0"/>
        </w:rPr>
        <w:t>DataReportal's Digital 2026 Egypt report says Egypt had 98.2 million internet users at the end of 2025 and 51.6 million active social media user identities in October 2025. That supports a launch plan built around Meta, short-form video, WhatsApp-based sales motion, and founder-led demos.</w:t>
      </w:r>
    </w:p>
    <w:p>
      <w:pPr>
        <w:pStyle w:val="Heading1"/>
      </w:pPr>
      <w:r>
        <w:t>Target Segments</w:t>
      </w:r>
    </w:p>
    <w:p>
      <w:pPr>
        <w:pStyle w:val="Heading2"/>
      </w:pPr>
      <w:r>
        <w:t>Independent Cafes</w:t>
      </w:r>
    </w:p>
    <w:p>
      <w:r>
        <w:rPr>
          <w:b w:val="0"/>
          <w:i w:val="0"/>
        </w:rPr>
        <w:t>Fastest sales cycle, strong fit for Launch tier, very sensitive to onboarding simplicity and hardware cost.</w:t>
      </w:r>
    </w:p>
    <w:p>
      <w:pPr>
        <w:pStyle w:val="Heading2"/>
      </w:pPr>
      <w:r>
        <w:t>Mid-Size Restaurants</w:t>
      </w:r>
    </w:p>
    <w:p>
      <w:r>
        <w:rPr>
          <w:b w:val="0"/>
          <w:i w:val="0"/>
        </w:rPr>
        <w:t>Need waiter-kitchen-cashier coordination and ownership visibility. This should be the main initial revenue segment.</w:t>
      </w:r>
    </w:p>
    <w:p>
      <w:pPr>
        <w:pStyle w:val="Heading2"/>
      </w:pPr>
      <w:r>
        <w:t>Small Chains</w:t>
      </w:r>
    </w:p>
    <w:p>
      <w:r>
        <w:rPr>
          <w:b w:val="0"/>
          <w:i w:val="0"/>
        </w:rPr>
        <w:t>Best long-term logo value because branch comparison, SaaS control, and loyalty become much more important.</w:t>
      </w:r>
    </w:p>
    <w:p>
      <w:pPr>
        <w:pStyle w:val="Heading1"/>
      </w:pPr>
      <w:r>
        <w:t>Positioning Message</w:t>
      </w:r>
    </w:p>
    <w:p>
      <w:pPr>
        <w:pStyle w:val="ListBullet"/>
      </w:pPr>
      <w:r>
        <w:t>Built for Egyptian restaurant operations, not just generic point-of-sale checkout.</w:t>
      </w:r>
    </w:p>
    <w:p>
      <w:pPr>
        <w:pStyle w:val="ListBullet"/>
      </w:pPr>
      <w:r>
        <w:t>Stronger floor operations UX: waiter, kitchen, cashier, and owner all have focused role workspaces.</w:t>
      </w:r>
    </w:p>
    <w:p>
      <w:pPr>
        <w:pStyle w:val="ListBullet"/>
      </w:pPr>
      <w:r>
        <w:t>More customizable than off-the-shelf suites when a branch has special service rules.</w:t>
      </w:r>
    </w:p>
    <w:p>
      <w:pPr>
        <w:pStyle w:val="ListBullet"/>
      </w:pPr>
      <w:r>
        <w:t>Customer layer is not an afterthought: history, branches, and points are built into the product story.</w:t>
      </w:r>
    </w:p>
    <w:p>
      <w:pPr>
        <w:pStyle w:val="Heading1"/>
      </w:pPr>
      <w:r>
        <w:t>Channel Mix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Execution</w:t>
            </w:r>
          </w:p>
        </w:tc>
      </w:tr>
      <w:tr>
        <w:tc>
          <w:tcPr>
            <w:tcW w:type="dxa" w:w="3408"/>
          </w:tcPr>
          <w:p>
            <w:r>
              <w:t>Meta Ads</w:t>
            </w:r>
          </w:p>
        </w:tc>
        <w:tc>
          <w:tcPr>
            <w:tcW w:type="dxa" w:w="3408"/>
          </w:tcPr>
          <w:p>
            <w:r>
              <w:t>Demand capture and demo bookings</w:t>
            </w:r>
          </w:p>
        </w:tc>
        <w:tc>
          <w:tcPr>
            <w:tcW w:type="dxa" w:w="3408"/>
          </w:tcPr>
          <w:p>
            <w:r>
              <w:t>Arabic and English creatives targeting restaurant owners, operations managers, and F&amp;B entrepreneurs in Cairo, Giza, Alexandria, North Coast, and New Cairo.</w:t>
            </w:r>
          </w:p>
        </w:tc>
      </w:tr>
      <w:tr>
        <w:tc>
          <w:tcPr>
            <w:tcW w:type="dxa" w:w="3408"/>
          </w:tcPr>
          <w:p>
            <w:r>
              <w:t>Founder-led short video</w:t>
            </w:r>
          </w:p>
        </w:tc>
        <w:tc>
          <w:tcPr>
            <w:tcW w:type="dxa" w:w="3408"/>
          </w:tcPr>
          <w:p>
            <w:r>
              <w:t>Trust and product proof</w:t>
            </w:r>
          </w:p>
        </w:tc>
        <w:tc>
          <w:tcPr>
            <w:tcW w:type="dxa" w:w="3408"/>
          </w:tcPr>
          <w:p>
            <w:r>
              <w:t>Weekly short demos of table service, kitchen board, split payments, and owner insights on Facebook, Instagram Reels, TikTok, and LinkedIn.</w:t>
            </w:r>
          </w:p>
        </w:tc>
      </w:tr>
      <w:tr>
        <w:tc>
          <w:tcPr>
            <w:tcW w:type="dxa" w:w="3408"/>
          </w:tcPr>
          <w:p>
            <w:r>
              <w:t>WhatsApp sales motion</w:t>
            </w:r>
          </w:p>
        </w:tc>
        <w:tc>
          <w:tcPr>
            <w:tcW w:type="dxa" w:w="3408"/>
          </w:tcPr>
          <w:p>
            <w:r>
              <w:t>Close demos into pilots</w:t>
            </w:r>
          </w:p>
        </w:tc>
        <w:tc>
          <w:tcPr>
            <w:tcW w:type="dxa" w:w="3408"/>
          </w:tcPr>
          <w:p>
            <w:r>
              <w:t>Every ad and landing page CTA should push toward WhatsApp for fast Arabic sales conversation and branch quoting.</w:t>
            </w:r>
          </w:p>
        </w:tc>
      </w:tr>
      <w:tr>
        <w:tc>
          <w:tcPr>
            <w:tcW w:type="dxa" w:w="3408"/>
          </w:tcPr>
          <w:p>
            <w:r>
              <w:t>Field partnerships</w:t>
            </w:r>
          </w:p>
        </w:tc>
        <w:tc>
          <w:tcPr>
            <w:tcW w:type="dxa" w:w="3408"/>
          </w:tcPr>
          <w:p>
            <w:r>
              <w:t>Credibility and referrals</w:t>
            </w:r>
          </w:p>
        </w:tc>
        <w:tc>
          <w:tcPr>
            <w:tcW w:type="dxa" w:w="3408"/>
          </w:tcPr>
          <w:p>
            <w:r>
              <w:t>Partner with restaurant consultants, fit-out companies, POS hardware resellers, and local accounting firms serving hospitality operators.</w:t>
            </w:r>
          </w:p>
        </w:tc>
      </w:tr>
      <w:tr>
        <w:tc>
          <w:tcPr>
            <w:tcW w:type="dxa" w:w="3408"/>
          </w:tcPr>
          <w:p>
            <w:r>
              <w:t>Referral loop</w:t>
            </w:r>
          </w:p>
        </w:tc>
        <w:tc>
          <w:tcPr>
            <w:tcW w:type="dxa" w:w="3408"/>
          </w:tcPr>
          <w:p>
            <w:r>
              <w:t>Low-CAC expansion</w:t>
            </w:r>
          </w:p>
        </w:tc>
        <w:tc>
          <w:tcPr>
            <w:tcW w:type="dxa" w:w="3408"/>
          </w:tcPr>
          <w:p>
            <w:r>
              <w:t>Offer one free month or discounted implementation for every referred branch that goes live.</w:t>
            </w:r>
          </w:p>
        </w:tc>
      </w:tr>
    </w:tbl>
    <w:p/>
    <w:p>
      <w:pPr>
        <w:pStyle w:val="Heading1"/>
      </w:pPr>
      <w:r>
        <w:t>90-Day Launch Plan</w:t>
      </w:r>
    </w:p>
    <w:p>
      <w:pPr>
        <w:pStyle w:val="Heading2"/>
      </w:pPr>
      <w:r>
        <w:t>Phase 1: Proof</w:t>
      </w:r>
    </w:p>
    <w:p>
      <w:pPr>
        <w:pStyle w:val="ListBullet"/>
      </w:pPr>
      <w:r>
        <w:t>Land 3 pilot branches.</w:t>
      </w:r>
    </w:p>
    <w:p>
      <w:pPr>
        <w:pStyle w:val="ListBullet"/>
      </w:pPr>
      <w:r>
        <w:t>Film real service walkthroughs using the waiter, kitchen, cashier, and owner apps.</w:t>
      </w:r>
    </w:p>
    <w:p>
      <w:pPr>
        <w:pStyle w:val="ListBullet"/>
      </w:pPr>
      <w:r>
        <w:t>Produce Arabic case-study pages focused on time saved, refund control, and branch visibility.</w:t>
      </w:r>
    </w:p>
    <w:p>
      <w:pPr>
        <w:pStyle w:val="Heading2"/>
      </w:pPr>
      <w:r>
        <w:t>Phase 2: Pipeline</w:t>
      </w:r>
    </w:p>
    <w:p>
      <w:pPr>
        <w:pStyle w:val="ListBullet"/>
      </w:pPr>
      <w:r>
        <w:t>Run always-on Meta lead campaigns.</w:t>
      </w:r>
    </w:p>
    <w:p>
      <w:pPr>
        <w:pStyle w:val="ListBullet"/>
      </w:pPr>
      <w:r>
        <w:t>Use WhatsApp follow-up within 5 minutes for inbound leads.</w:t>
      </w:r>
    </w:p>
    <w:p>
      <w:pPr>
        <w:pStyle w:val="ListBullet"/>
      </w:pPr>
      <w:r>
        <w:t>Offer fixed-scope paid setup for operators who want fast launch with minimal custom work.</w:t>
      </w:r>
    </w:p>
    <w:p>
      <w:pPr>
        <w:pStyle w:val="Heading2"/>
      </w:pPr>
      <w:r>
        <w:t>Phase 3: Expansion</w:t>
      </w:r>
    </w:p>
    <w:p>
      <w:pPr>
        <w:pStyle w:val="ListBullet"/>
      </w:pPr>
      <w:r>
        <w:t>Push multi-branch reporting and loyalty success stories.</w:t>
      </w:r>
    </w:p>
    <w:p>
      <w:pPr>
        <w:pStyle w:val="ListBullet"/>
      </w:pPr>
      <w:r>
        <w:t>Use founder content to position the product as the customizable Egypt-focused alternative.</w:t>
      </w:r>
    </w:p>
    <w:p>
      <w:pPr>
        <w:pStyle w:val="ListBullet"/>
      </w:pPr>
      <w:r>
        <w:t>Build a named implementation package for chains.</w:t>
      </w:r>
    </w:p>
    <w:p>
      <w:pPr>
        <w:pStyle w:val="Heading2"/>
      </w:pPr>
      <w:r>
        <w:t>Phase 4: Brand Authority</w:t>
      </w:r>
    </w:p>
    <w:p>
      <w:pPr>
        <w:pStyle w:val="ListBullet"/>
      </w:pPr>
      <w:r>
        <w:t>Publish quarterly Egypt restaurant operations benchmark reports.</w:t>
      </w:r>
    </w:p>
    <w:p>
      <w:pPr>
        <w:pStyle w:val="ListBullet"/>
      </w:pPr>
      <w:r>
        <w:t>Host small breakfast events for owners and investors.</w:t>
      </w:r>
    </w:p>
    <w:p>
      <w:pPr>
        <w:pStyle w:val="ListBullet"/>
      </w:pPr>
      <w:r>
        <w:t>Turn best branches into video references and on-site tour references.</w:t>
      </w:r>
    </w:p>
    <w:p>
      <w:pPr>
        <w:pStyle w:val="Heading1"/>
      </w:pPr>
      <w:r>
        <w:t>Recommended Monthly Marketing Budget</w:t>
      </w:r>
    </w:p>
    <w:p>
      <w:pPr>
        <w:pStyle w:val="ListBullet"/>
      </w:pPr>
      <w:r>
        <w:t>Starter: EGP 35,000 per month for one city focus.</w:t>
      </w:r>
    </w:p>
    <w:p>
      <w:pPr>
        <w:pStyle w:val="ListBullet"/>
      </w:pPr>
      <w:r>
        <w:t>Growth: EGP 75,000 per month for Cairo + Giza + Alexandria coverage.</w:t>
      </w:r>
    </w:p>
    <w:p>
      <w:pPr>
        <w:pStyle w:val="ListBullet"/>
      </w:pPr>
      <w:r>
        <w:t>Scale: EGP 150,000+ per month when you have strong case studies and a repeatable implementation team.</w:t>
      </w:r>
    </w:p>
    <w:p>
      <w:r>
        <w:rPr>
          <w:b w:val="0"/>
          <w:i w:val="0"/>
        </w:rPr>
        <w:t>This budget guidance is a recommendation, not a sourced market rate. The exact split should be tuned after the first 30 days of lead quality data.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Qualified demos booked per month</w:t>
      </w:r>
    </w:p>
    <w:p>
      <w:pPr>
        <w:pStyle w:val="ListBullet"/>
      </w:pPr>
      <w:r>
        <w:t>Pilot-to-live conversion rate</w:t>
      </w:r>
    </w:p>
    <w:p>
      <w:pPr>
        <w:pStyle w:val="ListBullet"/>
      </w:pPr>
      <w:r>
        <w:t>Average branch implementation time</w:t>
      </w:r>
    </w:p>
    <w:p>
      <w:pPr>
        <w:pStyle w:val="ListBullet"/>
      </w:pPr>
      <w:r>
        <w:t>Payback period on marketing spend</w:t>
      </w:r>
    </w:p>
    <w:p>
      <w:pPr>
        <w:pStyle w:val="ListBullet"/>
      </w:pPr>
      <w:r>
        <w:t>Referral share of new business</w:t>
      </w:r>
    </w:p>
    <w:p>
      <w:pPr>
        <w:pStyle w:val="Heading1"/>
      </w:pPr>
      <w:r>
        <w:t>Sources</w:t>
      </w:r>
    </w:p>
    <w:p>
      <w:pPr>
        <w:pStyle w:val="ListBullet"/>
      </w:pPr>
      <w:r>
        <w:t>DataReportal Digital 2026 Egypt (https://datareportal.com/reports/digital-2026-egypt)</w:t>
      </w:r>
    </w:p>
    <w:p>
      <w:pPr>
        <w:pStyle w:val="ListBullet"/>
      </w:pPr>
      <w:r>
        <w:t>NAOS Egyptians and Digital 2025 report (https://naos-solutions.com/egyptians-and-digital-2025-report/)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