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3: Architectural Justification</w:t>
      </w:r>
    </w:p>
    <w:p>
      <w:pPr>
        <w:spacing w:after="200"/>
        <w:jc w:val="center"/>
      </w:pPr>
      <w:r>
        <w:rPr>
          <w:i/>
          <w:iCs/>
          <w:sz w:val="22"/>
          <w:szCs w:val="22"/>
        </w:rPr>
        <w:t xml:space="preserve">Telemedicine Slot Booking &amp; Prescription Portal</w:t>
      </w:r>
    </w:p>
    <w:p>
      <w:pPr>
        <w:spacing w:after="160"/>
      </w:pPr>
      <w:r>
        <w:rPr>
          <w:b/>
          <w:bCs/>
        </w:rPr>
        <w:t xml:space="preserve">We chose Microservices Architecture for the Telemedicine Slot Booking &amp; Prescription Portal System.</w:t>
      </w:r>
    </w:p>
    <w:p>
      <w:pPr>
        <w:pStyle w:val="Heading2"/>
        <w:spacing w:after="80" w:before="120"/>
      </w:pPr>
      <w:r>
        <w:t xml:space="preserve">Architectural Choice</w:t>
      </w:r>
    </w:p>
    <w:p>
      <w:pPr>
        <w:spacing w:after="160"/>
      </w:pPr>
      <w:r>
        <w:t xml:space="preserve">The system is decomposed into five independently deployable services — Portal UI, Booking Service, Video Consultation Service, Prescription Service, and Notification Service — each communicating through well-defined provided/required interfaces (Booking, Video Session, Prescription, and Notification interfaces).</w:t>
      </w:r>
    </w:p>
    <w:p>
      <w:pPr>
        <w:pStyle w:val="Heading2"/>
        <w:spacing w:after="80" w:before="120"/>
      </w:pPr>
      <w:r>
        <w:t xml:space="preserve">Reason 1 — Independent Scaling of Video Load</w:t>
      </w:r>
    </w:p>
    <w:p>
      <w:pPr>
        <w:spacing w:after="160"/>
      </w:pPr>
      <w:r>
        <w:t xml:space="preserve">Live video consultations (FR-004) generate unpredictable, resource-intensive traffic that spikes independently of booking or prescription activity. A microservices split lets the Video Consultation Service scale its own compute and bandwidth horizontally during peak clinic hours without over-provisioning the rest of the system, which a monolithic Layered architecture cannot do since all functionality shares one deployment unit.</w:t>
      </w:r>
    </w:p>
    <w:p>
      <w:pPr>
        <w:pStyle w:val="Heading2"/>
        <w:spacing w:after="80" w:before="120"/>
      </w:pPr>
      <w:r>
        <w:t xml:space="preserve">Reason 2 — Fault Isolation Across Distinct Workflows</w:t>
      </w:r>
    </w:p>
    <w:p>
      <w:pPr>
        <w:spacing w:after="160"/>
      </w:pPr>
      <w:r>
        <w:t xml:space="preserve">Booking, video consultation, and prescription management are functionally distinct workflows with different failure modes. If the Notification Service or Video Consultation Service experiences an outage, the Booking Service and Prescription Service continue operating independently. A Client-Server architecture would centralize all logic behind one server, turning any single failure into a system-wide outage — unacceptable for a healthcare platform where booking and prescription access must remain available even if video sessions are degraded.</w:t>
      </w:r>
    </w:p>
    <w:p>
      <w:pPr>
        <w:pStyle w:val="Heading2"/>
        <w:spacing w:after="80" w:before="120"/>
      </w:pPr>
      <w:r>
        <w:t xml:space="preserve">Security Advantage</w:t>
      </w:r>
    </w:p>
    <w:p>
      <w:pPr>
        <w:spacing w:after="160"/>
      </w:pPr>
      <w:r>
        <w:t xml:space="preserve">Isolating services lets sensitive PHI-handling components (Prescription Service, Booking Service) enforce stricter access controls and encryption boundaries (NFR-001: TLS 1.3 in transit, AES-256 at rest) independently of lower-sensitivity components like the Notification Service. A breach or vulnerability in one service — for example, a compromised Notification Service sending SMS — does not directly expose the Prescription Service's data store, since each microservice owns its own data and interface surface rather than sharing a single database and trust boundary.</w:t>
      </w:r>
    </w:p>
    <w:p>
      <w:pPr>
        <w:pStyle w:val="Heading2"/>
        <w:spacing w:after="80" w:before="120"/>
      </w:pPr>
      <w:r>
        <w:t xml:space="preserve">Performance Benefit</w:t>
      </w:r>
    </w:p>
    <w:p>
      <w:pPr>
        <w:spacing w:after="160"/>
      </w:pPr>
      <w:r>
        <w:t xml:space="preserve">Because each service is deployed and scaled independently, the Video Consultation Service can be provisioned on infrastructure optimized for low-latency streaming (satisfying NFR-002's 99.5% uptime target during consultation hours), while the Booking and Prescription services can be scaled separately based on their own request patterns. This targeted scaling avoids the performance bottleneck of a single shared server handling all request types, which is the primary weakness of the Client-Server pattern under concurrent load.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2026-09-15T15:10:34.285Z</dcterms:created>
  <dcterms:modified xsi:type="dcterms:W3CDTF">2026-09-15T15:10:34.295Z</dcterms:modified>
</cp:coreProperties>
</file>

<file path=docProps/custom.xml><?xml version="1.0" encoding="utf-8"?>
<Properties xmlns="http://schemas.openxmlformats.org/officeDocument/2006/custom-properties" xmlns:vt="http://schemas.openxmlformats.org/officeDocument/2006/docPropsVTypes"/>
</file>