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USMLE Step 1 — Retake Plan</w:t>
      </w:r>
    </w:p>
    <w:p>
      <w:pPr>
        <w:spacing w:after="120"/>
      </w:pPr>
      <w:r>
        <w:rPr>
          <w:i/>
          <w:iCs/>
          <w:color w:val="666666"/>
        </w:rPr>
        <w:t xml:space="preserve">Built from your March 2026 score report. Phase-based, so it adapts to whatever timeline you have.</w:t>
      </w:r>
    </w:p>
    <w:p>
      <w:pPr>
        <w:pStyle w:val="Heading1"/>
        <w:spacing w:after="160" w:before="320"/>
      </w:pPr>
      <w:r>
        <w:t xml:space="preserve">Start Here: What Your Score Report Actually Says</w:t>
      </w:r>
    </w:p>
    <w:p>
      <w:pPr>
        <w:pBdr>
          <w:left w:val="single" w:color="2E7D32" w:sz="18" w:space="12"/>
        </w:pBdr>
        <w:spacing w:after="160" w:before="160"/>
        <w:ind w:left="180"/>
      </w:pPr>
      <w:r>
        <w:rPr>
          <w:b/>
          <w:bCs/>
          <w:color w:val="2E7D32"/>
        </w:rPr>
        <w:t xml:space="preserve">You are a narrow miss, not a broad failure. </w:t>
      </w:r>
      <w:r>
        <w:t xml:space="preserve">Every box on your report is measured against people who barely passed. Almost every one of yours reads "Same" — Pathology, Cardiovascular, GI, Renal/Respiratory, Repro/Endocrine, Blood/Immune, Micro, Pharm, Anatomy, Immunology, Histology, and both major physician tasks. Your score sits just left of the passing line. You are not far away. Do not study as though you are.</w:t>
      </w:r>
    </w:p>
    <w:p>
      <w:pPr>
        <w:spacing w:after="120"/>
      </w:pPr>
      <w:r>
        <w:t xml:space="preserve">This matters because the instinctive response to failing is "I need to do more of everything." Your report says otherwise. A small number of specific areas are dragging you under a line you are otherwise sitting right on. This plan aims at those.</w:t>
      </w:r>
    </w:p>
    <w:p>
      <w:pPr>
        <w:pStyle w:val="Heading2"/>
        <w:spacing w:after="120" w:before="240"/>
      </w:pPr>
      <w:r>
        <w:t xml:space="preserve">Where you are holding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E2EFDA" w:val="clear"/>
            <w:tcMar>
              <w:top w:type="dxa" w:w="80"/>
              <w:left w:type="dxa" w:w="120"/>
              <w:bottom w:type="dxa" w:w="80"/>
              <w:right w:type="dxa" w:w="120"/>
            </w:tcMar>
          </w:tcPr>
          <w:p>
            <w:pPr>
              <w:jc w:val="left"/>
            </w:pPr>
            <w:r>
              <w:rPr>
                <w:b/>
                <w:bCs/>
              </w:rPr>
              <w:t xml:space="preserve">Holding at low-pass level ("Same")</w:t>
            </w:r>
          </w:p>
        </w:tc>
        <w:tc>
          <w:tcPr>
            <w:tcW w:type="dxa" w:w="4600"/>
            <w:shd w:fill="E2EFDA" w:val="clear"/>
            <w:tcMar>
              <w:top w:type="dxa" w:w="80"/>
              <w:left w:type="dxa" w:w="120"/>
              <w:bottom w:type="dxa" w:w="80"/>
              <w:right w:type="dxa" w:w="120"/>
            </w:tcMar>
          </w:tcPr>
          <w:p>
            <w:pPr>
              <w:jc w:val="left"/>
            </w:pPr>
            <w:r>
              <w:rPr>
                <w:b/>
                <w:bCs/>
              </w:rPr>
              <w:t xml:space="preserve">What this tells you</w:t>
            </w:r>
          </w:p>
        </w:tc>
      </w:tr>
      <w:tr>
        <w:tc>
          <w:tcPr>
            <w:tcW w:type="dxa" w:w="4600"/>
            <w:tcMar>
              <w:top w:type="dxa" w:w="80"/>
              <w:left w:type="dxa" w:w="120"/>
              <w:bottom w:type="dxa" w:w="80"/>
              <w:right w:type="dxa" w:w="120"/>
            </w:tcMar>
          </w:tcPr>
          <w:p>
            <w:pPr>
              <w:jc w:val="left"/>
            </w:pPr>
            <w:r>
              <w:rPr>
                <w:b w:val="false"/>
                <w:bCs w:val="false"/>
              </w:rPr>
              <w:t xml:space="preserve">Pathology (45–55% of exam), Cardiovascular, GI, Respiratory/Renal, Reproductive/Endocrine, Blood/Immune, Microbiology, Pharmacology, Gross Anatomy, Immunology, Histology</w:t>
            </w:r>
          </w:p>
        </w:tc>
        <w:tc>
          <w:tcPr>
            <w:tcW w:type="dxa" w:w="4600"/>
            <w:tcMar>
              <w:top w:type="dxa" w:w="80"/>
              <w:left w:type="dxa" w:w="120"/>
              <w:bottom w:type="dxa" w:w="80"/>
              <w:right w:type="dxa" w:w="120"/>
            </w:tcMar>
          </w:tcPr>
          <w:p>
            <w:pPr>
              <w:jc w:val="left"/>
            </w:pPr>
            <w:r>
              <w:rPr>
                <w:b w:val="false"/>
                <w:bCs w:val="false"/>
              </w:rPr>
              <w:t xml:space="preserve">Your fact recall is largely intact. Pathology — the biggest discipline on the exam — is not your problem. What is failing is mechanistic reasoning, which is precisely what Physiology tests.</w:t>
            </w:r>
          </w:p>
        </w:tc>
      </w:tr>
    </w:tbl>
    <w:p>
      <w:pPr>
        <w:spacing w:after="120"/>
      </w:pPr>
      <w:r>
        <w:t xml:space="preserve"/>
      </w:r>
    </w:p>
    <w:p>
      <w:pPr>
        <w:pStyle w:val="Heading2"/>
        <w:spacing w:after="120" w:before="240"/>
      </w:pPr>
      <w:r>
        <w:t xml:space="preserve">Where you are losing points — ranked by exam weight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700"/>
        <w:gridCol w:w="2600"/>
      </w:tblGrid>
      <w:tr>
        <w:trPr>
          <w:tblHeader/>
        </w:trPr>
        <w:tc>
          <w:tcPr>
            <w:tcW w:type="dxa" w:w="3400"/>
            <w:shd w:fill="DCE6F1" w:val="clear"/>
            <w:tcMar>
              <w:top w:type="dxa" w:w="80"/>
              <w:left w:type="dxa" w:w="120"/>
              <w:bottom w:type="dxa" w:w="80"/>
              <w:right w:type="dxa" w:w="120"/>
            </w:tcMar>
          </w:tcPr>
          <w:p>
            <w:pPr>
              <w:jc w:val="left"/>
            </w:pPr>
            <w:r>
              <w:rPr>
                <w:b/>
                <w:bCs/>
              </w:rPr>
              <w:t xml:space="preserve">Weak area</w:t>
            </w:r>
          </w:p>
        </w:tc>
        <w:tc>
          <w:tcPr>
            <w:tcW w:type="dxa" w:w="1500"/>
            <w:shd w:fill="DCE6F1" w:val="clear"/>
            <w:tcMar>
              <w:top w:type="dxa" w:w="80"/>
              <w:left w:type="dxa" w:w="120"/>
              <w:bottom w:type="dxa" w:w="80"/>
              <w:right w:type="dxa" w:w="120"/>
            </w:tcMar>
          </w:tcPr>
          <w:p>
            <w:pPr>
              <w:jc w:val="left"/>
            </w:pPr>
            <w:r>
              <w:rPr>
                <w:b/>
                <w:bCs/>
              </w:rPr>
              <w:t xml:space="preserve">% of exam</w:t>
            </w:r>
          </w:p>
        </w:tc>
        <w:tc>
          <w:tcPr>
            <w:tcW w:type="dxa" w:w="1700"/>
            <w:shd w:fill="DCE6F1" w:val="clear"/>
            <w:tcMar>
              <w:top w:type="dxa" w:w="80"/>
              <w:left w:type="dxa" w:w="120"/>
              <w:bottom w:type="dxa" w:w="80"/>
              <w:right w:type="dxa" w:w="120"/>
            </w:tcMar>
          </w:tcPr>
          <w:p>
            <w:pPr>
              <w:jc w:val="left"/>
            </w:pPr>
            <w:r>
              <w:rPr>
                <w:b/>
                <w:bCs/>
              </w:rPr>
              <w:t xml:space="preserve">Leverage</w:t>
            </w:r>
          </w:p>
        </w:tc>
        <w:tc>
          <w:tcPr>
            <w:tcW w:type="dxa" w:w="2600"/>
            <w:shd w:fill="DCE6F1" w:val="clear"/>
            <w:tcMar>
              <w:top w:type="dxa" w:w="80"/>
              <w:left w:type="dxa" w:w="120"/>
              <w:bottom w:type="dxa" w:w="80"/>
              <w:right w:type="dxa" w:w="120"/>
            </w:tcMar>
          </w:tcPr>
          <w:p>
            <w:pPr>
              <w:jc w:val="left"/>
            </w:pPr>
            <w:r>
              <w:rPr>
                <w:b/>
                <w:bCs/>
              </w:rPr>
              <w:t xml:space="preserve">Why it matters</w:t>
            </w:r>
          </w:p>
        </w:tc>
      </w:tr>
      <w:tr>
        <w:tc>
          <w:tcPr>
            <w:tcW w:type="dxa" w:w="3400"/>
            <w:tcMar>
              <w:top w:type="dxa" w:w="80"/>
              <w:left w:type="dxa" w:w="120"/>
              <w:bottom w:type="dxa" w:w="80"/>
              <w:right w:type="dxa" w:w="120"/>
            </w:tcMar>
          </w:tcPr>
          <w:p>
            <w:pPr>
              <w:jc w:val="left"/>
            </w:pPr>
            <w:r>
              <w:rPr>
                <w:b/>
                <w:bCs/>
              </w:rPr>
              <w:t xml:space="preserve">Physiology</w:t>
            </w:r>
          </w:p>
        </w:tc>
        <w:tc>
          <w:tcPr>
            <w:tcW w:type="dxa" w:w="1500"/>
            <w:tcMar>
              <w:top w:type="dxa" w:w="80"/>
              <w:left w:type="dxa" w:w="120"/>
              <w:bottom w:type="dxa" w:w="80"/>
              <w:right w:type="dxa" w:w="120"/>
            </w:tcMar>
          </w:tcPr>
          <w:p>
            <w:pPr>
              <w:jc w:val="left"/>
            </w:pPr>
            <w:r>
              <w:rPr>
                <w:b w:val="false"/>
                <w:bCs w:val="false"/>
              </w:rPr>
              <w:t xml:space="preserve">30–40%</w:t>
            </w:r>
          </w:p>
        </w:tc>
        <w:tc>
          <w:tcPr>
            <w:tcW w:type="dxa" w:w="1700"/>
            <w:tcMar>
              <w:top w:type="dxa" w:w="80"/>
              <w:left w:type="dxa" w:w="120"/>
              <w:bottom w:type="dxa" w:w="80"/>
              <w:right w:type="dxa" w:w="120"/>
            </w:tcMar>
          </w:tcPr>
          <w:p>
            <w:pPr>
              <w:jc w:val="left"/>
            </w:pPr>
            <w:r>
              <w:rPr>
                <w:b/>
                <w:bCs/>
                <w:color w:val="C00000"/>
              </w:rPr>
              <w:t xml:space="preserve">HIGHEST</w:t>
            </w:r>
          </w:p>
        </w:tc>
        <w:tc>
          <w:tcPr>
            <w:tcW w:type="dxa" w:w="2600"/>
            <w:tcMar>
              <w:top w:type="dxa" w:w="80"/>
              <w:left w:type="dxa" w:w="120"/>
              <w:bottom w:type="dxa" w:w="80"/>
              <w:right w:type="dxa" w:w="120"/>
            </w:tcMar>
          </w:tcPr>
          <w:p>
            <w:pPr>
              <w:jc w:val="left"/>
            </w:pPr>
            <w:r>
              <w:rPr>
                <w:b w:val="false"/>
                <w:bCs w:val="false"/>
              </w:rPr>
              <w:t xml:space="preserve">A third of the exam. The single biggest lever you have.</w:t>
            </w:r>
          </w:p>
        </w:tc>
      </w:tr>
      <w:tr>
        <w:tc>
          <w:tcPr>
            <w:tcW w:type="dxa" w:w="3400"/>
            <w:tcMar>
              <w:top w:type="dxa" w:w="80"/>
              <w:left w:type="dxa" w:w="120"/>
              <w:bottom w:type="dxa" w:w="80"/>
              <w:right w:type="dxa" w:w="120"/>
            </w:tcMar>
          </w:tcPr>
          <w:p>
            <w:pPr>
              <w:jc w:val="left"/>
            </w:pPr>
            <w:r>
              <w:rPr>
                <w:b w:val="false"/>
                <w:bCs w:val="false"/>
              </w:rPr>
              <w:t xml:space="preserve">Behavioral Sciences</w:t>
            </w:r>
          </w:p>
        </w:tc>
        <w:tc>
          <w:tcPr>
            <w:tcW w:type="dxa" w:w="1500"/>
            <w:tcMar>
              <w:top w:type="dxa" w:w="80"/>
              <w:left w:type="dxa" w:w="120"/>
              <w:bottom w:type="dxa" w:w="80"/>
              <w:right w:type="dxa" w:w="120"/>
            </w:tcMar>
          </w:tcPr>
          <w:p>
            <w:pPr>
              <w:jc w:val="left"/>
            </w:pPr>
            <w:r>
              <w:rPr>
                <w:b w:val="false"/>
                <w:bCs w:val="false"/>
              </w:rPr>
              <w:t xml:space="preserve">10–15%</w:t>
            </w:r>
          </w:p>
        </w:tc>
        <w:tc>
          <w:tcPr>
            <w:tcW w:type="dxa" w:w="1700"/>
            <w:tcMar>
              <w:top w:type="dxa" w:w="80"/>
              <w:left w:type="dxa" w:w="120"/>
              <w:bottom w:type="dxa" w:w="80"/>
              <w:right w:type="dxa" w:w="120"/>
            </w:tcMar>
          </w:tcPr>
          <w:p>
            <w:pPr>
              <w:jc w:val="left"/>
            </w:pPr>
            <w:r>
              <w:rPr>
                <w:b w:val="false"/>
                <w:bCs w:val="false"/>
              </w:rPr>
              <w:t xml:space="preserve">High</w:t>
            </w:r>
          </w:p>
        </w:tc>
        <w:tc>
          <w:tcPr>
            <w:tcW w:type="dxa" w:w="2600"/>
            <w:tcMar>
              <w:top w:type="dxa" w:w="80"/>
              <w:left w:type="dxa" w:w="120"/>
              <w:bottom w:type="dxa" w:w="80"/>
              <w:right w:type="dxa" w:w="120"/>
            </w:tcMar>
          </w:tcPr>
          <w:p>
            <w:pPr>
              <w:jc w:val="left"/>
            </w:pPr>
            <w:r>
              <w:rPr>
                <w:b w:val="false"/>
                <w:bCs w:val="false"/>
              </w:rPr>
              <w:t xml:space="preserve">Highly learnable, pattern-based. Fast points.</w:t>
            </w:r>
          </w:p>
        </w:tc>
      </w:tr>
      <w:tr>
        <w:tc>
          <w:tcPr>
            <w:tcW w:type="dxa" w:w="3400"/>
            <w:tcMar>
              <w:top w:type="dxa" w:w="80"/>
              <w:left w:type="dxa" w:w="120"/>
              <w:bottom w:type="dxa" w:w="80"/>
              <w:right w:type="dxa" w:w="120"/>
            </w:tcMar>
          </w:tcPr>
          <w:p>
            <w:pPr>
              <w:jc w:val="left"/>
            </w:pPr>
            <w:r>
              <w:rPr>
                <w:b w:val="false"/>
                <w:bCs w:val="false"/>
              </w:rPr>
              <w:t xml:space="preserve">Communication &amp; Interpersonal Skills</w:t>
            </w:r>
          </w:p>
        </w:tc>
        <w:tc>
          <w:tcPr>
            <w:tcW w:type="dxa" w:w="1500"/>
            <w:tcMar>
              <w:top w:type="dxa" w:w="80"/>
              <w:left w:type="dxa" w:w="120"/>
              <w:bottom w:type="dxa" w:w="80"/>
              <w:right w:type="dxa" w:w="120"/>
            </w:tcMar>
          </w:tcPr>
          <w:p>
            <w:pPr>
              <w:jc w:val="left"/>
            </w:pPr>
            <w:r>
              <w:rPr>
                <w:b w:val="false"/>
                <w:bCs w:val="false"/>
              </w:rPr>
              <w:t xml:space="preserve">6–9%</w:t>
            </w:r>
          </w:p>
        </w:tc>
        <w:tc>
          <w:tcPr>
            <w:tcW w:type="dxa" w:w="1700"/>
            <w:tcMar>
              <w:top w:type="dxa" w:w="80"/>
              <w:left w:type="dxa" w:w="120"/>
              <w:bottom w:type="dxa" w:w="80"/>
              <w:right w:type="dxa" w:w="120"/>
            </w:tcMar>
          </w:tcPr>
          <w:p>
            <w:pPr>
              <w:jc w:val="left"/>
            </w:pPr>
            <w:r>
              <w:rPr>
                <w:b w:val="false"/>
                <w:bCs w:val="false"/>
              </w:rPr>
              <w:t xml:space="preserve">High</w:t>
            </w:r>
          </w:p>
        </w:tc>
        <w:tc>
          <w:tcPr>
            <w:tcW w:type="dxa" w:w="2600"/>
            <w:tcMar>
              <w:top w:type="dxa" w:w="80"/>
              <w:left w:type="dxa" w:w="120"/>
              <w:bottom w:type="dxa" w:w="80"/>
              <w:right w:type="dxa" w:w="120"/>
            </w:tcMar>
          </w:tcPr>
          <w:p>
            <w:pPr>
              <w:jc w:val="left"/>
            </w:pPr>
            <w:r>
              <w:rPr>
                <w:b w:val="false"/>
                <w:bCs w:val="false"/>
              </w:rPr>
              <w:t xml:space="preserve">Same cluster as Behavioral. Together: up to ~20% of the exam.</w:t>
            </w:r>
          </w:p>
        </w:tc>
      </w:tr>
      <w:tr>
        <w:tc>
          <w:tcPr>
            <w:tcW w:type="dxa" w:w="3400"/>
            <w:tcMar>
              <w:top w:type="dxa" w:w="80"/>
              <w:left w:type="dxa" w:w="120"/>
              <w:bottom w:type="dxa" w:w="80"/>
              <w:right w:type="dxa" w:w="120"/>
            </w:tcMar>
          </w:tcPr>
          <w:p>
            <w:pPr>
              <w:jc w:val="left"/>
            </w:pPr>
            <w:r>
              <w:rPr>
                <w:b w:val="false"/>
                <w:bCs w:val="false"/>
              </w:rPr>
              <w:t xml:space="preserve">Multisystem Processes &amp; Disorders</w:t>
            </w:r>
          </w:p>
        </w:tc>
        <w:tc>
          <w:tcPr>
            <w:tcW w:type="dxa" w:w="1500"/>
            <w:tcMar>
              <w:top w:type="dxa" w:w="80"/>
              <w:left w:type="dxa" w:w="120"/>
              <w:bottom w:type="dxa" w:w="80"/>
              <w:right w:type="dxa" w:w="120"/>
            </w:tcMar>
          </w:tcPr>
          <w:p>
            <w:pPr>
              <w:jc w:val="left"/>
            </w:pPr>
            <w:r>
              <w:rPr>
                <w:b w:val="false"/>
                <w:bCs w:val="false"/>
              </w:rPr>
              <w:t xml:space="preserve">8–12%</w:t>
            </w:r>
          </w:p>
        </w:tc>
        <w:tc>
          <w:tcPr>
            <w:tcW w:type="dxa" w:w="1700"/>
            <w:tcMar>
              <w:top w:type="dxa" w:w="80"/>
              <w:left w:type="dxa" w:w="120"/>
              <w:bottom w:type="dxa" w:w="80"/>
              <w:right w:type="dxa" w:w="120"/>
            </w:tcMar>
          </w:tcPr>
          <w:p>
            <w:pPr>
              <w:jc w:val="left"/>
            </w:pPr>
            <w:r>
              <w:rPr>
                <w:b w:val="false"/>
                <w:bCs w:val="false"/>
              </w:rPr>
              <w:t xml:space="preserve">Moderate</w:t>
            </w:r>
          </w:p>
        </w:tc>
        <w:tc>
          <w:tcPr>
            <w:tcW w:type="dxa" w:w="2600"/>
            <w:tcMar>
              <w:top w:type="dxa" w:w="80"/>
              <w:left w:type="dxa" w:w="120"/>
              <w:bottom w:type="dxa" w:w="80"/>
              <w:right w:type="dxa" w:w="120"/>
            </w:tcMar>
          </w:tcPr>
          <w:p>
            <w:pPr>
              <w:jc w:val="left"/>
            </w:pPr>
            <w:r>
              <w:rPr>
                <w:b w:val="false"/>
                <w:bCs w:val="false"/>
              </w:rPr>
              <w:t xml:space="preserve">Integrative — improves as physiology improves.</w:t>
            </w:r>
          </w:p>
        </w:tc>
      </w:tr>
      <w:tr>
        <w:tc>
          <w:tcPr>
            <w:tcW w:type="dxa" w:w="3400"/>
            <w:tcMar>
              <w:top w:type="dxa" w:w="80"/>
              <w:left w:type="dxa" w:w="120"/>
              <w:bottom w:type="dxa" w:w="80"/>
              <w:right w:type="dxa" w:w="120"/>
            </w:tcMar>
          </w:tcPr>
          <w:p>
            <w:pPr>
              <w:jc w:val="left"/>
            </w:pPr>
            <w:r>
              <w:rPr>
                <w:b w:val="false"/>
                <w:bCs w:val="false"/>
              </w:rPr>
              <w:t xml:space="preserve">Musculoskeletal, Skin &amp; Subcutaneous</w:t>
            </w:r>
          </w:p>
        </w:tc>
        <w:tc>
          <w:tcPr>
            <w:tcW w:type="dxa" w:w="1500"/>
            <w:tcMar>
              <w:top w:type="dxa" w:w="80"/>
              <w:left w:type="dxa" w:w="120"/>
              <w:bottom w:type="dxa" w:w="80"/>
              <w:right w:type="dxa" w:w="120"/>
            </w:tcMar>
          </w:tcPr>
          <w:p>
            <w:pPr>
              <w:jc w:val="left"/>
            </w:pPr>
            <w:r>
              <w:rPr>
                <w:b w:val="false"/>
                <w:bCs w:val="false"/>
              </w:rPr>
              <w:t xml:space="preserve">8–12%</w:t>
            </w:r>
          </w:p>
        </w:tc>
        <w:tc>
          <w:tcPr>
            <w:tcW w:type="dxa" w:w="1700"/>
            <w:tcMar>
              <w:top w:type="dxa" w:w="80"/>
              <w:left w:type="dxa" w:w="120"/>
              <w:bottom w:type="dxa" w:w="80"/>
              <w:right w:type="dxa" w:w="120"/>
            </w:tcMar>
          </w:tcPr>
          <w:p>
            <w:pPr>
              <w:jc w:val="left"/>
            </w:pPr>
            <w:r>
              <w:rPr>
                <w:b w:val="false"/>
                <w:bCs w:val="false"/>
              </w:rPr>
              <w:t xml:space="preserve">Moderate</w:t>
            </w:r>
          </w:p>
        </w:tc>
        <w:tc>
          <w:tcPr>
            <w:tcW w:type="dxa" w:w="2600"/>
            <w:tcMar>
              <w:top w:type="dxa" w:w="80"/>
              <w:left w:type="dxa" w:w="120"/>
              <w:bottom w:type="dxa" w:w="80"/>
              <w:right w:type="dxa" w:w="120"/>
            </w:tcMar>
          </w:tcPr>
          <w:p>
            <w:pPr>
              <w:jc w:val="left"/>
            </w:pPr>
            <w:r>
              <w:rPr>
                <w:b w:val="false"/>
                <w:bCs w:val="false"/>
              </w:rPr>
              <w:t xml:space="preserve">Discrete content. Reviewable in focused blocks.</w:t>
            </w:r>
          </w:p>
        </w:tc>
      </w:tr>
      <w:tr>
        <w:tc>
          <w:tcPr>
            <w:tcW w:type="dxa" w:w="3400"/>
            <w:tcMar>
              <w:top w:type="dxa" w:w="80"/>
              <w:left w:type="dxa" w:w="120"/>
              <w:bottom w:type="dxa" w:w="80"/>
              <w:right w:type="dxa" w:w="120"/>
            </w:tcMar>
          </w:tcPr>
          <w:p>
            <w:pPr>
              <w:jc w:val="left"/>
            </w:pPr>
            <w:r>
              <w:rPr>
                <w:b w:val="false"/>
                <w:bCs w:val="false"/>
              </w:rPr>
              <w:t xml:space="preserve">Biochemistry &amp; Nutrition</w:t>
            </w:r>
          </w:p>
        </w:tc>
        <w:tc>
          <w:tcPr>
            <w:tcW w:type="dxa" w:w="1500"/>
            <w:tcMar>
              <w:top w:type="dxa" w:w="80"/>
              <w:left w:type="dxa" w:w="120"/>
              <w:bottom w:type="dxa" w:w="80"/>
              <w:right w:type="dxa" w:w="120"/>
            </w:tcMar>
          </w:tcPr>
          <w:p>
            <w:pPr>
              <w:jc w:val="left"/>
            </w:pPr>
            <w:r>
              <w:rPr>
                <w:b w:val="false"/>
                <w:bCs w:val="false"/>
              </w:rPr>
              <w:t xml:space="preserve">5–15%</w:t>
            </w:r>
          </w:p>
        </w:tc>
        <w:tc>
          <w:tcPr>
            <w:tcW w:type="dxa" w:w="1700"/>
            <w:tcMar>
              <w:top w:type="dxa" w:w="80"/>
              <w:left w:type="dxa" w:w="120"/>
              <w:bottom w:type="dxa" w:w="80"/>
              <w:right w:type="dxa" w:w="120"/>
            </w:tcMar>
          </w:tcPr>
          <w:p>
            <w:pPr>
              <w:jc w:val="left"/>
            </w:pPr>
            <w:r>
              <w:rPr>
                <w:b w:val="false"/>
                <w:bCs w:val="false"/>
              </w:rPr>
              <w:t xml:space="preserve">Moderate</w:t>
            </w:r>
          </w:p>
        </w:tc>
        <w:tc>
          <w:tcPr>
            <w:tcW w:type="dxa" w:w="2600"/>
            <w:tcMar>
              <w:top w:type="dxa" w:w="80"/>
              <w:left w:type="dxa" w:w="120"/>
              <w:bottom w:type="dxa" w:w="80"/>
              <w:right w:type="dxa" w:w="120"/>
            </w:tcMar>
          </w:tcPr>
          <w:p>
            <w:pPr>
              <w:jc w:val="left"/>
            </w:pPr>
            <w:r>
              <w:rPr>
                <w:b w:val="false"/>
                <w:bCs w:val="false"/>
              </w:rPr>
              <w:t xml:space="preserve">Mechanism-heavy — overlaps with the physiology fix.</w:t>
            </w:r>
          </w:p>
        </w:tc>
      </w:tr>
      <w:tr>
        <w:tc>
          <w:tcPr>
            <w:tcW w:type="dxa" w:w="3400"/>
            <w:tcMar>
              <w:top w:type="dxa" w:w="80"/>
              <w:left w:type="dxa" w:w="120"/>
              <w:bottom w:type="dxa" w:w="80"/>
              <w:right w:type="dxa" w:w="120"/>
            </w:tcMar>
          </w:tcPr>
          <w:p>
            <w:pPr>
              <w:jc w:val="left"/>
            </w:pPr>
            <w:r>
              <w:rPr>
                <w:b w:val="false"/>
                <w:bCs w:val="false"/>
              </w:rPr>
              <w:t xml:space="preserve">Genetics</w:t>
            </w:r>
          </w:p>
        </w:tc>
        <w:tc>
          <w:tcPr>
            <w:tcW w:type="dxa" w:w="1500"/>
            <w:tcMar>
              <w:top w:type="dxa" w:w="80"/>
              <w:left w:type="dxa" w:w="120"/>
              <w:bottom w:type="dxa" w:w="80"/>
              <w:right w:type="dxa" w:w="120"/>
            </w:tcMar>
          </w:tcPr>
          <w:p>
            <w:pPr>
              <w:jc w:val="left"/>
            </w:pPr>
            <w:r>
              <w:rPr>
                <w:b w:val="false"/>
                <w:bCs w:val="false"/>
              </w:rPr>
              <w:t xml:space="preserve">5–10%</w:t>
            </w:r>
          </w:p>
        </w:tc>
        <w:tc>
          <w:tcPr>
            <w:tcW w:type="dxa" w:w="1700"/>
            <w:tcMar>
              <w:top w:type="dxa" w:w="80"/>
              <w:left w:type="dxa" w:w="120"/>
              <w:bottom w:type="dxa" w:w="80"/>
              <w:right w:type="dxa" w:w="120"/>
            </w:tcMar>
          </w:tcPr>
          <w:p>
            <w:pPr>
              <w:jc w:val="left"/>
            </w:pPr>
            <w:r>
              <w:rPr>
                <w:b/>
                <w:bCs/>
                <w:color w:val="2E7D32"/>
              </w:rPr>
              <w:t xml:space="preserve">Quick win</w:t>
            </w:r>
          </w:p>
        </w:tc>
        <w:tc>
          <w:tcPr>
            <w:tcW w:type="dxa" w:w="2600"/>
            <w:tcMar>
              <w:top w:type="dxa" w:w="80"/>
              <w:left w:type="dxa" w:w="120"/>
              <w:bottom w:type="dxa" w:w="80"/>
              <w:right w:type="dxa" w:w="120"/>
            </w:tcMar>
          </w:tcPr>
          <w:p>
            <w:pPr>
              <w:jc w:val="left"/>
            </w:pPr>
            <w:r>
              <w:rPr>
                <w:b w:val="false"/>
                <w:bCs w:val="false"/>
              </w:rPr>
              <w:t xml:space="preserve">Small, bounded, very fixable.</w:t>
            </w:r>
          </w:p>
        </w:tc>
      </w:tr>
    </w:tbl>
    <w:p>
      <w:pPr>
        <w:spacing w:after="120"/>
      </w:pPr>
      <w:r>
        <w:t xml:space="preserve"/>
      </w:r>
    </w:p>
    <w:p>
      <w:pPr>
        <w:pBdr>
          <w:left w:val="single" w:color="1F4E79" w:sz="18" w:space="12"/>
        </w:pBdr>
        <w:spacing w:after="160" w:before="160"/>
        <w:ind w:left="180"/>
      </w:pPr>
      <w:r>
        <w:rPr>
          <w:b/>
          <w:bCs/>
          <w:color w:val="1F4E79"/>
        </w:rPr>
        <w:t xml:space="preserve">The core insight: </w:t>
      </w:r>
      <w:r>
        <w:t xml:space="preserve">Pathology (the largest discipline on the exam) is fine. Physiology (the second largest) is your weakest. Your fact recall is intact; your mechanistic reasoning is not. Physiology on Step 1 is not memorization — it is "why does this follow from that." That is the thing to fix.</w:t>
      </w:r>
    </w:p>
    <w:p>
      <w:r>
        <w:br w:type="page"/>
      </w:r>
    </w:p>
    <w:p>
      <w:pPr>
        <w:pStyle w:val="Heading1"/>
        <w:spacing w:after="160" w:before="320"/>
      </w:pPr>
      <w:r>
        <w:t xml:space="preserve">Phase 0 — Diagnose Before You Grind</w:t>
      </w:r>
    </w:p>
    <w:p>
      <w:pPr>
        <w:spacing w:after="120"/>
      </w:pPr>
      <w:r>
        <w:t xml:space="preserve">Do not skip this. It is 2–3 days and it determines whether the next several months work.</w:t>
      </w:r>
    </w:p>
    <w:p>
      <w:pPr>
        <w:spacing w:after="120"/>
      </w:pPr>
      <w:r>
        <w:t xml:space="preserve">Here is the uncomfortable question your report raises: if almost everything scored "Same" as a low-pass, the knowledge was largely there on test day — and you still fell short. Something other than content may have cost you the exam. Until you know what, more questions may simply repeat it.</w:t>
      </w:r>
    </w:p>
    <w:p>
      <w:pPr>
        <w:pStyle w:val="Heading2"/>
        <w:spacing w:after="120" w:before="240"/>
      </w:pPr>
      <w:r>
        <w:t xml:space="preserve">Do this</w:t>
      </w:r>
    </w:p>
    <w:p>
      <w:pPr>
        <w:pStyle w:val="ListParagraph"/>
        <w:numPr>
          <w:ilvl w:val="0"/>
          <w:numId w:val="2"/>
        </w:numPr>
        <w:spacing w:after="80"/>
      </w:pPr>
      <w:r>
        <w:rPr>
          <w:b/>
          <w:bCs/>
        </w:rPr>
        <w:t xml:space="preserve">Take timed blocks. </w:t>
      </w:r>
      <w:r>
        <w:t xml:space="preserve">Take one full timed block (20 questions, 30 minutes) in the app. No pausing, no looking things up. Then take one more the next day.</w:t>
      </w:r>
    </w:p>
    <w:p>
      <w:pPr>
        <w:pStyle w:val="ListParagraph"/>
        <w:numPr>
          <w:ilvl w:val="0"/>
          <w:numId w:val="2"/>
        </w:numPr>
        <w:spacing w:after="80"/>
      </w:pPr>
      <w:r>
        <w:rPr>
          <w:b/>
          <w:bCs/>
        </w:rPr>
        <w:t xml:space="preserve">Take an untimed block. </w:t>
      </w:r>
      <w:r>
        <w:t xml:space="preserve">Take one block in practice mode (untimed, explanation after each question).</w:t>
      </w:r>
    </w:p>
    <w:p>
      <w:pPr>
        <w:pStyle w:val="ListParagraph"/>
        <w:numPr>
          <w:ilvl w:val="0"/>
          <w:numId w:val="2"/>
        </w:numPr>
        <w:spacing w:after="80"/>
      </w:pPr>
      <w:r>
        <w:rPr>
          <w:b/>
          <w:bCs/>
        </w:rPr>
        <w:t xml:space="preserve">Compare. </w:t>
      </w:r>
      <w:r>
        <w:t xml:space="preserve">Then compare the two using the app's analytics. The gap between them is the most informative number you have.</w:t>
      </w:r>
    </w:p>
    <w:p>
      <w:pPr>
        <w:pStyle w:val="Heading2"/>
        <w:spacing w:after="120" w:before="240"/>
      </w:pPr>
      <w:r>
        <w:t xml:space="preserve">Read the pattern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rPr>
          <w:tblHeader/>
        </w:trPr>
        <w:tc>
          <w:tcPr>
            <w:tcW w:type="dxa" w:w="3000"/>
            <w:shd w:fill="DCE6F1" w:val="clear"/>
            <w:tcMar>
              <w:top w:type="dxa" w:w="80"/>
              <w:left w:type="dxa" w:w="120"/>
              <w:bottom w:type="dxa" w:w="80"/>
              <w:right w:type="dxa" w:w="120"/>
            </w:tcMar>
          </w:tcPr>
          <w:p>
            <w:pPr>
              <w:jc w:val="left"/>
            </w:pPr>
            <w:r>
              <w:rPr>
                <w:b/>
                <w:bCs/>
              </w:rPr>
              <w:t xml:space="preserve">If the data shows…</w:t>
            </w:r>
          </w:p>
        </w:tc>
        <w:tc>
          <w:tcPr>
            <w:tcW w:type="dxa" w:w="3100"/>
            <w:shd w:fill="DCE6F1" w:val="clear"/>
            <w:tcMar>
              <w:top w:type="dxa" w:w="80"/>
              <w:left w:type="dxa" w:w="120"/>
              <w:bottom w:type="dxa" w:w="80"/>
              <w:right w:type="dxa" w:w="120"/>
            </w:tcMar>
          </w:tcPr>
          <w:p>
            <w:pPr>
              <w:jc w:val="left"/>
            </w:pPr>
            <w:r>
              <w:rPr>
                <w:b/>
                <w:bCs/>
              </w:rPr>
              <w:t xml:space="preserve">The problem is…</w:t>
            </w:r>
          </w:p>
        </w:tc>
        <w:tc>
          <w:tcPr>
            <w:tcW w:type="dxa" w:w="3100"/>
            <w:shd w:fill="DCE6F1" w:val="clear"/>
            <w:tcMar>
              <w:top w:type="dxa" w:w="80"/>
              <w:left w:type="dxa" w:w="120"/>
              <w:bottom w:type="dxa" w:w="80"/>
              <w:right w:type="dxa" w:w="120"/>
            </w:tcMar>
          </w:tcPr>
          <w:p>
            <w:pPr>
              <w:jc w:val="left"/>
            </w:pPr>
            <w:r>
              <w:rPr>
                <w:b/>
                <w:bCs/>
              </w:rPr>
              <w:t xml:space="preserve">The fix is…</w:t>
            </w:r>
          </w:p>
        </w:tc>
      </w:tr>
      <w:tr>
        <w:tc>
          <w:tcPr>
            <w:tcW w:type="dxa" w:w="3000"/>
            <w:tcMar>
              <w:top w:type="dxa" w:w="80"/>
              <w:left w:type="dxa" w:w="120"/>
              <w:bottom w:type="dxa" w:w="80"/>
              <w:right w:type="dxa" w:w="120"/>
            </w:tcMar>
          </w:tcPr>
          <w:p>
            <w:pPr>
              <w:jc w:val="left"/>
            </w:pPr>
            <w:r>
              <w:rPr>
                <w:b w:val="false"/>
                <w:bCs w:val="false"/>
              </w:rPr>
              <w:t xml:space="preserve">Practice-mode accuracy is much higher than timed-block accuracy</w:t>
            </w:r>
          </w:p>
        </w:tc>
        <w:tc>
          <w:tcPr>
            <w:tcW w:type="dxa" w:w="3100"/>
            <w:tcMar>
              <w:top w:type="dxa" w:w="80"/>
              <w:left w:type="dxa" w:w="120"/>
              <w:bottom w:type="dxa" w:w="80"/>
              <w:right w:type="dxa" w:w="120"/>
            </w:tcMar>
          </w:tcPr>
          <w:p>
            <w:pPr>
              <w:jc w:val="left"/>
            </w:pPr>
            <w:r>
              <w:rPr>
                <w:b w:val="false"/>
                <w:bCs w:val="false"/>
              </w:rPr>
              <w:t xml:space="preserve">Pressure / retrieval under load. You know it, but can't produce it on the clock.</w:t>
            </w:r>
          </w:p>
        </w:tc>
        <w:tc>
          <w:tcPr>
            <w:tcW w:type="dxa" w:w="3100"/>
            <w:tcMar>
              <w:top w:type="dxa" w:w="80"/>
              <w:left w:type="dxa" w:w="120"/>
              <w:bottom w:type="dxa" w:w="80"/>
              <w:right w:type="dxa" w:w="120"/>
            </w:tcMar>
          </w:tcPr>
          <w:p>
            <w:pPr>
              <w:jc w:val="left"/>
            </w:pPr>
            <w:r>
              <w:rPr>
                <w:b w:val="false"/>
                <w:bCs w:val="false"/>
              </w:rPr>
              <w:t xml:space="preserve">More timed blocks, fewer untimed. Train retrieval, not recognition.</w:t>
            </w:r>
          </w:p>
        </w:tc>
      </w:tr>
      <w:tr>
        <w:tc>
          <w:tcPr>
            <w:tcW w:type="dxa" w:w="3000"/>
            <w:tcMar>
              <w:top w:type="dxa" w:w="80"/>
              <w:left w:type="dxa" w:w="120"/>
              <w:bottom w:type="dxa" w:w="80"/>
              <w:right w:type="dxa" w:w="120"/>
            </w:tcMar>
          </w:tcPr>
          <w:p>
            <w:pPr>
              <w:jc w:val="left"/>
            </w:pPr>
            <w:r>
              <w:rPr>
                <w:b w:val="false"/>
                <w:bCs w:val="false"/>
              </w:rPr>
              <w:t xml:space="preserve">Accuracy falls off in the last 5–8 questions of every block</w:t>
            </w:r>
          </w:p>
        </w:tc>
        <w:tc>
          <w:tcPr>
            <w:tcW w:type="dxa" w:w="3100"/>
            <w:tcMar>
              <w:top w:type="dxa" w:w="80"/>
              <w:left w:type="dxa" w:w="120"/>
              <w:bottom w:type="dxa" w:w="80"/>
              <w:right w:type="dxa" w:w="120"/>
            </w:tcMar>
          </w:tcPr>
          <w:p>
            <w:pPr>
              <w:jc w:val="left"/>
            </w:pPr>
            <w:r>
              <w:rPr>
                <w:b w:val="false"/>
                <w:bCs w:val="false"/>
              </w:rPr>
              <w:t xml:space="preserve">Pacing. Running out of time and rushing the tail.</w:t>
            </w:r>
          </w:p>
        </w:tc>
        <w:tc>
          <w:tcPr>
            <w:tcW w:type="dxa" w:w="3100"/>
            <w:tcMar>
              <w:top w:type="dxa" w:w="80"/>
              <w:left w:type="dxa" w:w="120"/>
              <w:bottom w:type="dxa" w:w="80"/>
              <w:right w:type="dxa" w:w="120"/>
            </w:tcMar>
          </w:tcPr>
          <w:p>
            <w:pPr>
              <w:jc w:val="left"/>
            </w:pPr>
            <w:r>
              <w:rPr>
                <w:b w:val="false"/>
                <w:bCs w:val="false"/>
              </w:rPr>
              <w:t xml:space="preserve">Time-per-question drills. Force a 90-second cap and move on.</w:t>
            </w:r>
          </w:p>
        </w:tc>
      </w:tr>
      <w:tr>
        <w:tc>
          <w:tcPr>
            <w:tcW w:type="dxa" w:w="3000"/>
            <w:tcMar>
              <w:top w:type="dxa" w:w="80"/>
              <w:left w:type="dxa" w:w="120"/>
              <w:bottom w:type="dxa" w:w="80"/>
              <w:right w:type="dxa" w:w="120"/>
            </w:tcMar>
          </w:tcPr>
          <w:p>
            <w:pPr>
              <w:jc w:val="left"/>
            </w:pPr>
            <w:r>
              <w:rPr>
                <w:b w:val="false"/>
                <w:bCs w:val="false"/>
              </w:rPr>
              <w:t xml:space="preserve">Accuracy is fine early, collapses in later blocks of a full exam</w:t>
            </w:r>
          </w:p>
        </w:tc>
        <w:tc>
          <w:tcPr>
            <w:tcW w:type="dxa" w:w="3100"/>
            <w:tcMar>
              <w:top w:type="dxa" w:w="80"/>
              <w:left w:type="dxa" w:w="120"/>
              <w:bottom w:type="dxa" w:w="80"/>
              <w:right w:type="dxa" w:w="120"/>
            </w:tcMar>
          </w:tcPr>
          <w:p>
            <w:pPr>
              <w:jc w:val="left"/>
            </w:pPr>
            <w:r>
              <w:rPr>
                <w:b w:val="false"/>
                <w:bCs w:val="false"/>
              </w:rPr>
              <w:t xml:space="preserve">Stamina. A 7-hour exam is an endurance event.</w:t>
            </w:r>
          </w:p>
        </w:tc>
        <w:tc>
          <w:tcPr>
            <w:tcW w:type="dxa" w:w="3100"/>
            <w:tcMar>
              <w:top w:type="dxa" w:w="80"/>
              <w:left w:type="dxa" w:w="120"/>
              <w:bottom w:type="dxa" w:w="80"/>
              <w:right w:type="dxa" w:w="120"/>
            </w:tcMar>
          </w:tcPr>
          <w:p>
            <w:pPr>
              <w:jc w:val="left"/>
            </w:pPr>
            <w:r>
              <w:rPr>
                <w:b w:val="false"/>
                <w:bCs w:val="false"/>
              </w:rPr>
              <w:t xml:space="preserve">Full-length simulations. Build the endurance deliberately.</w:t>
            </w:r>
          </w:p>
        </w:tc>
      </w:tr>
      <w:tr>
        <w:tc>
          <w:tcPr>
            <w:tcW w:type="dxa" w:w="3000"/>
            <w:tcMar>
              <w:top w:type="dxa" w:w="80"/>
              <w:left w:type="dxa" w:w="120"/>
              <w:bottom w:type="dxa" w:w="80"/>
              <w:right w:type="dxa" w:w="120"/>
            </w:tcMar>
          </w:tcPr>
          <w:p>
            <w:pPr>
              <w:jc w:val="left"/>
            </w:pPr>
            <w:r>
              <w:rPr>
                <w:b w:val="false"/>
                <w:bCs w:val="false"/>
              </w:rPr>
              <w:t xml:space="preserve">You change correct answers to wrong ones</w:t>
            </w:r>
          </w:p>
        </w:tc>
        <w:tc>
          <w:tcPr>
            <w:tcW w:type="dxa" w:w="3100"/>
            <w:tcMar>
              <w:top w:type="dxa" w:w="80"/>
              <w:left w:type="dxa" w:w="120"/>
              <w:bottom w:type="dxa" w:w="80"/>
              <w:right w:type="dxa" w:w="120"/>
            </w:tcMar>
          </w:tcPr>
          <w:p>
            <w:pPr>
              <w:jc w:val="left"/>
            </w:pPr>
            <w:r>
              <w:rPr>
                <w:b w:val="false"/>
                <w:bCs w:val="false"/>
              </w:rPr>
              <w:t xml:space="preserve">Second-guessing / anxiety, not knowledge.</w:t>
            </w:r>
          </w:p>
        </w:tc>
        <w:tc>
          <w:tcPr>
            <w:tcW w:type="dxa" w:w="3100"/>
            <w:tcMar>
              <w:top w:type="dxa" w:w="80"/>
              <w:left w:type="dxa" w:w="120"/>
              <w:bottom w:type="dxa" w:w="80"/>
              <w:right w:type="dxa" w:w="120"/>
            </w:tcMar>
          </w:tcPr>
          <w:p>
            <w:pPr>
              <w:jc w:val="left"/>
            </w:pPr>
            <w:r>
              <w:rPr>
                <w:b w:val="false"/>
                <w:bCs w:val="false"/>
              </w:rPr>
              <w:t xml:space="preserve">A rule: don't change an answer without a specific, articulable reason.</w:t>
            </w:r>
          </w:p>
        </w:tc>
      </w:tr>
      <w:tr>
        <w:tc>
          <w:tcPr>
            <w:tcW w:type="dxa" w:w="3000"/>
            <w:tcMar>
              <w:top w:type="dxa" w:w="80"/>
              <w:left w:type="dxa" w:w="120"/>
              <w:bottom w:type="dxa" w:w="80"/>
              <w:right w:type="dxa" w:w="120"/>
            </w:tcMar>
          </w:tcPr>
          <w:p>
            <w:pPr>
              <w:jc w:val="left"/>
            </w:pPr>
            <w:r>
              <w:rPr>
                <w:b w:val="false"/>
                <w:bCs w:val="false"/>
              </w:rPr>
              <w:t xml:space="preserve">Wrong answers cluster in specific systems regardless of timing</w:t>
            </w:r>
          </w:p>
        </w:tc>
        <w:tc>
          <w:tcPr>
            <w:tcW w:type="dxa" w:w="3100"/>
            <w:tcMar>
              <w:top w:type="dxa" w:w="80"/>
              <w:left w:type="dxa" w:w="120"/>
              <w:bottom w:type="dxa" w:w="80"/>
              <w:right w:type="dxa" w:w="120"/>
            </w:tcMar>
          </w:tcPr>
          <w:p>
            <w:pPr>
              <w:jc w:val="left"/>
            </w:pPr>
            <w:r>
              <w:rPr>
                <w:b w:val="false"/>
                <w:bCs w:val="false"/>
              </w:rPr>
              <w:t xml:space="preserve">Genuine content gaps.</w:t>
            </w:r>
          </w:p>
        </w:tc>
        <w:tc>
          <w:tcPr>
            <w:tcW w:type="dxa" w:w="3100"/>
            <w:tcMar>
              <w:top w:type="dxa" w:w="80"/>
              <w:left w:type="dxa" w:w="120"/>
              <w:bottom w:type="dxa" w:w="80"/>
              <w:right w:type="dxa" w:w="120"/>
            </w:tcMar>
          </w:tcPr>
          <w:p>
            <w:pPr>
              <w:jc w:val="left"/>
            </w:pPr>
            <w:r>
              <w:rPr>
                <w:b w:val="false"/>
                <w:bCs w:val="false"/>
              </w:rPr>
              <w:t xml:space="preserve">Targeted custom blocks in those tags. This is the straightforward case.</w:t>
            </w:r>
          </w:p>
        </w:tc>
      </w:tr>
    </w:tbl>
    <w:p>
      <w:pPr>
        <w:spacing w:after="120"/>
      </w:pPr>
      <w:r>
        <w:t xml:space="preserve"/>
      </w:r>
    </w:p>
    <w:p>
      <w:pPr>
        <w:pBdr>
          <w:left w:val="single" w:color="1F4E79" w:sz="18" w:space="12"/>
        </w:pBdr>
        <w:spacing w:after="160" w:before="160"/>
        <w:ind w:left="180"/>
      </w:pPr>
      <w:r>
        <w:rPr>
          <w:b/>
          <w:bCs/>
          <w:color w:val="1F4E79"/>
        </w:rPr>
        <w:t xml:space="preserve">Be honest in this phase. </w:t>
      </w:r>
      <w:r>
        <w:t xml:space="preserve">It is far more comfortable to conclude "I need more content" than "I panic and change my answers" or "I run out of time." But a content plan will not fix a timing problem, and grinding thousands more questions with the same technique tends to reproduce the same result. Name the real problem, even if it is the less flattering one.</w:t>
      </w:r>
    </w:p>
    <w:p>
      <w:r>
        <w:br w:type="page"/>
      </w:r>
    </w:p>
    <w:p>
      <w:pPr>
        <w:pStyle w:val="Heading1"/>
        <w:spacing w:after="160" w:before="320"/>
      </w:pPr>
      <w:r>
        <w:t xml:space="preserve">Phase 1 — Rebuild Physiology (the biggest lever)</w:t>
      </w:r>
    </w:p>
    <w:p>
      <w:pPr>
        <w:spacing w:after="120"/>
      </w:pPr>
      <w:r>
        <w:t xml:space="preserve">Physiology is 30–40% of the exam and your weakest discipline. Nothing else comes close in leverage. Expect to spend the largest single share of your study time here.</w:t>
      </w:r>
    </w:p>
    <w:p>
      <w:pPr>
        <w:pStyle w:val="Heading2"/>
        <w:spacing w:after="120" w:before="240"/>
      </w:pPr>
      <w:r>
        <w:t xml:space="preserve">How to study it — this is the important part</w:t>
      </w:r>
    </w:p>
    <w:p>
      <w:pPr>
        <w:spacing w:after="120"/>
      </w:pPr>
      <w:r>
        <w:t xml:space="preserve">Physiology questions are not asking you to recall a fact. They are asking you to follow a causal chain. So studying it by re-reading facts is exactly the approach that already failed. Instead:</w:t>
      </w:r>
    </w:p>
    <w:p>
      <w:pPr>
        <w:pStyle w:val="ListParagraph"/>
        <w:numPr>
          <w:ilvl w:val="0"/>
          <w:numId w:val="3"/>
        </w:numPr>
        <w:spacing w:after="80"/>
      </w:pPr>
      <w:r>
        <w:rPr>
          <w:b/>
          <w:bCs/>
        </w:rPr>
        <w:t xml:space="preserve">Explain before you answer. </w:t>
      </w:r>
      <w:r>
        <w:t xml:space="preserve">Before looking at the options, say out loud (or write) the mechanism the vignette is pointing to. If you cannot produce the chain, you do not know it — regardless of whether you can pick the right option.</w:t>
      </w:r>
    </w:p>
    <w:p>
      <w:pPr>
        <w:pStyle w:val="ListParagraph"/>
        <w:numPr>
          <w:ilvl w:val="0"/>
          <w:numId w:val="3"/>
        </w:numPr>
        <w:spacing w:after="80"/>
      </w:pPr>
      <w:r>
        <w:rPr>
          <w:b/>
          <w:bCs/>
        </w:rPr>
        <w:t xml:space="preserve">Use the mechanism layer. </w:t>
      </w:r>
      <w:r>
        <w:t xml:space="preserve">In the app, the "Bottom Line" section of each explanation is the mechanism chain, written from first principles. Read it even when you get the question right. Especially then.</w:t>
      </w:r>
    </w:p>
    <w:p>
      <w:pPr>
        <w:pStyle w:val="ListParagraph"/>
        <w:numPr>
          <w:ilvl w:val="0"/>
          <w:numId w:val="3"/>
        </w:numPr>
        <w:spacing w:after="80"/>
      </w:pPr>
      <w:r>
        <w:rPr>
          <w:b/>
          <w:bCs/>
        </w:rPr>
        <w:t xml:space="preserve">Draw the loops. </w:t>
      </w:r>
      <w:r>
        <w:t xml:space="preserve">Cardiac and pulmonary physiology, renal handling, endocrine feedback loops, acid–base. If you cannot sketch the loop from memory, you do not own it yet.</w:t>
      </w:r>
    </w:p>
    <w:p>
      <w:pPr>
        <w:pStyle w:val="ListParagraph"/>
        <w:numPr>
          <w:ilvl w:val="0"/>
          <w:numId w:val="3"/>
        </w:numPr>
        <w:spacing w:after="80"/>
      </w:pPr>
      <w:r>
        <w:rPr>
          <w:b/>
          <w:bCs/>
        </w:rPr>
        <w:t xml:space="preserve">Trace the failure. </w:t>
      </w:r>
      <w:r>
        <w:t xml:space="preserve">When you get one wrong, the question to answer is not "what was the right answer?" — it is "which step in the chain did I not know?" Write that step down.</w:t>
      </w:r>
    </w:p>
    <w:p>
      <w:pPr>
        <w:pStyle w:val="Heading2"/>
        <w:spacing w:after="120" w:before="240"/>
      </w:pPr>
      <w:r>
        <w:t xml:space="preserve">Use the app this way</w:t>
      </w:r>
    </w:p>
    <w:p>
      <w:pPr>
        <w:pStyle w:val="ListParagraph"/>
        <w:numPr>
          <w:ilvl w:val="0"/>
          <w:numId w:val="3"/>
        </w:numPr>
        <w:spacing w:after="80"/>
      </w:pPr>
      <w:r>
        <w:rPr>
          <w:b/>
          <w:bCs/>
        </w:rPr>
        <w:t xml:space="preserve">Custom blocks: </w:t>
      </w:r>
      <w:r>
        <w:t xml:space="preserve">Run Physiology-filtered custom blocks (20 questions at a time).</w:t>
      </w:r>
    </w:p>
    <w:p>
      <w:pPr>
        <w:pStyle w:val="ListParagraph"/>
        <w:numPr>
          <w:ilvl w:val="0"/>
          <w:numId w:val="3"/>
        </w:numPr>
        <w:spacing w:after="80"/>
      </w:pPr>
      <w:r>
        <w:rPr>
          <w:b/>
          <w:bCs/>
        </w:rPr>
        <w:t xml:space="preserve">Untimed first, then timed: </w:t>
      </w:r>
      <w:r>
        <w:t xml:space="preserve">Start untimed while you rebuild the reasoning. Move to timed once accuracy improves — knowing it slowly is not the same as knowing it in 90 seconds.</w:t>
      </w:r>
    </w:p>
    <w:p>
      <w:pPr>
        <w:pStyle w:val="ListParagraph"/>
        <w:numPr>
          <w:ilvl w:val="0"/>
          <w:numId w:val="3"/>
        </w:numPr>
        <w:spacing w:after="80"/>
      </w:pPr>
      <w:r>
        <w:rPr>
          <w:b/>
          <w:bCs/>
        </w:rPr>
        <w:t xml:space="preserve">Watch the trend: </w:t>
      </w:r>
      <w:r>
        <w:t xml:space="preserve">Check the per-tag trend view weekly. If Physiology accuracy is not climbing, the method is wrong — change the method, do not just add volume.</w:t>
      </w:r>
    </w:p>
    <w:p>
      <w:r>
        <w:br w:type="page"/>
      </w:r>
    </w:p>
    <w:p>
      <w:pPr>
        <w:pStyle w:val="Heading1"/>
        <w:spacing w:after="160" w:before="320"/>
      </w:pPr>
      <w:r>
        <w:t xml:space="preserve">Phase 2 — Take the Quick Wins</w:t>
      </w:r>
    </w:p>
    <w:p>
      <w:pPr>
        <w:spacing w:after="120"/>
      </w:pPr>
      <w:r>
        <w:t xml:space="preserve">Behavioral Sciences (10–15%) and Communication &amp; Interpersonal Skills (6–9%) are both marked Lower. Together that is up to ~20% of the exam — and it is the most learnable content on Step 1. It is pattern-based, not mechanism-based, which means it responds quickly to focused effort.</w:t>
      </w:r>
    </w:p>
    <w:p>
      <w:pPr>
        <w:pStyle w:val="Heading2"/>
        <w:spacing w:after="120" w:before="240"/>
      </w:pPr>
      <w:r>
        <w:t xml:space="preserve">What to do</w:t>
      </w:r>
    </w:p>
    <w:p>
      <w:pPr>
        <w:pStyle w:val="ListParagraph"/>
        <w:numPr>
          <w:ilvl w:val="0"/>
          <w:numId w:val="3"/>
        </w:numPr>
        <w:spacing w:after="80"/>
      </w:pPr>
      <w:r>
        <w:rPr>
          <w:b/>
          <w:bCs/>
        </w:rPr>
        <w:t xml:space="preserve">Learn the archetypes: </w:t>
      </w:r>
      <w:r>
        <w:t xml:space="preserve">Ethics and communication vignettes follow recognizable patterns (autonomy, capacity, confidentiality, breaking bad news, difficult colleagues). Learn the patterns, not individual cases.</w:t>
      </w:r>
    </w:p>
    <w:p>
      <w:pPr>
        <w:pStyle w:val="ListParagraph"/>
        <w:numPr>
          <w:ilvl w:val="0"/>
          <w:numId w:val="3"/>
        </w:numPr>
        <w:spacing w:after="80"/>
      </w:pPr>
      <w:r>
        <w:rPr>
          <w:b/>
          <w:bCs/>
        </w:rPr>
        <w:t xml:space="preserve">Biostatistics is a closed set: </w:t>
      </w:r>
      <w:r>
        <w:t xml:space="preserve">Sensitivity, specificity, PPV/NPV, study designs, bias types. This is bounded, finite content — it can be genuinely finished.</w:t>
      </w:r>
    </w:p>
    <w:p>
      <w:pPr>
        <w:pStyle w:val="ListParagraph"/>
        <w:numPr>
          <w:ilvl w:val="0"/>
          <w:numId w:val="3"/>
        </w:numPr>
        <w:spacing w:after="80"/>
      </w:pPr>
      <w:r>
        <w:rPr>
          <w:b/>
          <w:bCs/>
        </w:rPr>
        <w:t xml:space="preserve">Run the filtered blocks: </w:t>
      </w:r>
      <w:r>
        <w:t xml:space="preserve">Both areas are grounded in the Mehlman material in the app, and those sections were rebuilt specifically for these two topics.</w:t>
      </w:r>
    </w:p>
    <w:p>
      <w:pPr>
        <w:pBdr>
          <w:left w:val="single" w:color="1F4E79" w:sz="18" w:space="12"/>
        </w:pBdr>
        <w:spacing w:after="160" w:before="160"/>
        <w:ind w:left="180"/>
      </w:pPr>
      <w:r>
        <w:rPr>
          <w:b/>
          <w:bCs/>
          <w:color w:val="1F4E79"/>
        </w:rPr>
        <w:t xml:space="preserve">Why do this second, not last: </w:t>
      </w:r>
      <w:r>
        <w:t xml:space="preserve">These points are cheap and they compound your confidence, which matters more than people admit on a retake. But they are not a substitute for the physiology work — they are additive to it.</w:t>
      </w:r>
    </w:p>
    <w:p>
      <w:pPr>
        <w:pStyle w:val="Heading2"/>
        <w:spacing w:after="120" w:before="240"/>
      </w:pPr>
      <w:r>
        <w:t xml:space="preserve">Genetics — the smallest, easiest fix</w:t>
      </w:r>
    </w:p>
    <w:p>
      <w:pPr>
        <w:spacing w:after="120"/>
      </w:pPr>
      <w:r>
        <w:t xml:space="preserve">Genetics is only 5–10% of the exam and is bounded content. Inheritance patterns, common trinucleotide repeat disorders, imprinting, key chromosomal syndromes. This is a few focused sessions, not a project.</w:t>
      </w:r>
    </w:p>
    <w:p>
      <w:r>
        <w:br w:type="page"/>
      </w:r>
    </w:p>
    <w:p>
      <w:pPr>
        <w:pStyle w:val="Heading1"/>
        <w:spacing w:after="160" w:before="320"/>
      </w:pPr>
      <w:r>
        <w:t xml:space="preserve">Phase 3 — Integrate and Simulate</w:t>
      </w:r>
    </w:p>
    <w:p>
      <w:pPr>
        <w:spacing w:after="120"/>
      </w:pPr>
      <w:r>
        <w:t xml:space="preserve">This phase is about turning knowledge into exam performance. They are not the same thing, and Phase 0 may have already shown you that.</w:t>
      </w:r>
    </w:p>
    <w:p>
      <w:pPr>
        <w:pStyle w:val="Heading2"/>
        <w:spacing w:after="120" w:before="240"/>
      </w:pPr>
      <w:r>
        <w:t xml:space="preserve">Full-length simulation</w:t>
      </w:r>
    </w:p>
    <w:p>
      <w:pPr>
        <w:pStyle w:val="ListParagraph"/>
        <w:numPr>
          <w:ilvl w:val="0"/>
          <w:numId w:val="3"/>
        </w:numPr>
        <w:spacing w:after="80"/>
      </w:pPr>
      <w:r>
        <w:rPr>
          <w:b/>
          <w:bCs/>
        </w:rPr>
        <w:t xml:space="preserve">Do full-length runs: </w:t>
      </w:r>
      <w:r>
        <w:t xml:space="preserve">The real exam is roughly 7 hours. Stamina is a skill and it must be trained. Use the app's full-exam mode.</w:t>
      </w:r>
    </w:p>
    <w:p>
      <w:pPr>
        <w:pStyle w:val="ListParagraph"/>
        <w:numPr>
          <w:ilvl w:val="0"/>
          <w:numId w:val="3"/>
        </w:numPr>
        <w:spacing w:after="80"/>
      </w:pPr>
      <w:r>
        <w:rPr>
          <w:b/>
          <w:bCs/>
        </w:rPr>
        <w:t xml:space="preserve">Simulate the conditions: </w:t>
      </w:r>
      <w:r>
        <w:t xml:space="preserve">Same start time as your real exam, same breaks, no phone, no looking things up. You are rehearsing the conditions, not just the content.</w:t>
      </w:r>
    </w:p>
    <w:p>
      <w:pPr>
        <w:pStyle w:val="ListParagraph"/>
        <w:numPr>
          <w:ilvl w:val="0"/>
          <w:numId w:val="3"/>
        </w:numPr>
        <w:spacing w:after="80"/>
      </w:pPr>
      <w:r>
        <w:rPr>
          <w:b/>
          <w:bCs/>
        </w:rPr>
        <w:t xml:space="preserve">Watch the fade: </w:t>
      </w:r>
      <w:r>
        <w:t xml:space="preserve">Where in the exam does your accuracy drop? If it falls in the final blocks, the problem is endurance, and the fix is more full-lengths — not more content.</w:t>
      </w:r>
    </w:p>
    <w:p>
      <w:pPr>
        <w:pStyle w:val="Heading2"/>
        <w:spacing w:after="120" w:before="240"/>
      </w:pPr>
      <w:r>
        <w:t xml:space="preserve">The review that actually teaches</w:t>
      </w:r>
    </w:p>
    <w:p>
      <w:pPr>
        <w:spacing w:after="120"/>
      </w:pPr>
      <w:r>
        <w:t xml:space="preserve">Reviewing questions is where most of the learning happens, and most people do it badly — they read the explanation, think "ah yes," and move on. That produces recognition, not recall, and recognition is what fails you on test day.</w:t>
      </w:r>
    </w:p>
    <w:p>
      <w:pPr>
        <w:pStyle w:val="ListParagraph"/>
        <w:numPr>
          <w:ilvl w:val="0"/>
          <w:numId w:val="2"/>
        </w:numPr>
        <w:spacing w:after="80"/>
      </w:pPr>
      <w:r>
        <w:rPr>
          <w:b/>
          <w:bCs/>
        </w:rPr>
        <w:t xml:space="preserve">Name the failure. </w:t>
      </w:r>
      <w:r>
        <w:t xml:space="preserve">For every question you got wrong, write one sentence: which step of reasoning failed? Not the fact — the step.</w:t>
      </w:r>
    </w:p>
    <w:p>
      <w:pPr>
        <w:pStyle w:val="ListParagraph"/>
        <w:numPr>
          <w:ilvl w:val="0"/>
          <w:numId w:val="2"/>
        </w:numPr>
        <w:spacing w:after="80"/>
      </w:pPr>
      <w:r>
        <w:rPr>
          <w:b/>
          <w:bCs/>
        </w:rPr>
        <w:t xml:space="preserve">Review your near-misses. </w:t>
      </w:r>
      <w:r>
        <w:t xml:space="preserve">Also review the ones you got right but were unsure about. A lucky guess is a future wrong answer.</w:t>
      </w:r>
    </w:p>
    <w:p>
      <w:pPr>
        <w:pStyle w:val="ListParagraph"/>
        <w:numPr>
          <w:ilvl w:val="0"/>
          <w:numId w:val="2"/>
        </w:numPr>
        <w:spacing w:after="80"/>
      </w:pPr>
      <w:r>
        <w:rPr>
          <w:b/>
          <w:bCs/>
        </w:rPr>
        <w:t xml:space="preserve">Re-attempt cold. </w:t>
      </w:r>
      <w:r>
        <w:t xml:space="preserve">Use the app's review deck to re-attempt wrong questions later — cold, without the explanation in front of you.</w:t>
      </w:r>
    </w:p>
    <w:p>
      <w:pPr>
        <w:pStyle w:val="ListParagraph"/>
        <w:numPr>
          <w:ilvl w:val="0"/>
          <w:numId w:val="2"/>
        </w:numPr>
        <w:spacing w:after="80"/>
      </w:pPr>
      <w:r>
        <w:rPr>
          <w:b/>
          <w:bCs/>
        </w:rPr>
        <w:t xml:space="preserve">Drill with Anki: </w:t>
      </w:r>
      <w:r>
        <w:t xml:space="preserve">Keep the Anki cards short. One card, one retrievable fact. If a card takes more than a few seconds to read, it is not a flashcard, it is a paragraph.</w:t>
      </w:r>
    </w:p>
    <w:p>
      <w:pPr>
        <w:pStyle w:val="Heading2"/>
        <w:spacing w:after="120" w:before="240"/>
      </w:pPr>
      <w:r>
        <w:t xml:space="preserve">NBME's own advice, which is worth taking seriously</w:t>
      </w:r>
    </w:p>
    <w:p>
      <w:pPr>
        <w:spacing w:after="120"/>
      </w:pPr>
      <w:r>
        <w:t xml:space="preserve">The exam is highly integrative, and NBME explicitly recommends reviewing all content areas when retaking. Nothing on your report is marked "Higher" — there is no reservoir of strength to coast on. So this plan weights your time toward the weak areas; it does not tell you to abandon the rest. Keep the strong areas warm with regular mixed blocks.</w:t>
      </w:r>
    </w:p>
    <w:p>
      <w:r>
        <w:br w:type="page"/>
      </w:r>
    </w:p>
    <w:p>
      <w:pPr>
        <w:pStyle w:val="Heading1"/>
        <w:spacing w:after="160" w:before="320"/>
      </w:pPr>
      <w:r>
        <w:t xml:space="preserve">A Weekly Rhythm (adapt to your hours)</w:t>
      </w:r>
    </w:p>
    <w:p>
      <w:pPr>
        <w:spacing w:after="120"/>
      </w:pPr>
      <w:r>
        <w:t xml:space="preserve">This assumes a full study week. Scale it down proportionally if you are working — but keep the proportions.</w:t>
      </w:r>
    </w:p>
    <w:p>
      <w:pPr>
        <w:pStyle w:val="ListParagraph"/>
        <w:numPr>
          <w:ilvl w:val="0"/>
          <w:numId w:val="3"/>
        </w:numPr>
        <w:spacing w:after="80"/>
      </w:pPr>
      <w:r>
        <w:rPr>
          <w:b/>
          <w:bCs/>
        </w:rPr>
        <w:t xml:space="preserve">~40% of your time: </w:t>
      </w:r>
      <w:r>
        <w:t xml:space="preserve">Physiology-focused custom blocks + mechanism review. This is the priority; protect the time.</w:t>
      </w:r>
    </w:p>
    <w:p>
      <w:pPr>
        <w:pStyle w:val="ListParagraph"/>
        <w:numPr>
          <w:ilvl w:val="0"/>
          <w:numId w:val="3"/>
        </w:numPr>
        <w:spacing w:after="80"/>
      </w:pPr>
      <w:r>
        <w:rPr>
          <w:b/>
          <w:bCs/>
        </w:rPr>
        <w:t xml:space="preserve">~25% of your time: </w:t>
      </w:r>
      <w:r>
        <w:t xml:space="preserve">Behavioral/Ethics/Biostats, Biochem, Genetics, MSK/Skin — rotating focused blocks.</w:t>
      </w:r>
    </w:p>
    <w:p>
      <w:pPr>
        <w:pStyle w:val="ListParagraph"/>
        <w:numPr>
          <w:ilvl w:val="0"/>
          <w:numId w:val="3"/>
        </w:numPr>
        <w:spacing w:after="80"/>
      </w:pPr>
      <w:r>
        <w:rPr>
          <w:b/>
          <w:bCs/>
        </w:rPr>
        <w:t xml:space="preserve">~20% of your time: </w:t>
      </w:r>
      <w:r>
        <w:t xml:space="preserve">Mixed timed blocks across all systems, to keep strong areas warm and train integration.</w:t>
      </w:r>
    </w:p>
    <w:p>
      <w:pPr>
        <w:pStyle w:val="ListParagraph"/>
        <w:numPr>
          <w:ilvl w:val="0"/>
          <w:numId w:val="3"/>
        </w:numPr>
        <w:spacing w:after="80"/>
      </w:pPr>
      <w:r>
        <w:rPr>
          <w:b/>
          <w:bCs/>
        </w:rPr>
        <w:t xml:space="preserve">~15% of your time: </w:t>
      </w:r>
      <w:r>
        <w:t xml:space="preserve">Review — re-attempting wrong questions cold, Anki drilling, tracing failed reasoning steps.</w:t>
      </w:r>
    </w:p>
    <w:p>
      <w:pPr>
        <w:pBdr>
          <w:left w:val="single" w:color="1F4E79" w:sz="18" w:space="12"/>
        </w:pBdr>
        <w:spacing w:after="160" w:before="160"/>
        <w:ind w:left="180"/>
      </w:pPr>
      <w:r>
        <w:rPr>
          <w:b/>
          <w:bCs/>
          <w:color w:val="1F4E79"/>
        </w:rPr>
        <w:t xml:space="preserve">One full-length simulation every 1–2 weeks. </w:t>
      </w:r>
      <w:r>
        <w:t xml:space="preserve">Not more often — they are exhausting and you need recovery to consolidate. Not less often — stamina decays and pacing needs rehearsal.</w:t>
      </w:r>
    </w:p>
    <w:p>
      <w:pPr>
        <w:pStyle w:val="Heading2"/>
        <w:spacing w:after="120" w:before="240"/>
      </w:pPr>
      <w:r>
        <w:t xml:space="preserve">Track one number weekly</w:t>
      </w:r>
    </w:p>
    <w:p>
      <w:pPr>
        <w:spacing w:after="120"/>
      </w:pPr>
      <w:r>
        <w:t xml:space="preserve">Physiology accuracy in the per-tag trend view. If it is climbing, the plan is working. If it is flat after several weeks of focused work, the method is wrong — and the answer is to change how you are studying it, not to do more of the same. That is the single most important feedback loop in this plan.</w:t>
      </w:r>
    </w:p>
    <w:p>
      <w:r>
        <w:br w:type="page"/>
      </w:r>
    </w:p>
    <w:p>
      <w:pPr>
        <w:pStyle w:val="Heading1"/>
        <w:spacing w:after="160" w:before="320"/>
      </w:pPr>
      <w:r>
        <w:t xml:space="preserve">A Few Honest Things</w:t>
      </w:r>
    </w:p>
    <w:p>
      <w:pPr>
        <w:pStyle w:val="Heading2"/>
        <w:spacing w:after="120" w:before="240"/>
      </w:pPr>
      <w:r>
        <w:t xml:space="preserve">Volume is not your problem</w:t>
      </w:r>
    </w:p>
    <w:p>
      <w:pPr>
        <w:spacing w:after="120"/>
      </w:pPr>
      <w:r>
        <w:t xml:space="preserve">The instinct after a failure is to do more — more questions, more forms, more hours. Your score report does not support that. You were close, across the board, with specific weak spots. Thousands of additional random questions would spread your effort evenly across areas you have already mastered and areas that are failing you. Targeted work in your weak tags is worth far more per hour than volume.</w:t>
      </w:r>
    </w:p>
    <w:p>
      <w:pPr>
        <w:pStyle w:val="Heading2"/>
        <w:spacing w:after="120" w:before="240"/>
      </w:pPr>
      <w:r>
        <w:t xml:space="preserve">If something other than content failed you, fix that first</w:t>
      </w:r>
    </w:p>
    <w:p>
      <w:pPr>
        <w:spacing w:after="120"/>
      </w:pPr>
      <w:r>
        <w:t xml:space="preserve">If Phase 0 shows a timing, stamina, or anxiety problem, that is the priority — above all content work. A person who knows the material and cannot deploy it under exam conditions will fail again at any level of content mastery. This is not a character flaw; it is a trainable skill, and it is trainable separately.</w:t>
      </w:r>
    </w:p>
    <w:p>
      <w:pPr>
        <w:pStyle w:val="Heading2"/>
        <w:spacing w:after="120" w:before="240"/>
      </w:pPr>
      <w:r>
        <w:t xml:space="preserve">On test anxiety, plainly</w:t>
      </w:r>
    </w:p>
    <w:p>
      <w:pPr>
        <w:spacing w:after="120"/>
      </w:pPr>
      <w:r>
        <w:t xml:space="preserve">A second attempt after a failure carries real psychological weight, and that weight itself affects performance. If anxiety is a genuine factor — not nerves, but the kind that impairs thinking — it is worth addressing directly with someone qualified, alongside the studying. It is not a distraction from the plan; for some people it is the plan.</w:t>
      </w:r>
    </w:p>
    <w:p>
      <w:pPr>
        <w:pStyle w:val="Heading2"/>
        <w:spacing w:after="120" w:before="240"/>
      </w:pPr>
      <w:r>
        <w:t xml:space="preserve">You have an advantage most retakers do not</w:t>
      </w:r>
    </w:p>
    <w:p>
      <w:pPr>
        <w:spacing w:after="120"/>
      </w:pPr>
      <w:r>
        <w:t xml:space="preserve">You have a tool that tags every question by system, discipline, and question type, tracks your accuracy over time, explains mechanisms from first principles, and tells you whether the gap is actually closing. Most people retaking Step 1 are guessing about what to fix. You do not have to guess. Use the data.</w:t>
      </w:r>
    </w:p>
    <w:p>
      <w:pPr>
        <w:spacing w:after="120"/>
      </w:pPr>
      <w:r>
        <w:t xml:space="preserve"/>
      </w:r>
    </w:p>
    <w:p>
      <w:pPr>
        <w:pBdr>
          <w:top w:val="single" w:color="BDD7EE" w:sz="6" w:space="8"/>
        </w:pBdr>
        <w:spacing w:before="240"/>
      </w:pPr>
      <w:r>
        <w:rPr>
          <w:i/>
          <w:iCs/>
          <w:color w:val="888888"/>
          <w:sz w:val="18"/>
          <w:szCs w:val="18"/>
        </w:rPr>
        <w:t xml:space="preserve">This plan is built from your score report and general study principles. It is not medical or educational advice tailored to circumstances it does not know about — your timeline, your hours, your health. Adapt it, and talk to people who know your situation.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44"/>
      <w:szCs w:val="44"/>
    </w:rPr>
  </w:style>
  <w:style w:type="paragraph" w:styleId="Heading1">
    <w:name w:val="Heading 1"/>
    <w:basedOn w:val="Normal"/>
    <w:qFormat/>
    <w:pPr>
      <w:pBdr>
        <w:bottom w:val="single" w:color="BDD7EE" w:sz="6" w:space="4"/>
      </w:pBdr>
      <w:spacing w:after="160" w:before="320"/>
    </w:pPr>
    <w:rPr>
      <w:rFonts w:ascii="Calibri" w:cs="Calibri" w:eastAsia="Calibri" w:hAnsi="Calibri"/>
      <w:b/>
      <w:bCs/>
      <w:color w:val="1F4E79"/>
      <w:sz w:val="30"/>
      <w:szCs w:val="30"/>
    </w:rPr>
  </w:style>
  <w:style w:type="paragraph" w:styleId="Heading2">
    <w:name w:val="Heading 2"/>
    <w:basedOn w:val="Normal"/>
    <w:qFormat/>
    <w:pPr>
      <w:spacing w:after="100" w:before="22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2026-07-13T17:28:29.927Z</dcterms:created>
  <dcterms:modified xsi:type="dcterms:W3CDTF">2026-07-13T17:28:29.948Z</dcterms:modified>
</cp:coreProperties>
</file>

<file path=docProps/custom.xml><?xml version="1.0" encoding="utf-8"?>
<Properties xmlns="http://schemas.openxmlformats.org/officeDocument/2006/custom-properties" xmlns:vt="http://schemas.openxmlformats.org/officeDocument/2006/docPropsVTypes"/>
</file>