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Run and GitHub Handoff</w:t>
      </w:r>
    </w:p>
    <w:p>
      <w:r>
        <w:rPr>
          <w:b/>
          <w:color w:val="12785F"/>
          <w:sz w:val="22"/>
        </w:rPr>
        <w:t>Medicine Stock and Expiry Tracking System with DevOps Automation</w:t>
      </w:r>
    </w:p>
    <w:p>
      <w:pPr>
        <w:spacing w:after="120"/>
      </w:pPr>
      <w:r>
        <w:t>This hand-in records the running local app, the fictional batches currently loaded, and verification commands. The project is committed locally on branch main; publishing will need the GitHub owner and repository details.</w:t>
      </w:r>
    </w:p>
    <w:p>
      <w:pPr>
        <w:pStyle w:val="Heading1"/>
      </w:pPr>
      <w:r>
        <w:t>Live website</w:t>
      </w:r>
    </w:p>
    <w:p>
      <w:r>
        <w:drawing>
          <wp:inline xmlns:a="http://schemas.openxmlformats.org/drawingml/2006/main" xmlns:pic="http://schemas.openxmlformats.org/drawingml/2006/picture">
            <wp:extent cx="6327648" cy="5273040"/>
            <wp:docPr id="1" name="Picture 1" descr="Live MedStock dashboard showing three demo medicine batches, 173 total units, one near-expiry batch, and one low-stock batch."/>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6327648" cy="5273040"/>
                    </a:xfrm>
                    <a:prstGeom prst="rect"/>
                  </pic:spPr>
                </pic:pic>
              </a:graphicData>
            </a:graphic>
          </wp:inline>
        </w:drawing>
      </w:r>
    </w:p>
    <w:p>
      <w:pPr>
        <w:jc w:val="center"/>
      </w:pPr>
      <w:r>
        <w:rPr>
          <w:i/>
          <w:color w:val="6B7E75"/>
          <w:sz w:val="16"/>
        </w:rPr>
        <w:t>Dashboard captured on 14 October 2026 from the local application.</w:t>
      </w:r>
    </w:p>
    <w:p>
      <w:pPr>
        <w:pStyle w:val="Heading2"/>
      </w:pPr>
      <w:r>
        <w:t>Fictional demo records</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trPr>
        <w:tc>
          <w:tcPr>
            <w:tcW w:type="dxa" w:w="2613"/>
            <w:shd w:fill="12785F"/>
            <w:vAlign w:val="center"/>
            <w:tcMar>
              <w:top w:w="65" w:type="dxa"/>
              <w:start w:w="95" w:type="dxa"/>
              <w:bottom w:w="65" w:type="dxa"/>
              <w:end w:w="95" w:type="dxa"/>
            </w:tcMar>
          </w:tcPr>
          <w:p>
            <w:pPr>
              <w:spacing w:after="0"/>
            </w:pPr>
            <w:r>
              <w:rPr>
                <w:rFonts w:ascii="Segoe UI" w:hAnsi="Segoe UI"/>
                <w:b/>
                <w:color w:val="FFFFFF"/>
                <w:sz w:val="16"/>
              </w:rPr>
              <w:t>Medicine and batch</w:t>
            </w:r>
          </w:p>
        </w:tc>
        <w:tc>
          <w:tcPr>
            <w:tcW w:type="dxa" w:w="2613"/>
            <w:shd w:fill="12785F"/>
            <w:vAlign w:val="center"/>
            <w:tcMar>
              <w:top w:w="65" w:type="dxa"/>
              <w:start w:w="95" w:type="dxa"/>
              <w:bottom w:w="65" w:type="dxa"/>
              <w:end w:w="95" w:type="dxa"/>
            </w:tcMar>
          </w:tcPr>
          <w:p>
            <w:pPr>
              <w:spacing w:after="0"/>
            </w:pPr>
            <w:r>
              <w:rPr>
                <w:rFonts w:ascii="Segoe UI" w:hAnsi="Segoe UI"/>
                <w:b/>
                <w:color w:val="FFFFFF"/>
                <w:sz w:val="16"/>
              </w:rPr>
              <w:t>Quantity / threshold</w:t>
            </w:r>
          </w:p>
        </w:tc>
        <w:tc>
          <w:tcPr>
            <w:tcW w:type="dxa" w:w="2613"/>
            <w:shd w:fill="12785F"/>
            <w:vAlign w:val="center"/>
            <w:tcMar>
              <w:top w:w="65" w:type="dxa"/>
              <w:start w:w="95" w:type="dxa"/>
              <w:bottom w:w="65" w:type="dxa"/>
              <w:end w:w="95" w:type="dxa"/>
            </w:tcMar>
          </w:tcPr>
          <w:p>
            <w:pPr>
              <w:spacing w:after="0"/>
            </w:pPr>
            <w:r>
              <w:rPr>
                <w:rFonts w:ascii="Segoe UI" w:hAnsi="Segoe UI"/>
                <w:b/>
                <w:color w:val="FFFFFF"/>
                <w:sz w:val="16"/>
              </w:rPr>
              <w:t>Expiry</w:t>
            </w:r>
          </w:p>
        </w:tc>
        <w:tc>
          <w:tcPr>
            <w:tcW w:type="dxa" w:w="2613"/>
            <w:shd w:fill="12785F"/>
            <w:vAlign w:val="center"/>
            <w:tcMar>
              <w:top w:w="65" w:type="dxa"/>
              <w:start w:w="95" w:type="dxa"/>
              <w:bottom w:w="65" w:type="dxa"/>
              <w:end w:w="95" w:type="dxa"/>
            </w:tcMar>
          </w:tcPr>
          <w:p>
            <w:pPr>
              <w:spacing w:after="0"/>
            </w:pPr>
            <w:r>
              <w:rPr>
                <w:rFonts w:ascii="Segoe UI" w:hAnsi="Segoe UI"/>
                <w:b/>
                <w:color w:val="FFFFFF"/>
                <w:sz w:val="16"/>
              </w:rPr>
              <w:t>Calculated status</w:t>
            </w:r>
          </w:p>
        </w:tc>
      </w:tr>
      <w:tr>
        <w:tc>
          <w:tcPr>
            <w:tcW w:type="dxa" w:w="2613"/>
            <w:vAlign w:val="center"/>
            <w:tcMar>
              <w:top w:w="65" w:type="dxa"/>
              <w:start w:w="95" w:type="dxa"/>
              <w:bottom w:w="65" w:type="dxa"/>
              <w:end w:w="95" w:type="dxa"/>
            </w:tcMar>
          </w:tcPr>
          <w:p>
            <w:pPr>
              <w:spacing w:after="0"/>
            </w:pPr>
            <w:r>
              <w:rPr>
                <w:rFonts w:ascii="Segoe UI" w:hAnsi="Segoe UI"/>
                <w:sz w:val="16"/>
              </w:rPr>
              <w:t>Demo Paracetamol 500 mg</w:t>
              <w:br/>
              <w:t>DEMO-PARA-001</w:t>
            </w:r>
          </w:p>
        </w:tc>
        <w:tc>
          <w:tcPr>
            <w:tcW w:type="dxa" w:w="2613"/>
            <w:vAlign w:val="center"/>
            <w:tcMar>
              <w:top w:w="65" w:type="dxa"/>
              <w:start w:w="95" w:type="dxa"/>
              <w:bottom w:w="65" w:type="dxa"/>
              <w:end w:w="95" w:type="dxa"/>
            </w:tcMar>
          </w:tcPr>
          <w:p>
            <w:pPr>
              <w:spacing w:after="0"/>
            </w:pPr>
            <w:r>
              <w:rPr>
                <w:rFonts w:ascii="Segoe UI" w:hAnsi="Segoe UI"/>
                <w:sz w:val="16"/>
              </w:rPr>
              <w:t>120 / 20</w:t>
            </w:r>
          </w:p>
        </w:tc>
        <w:tc>
          <w:tcPr>
            <w:tcW w:type="dxa" w:w="2613"/>
            <w:vAlign w:val="center"/>
            <w:tcMar>
              <w:top w:w="65" w:type="dxa"/>
              <w:start w:w="95" w:type="dxa"/>
              <w:bottom w:w="65" w:type="dxa"/>
              <w:end w:w="95" w:type="dxa"/>
            </w:tcMar>
          </w:tcPr>
          <w:p>
            <w:pPr>
              <w:spacing w:after="0"/>
            </w:pPr>
            <w:r>
              <w:rPr>
                <w:rFonts w:ascii="Segoe UI" w:hAnsi="Segoe UI"/>
                <w:sz w:val="16"/>
              </w:rPr>
              <w:t>15 Mar 2027</w:t>
            </w:r>
          </w:p>
        </w:tc>
        <w:tc>
          <w:tcPr>
            <w:tcW w:type="dxa" w:w="2613"/>
            <w:vAlign w:val="center"/>
            <w:tcMar>
              <w:top w:w="65" w:type="dxa"/>
              <w:start w:w="95" w:type="dxa"/>
              <w:bottom w:w="65" w:type="dxa"/>
              <w:end w:w="95" w:type="dxa"/>
            </w:tcMar>
          </w:tcPr>
          <w:p>
            <w:pPr>
              <w:spacing w:after="0"/>
            </w:pPr>
            <w:r>
              <w:rPr>
                <w:rFonts w:ascii="Segoe UI" w:hAnsi="Segoe UI"/>
                <w:sz w:val="16"/>
              </w:rPr>
              <w:t>In stock</w:t>
            </w:r>
          </w:p>
        </w:tc>
      </w:tr>
      <w:tr>
        <w:tc>
          <w:tcPr>
            <w:tcW w:type="dxa" w:w="2613"/>
            <w:vAlign w:val="center"/>
            <w:tcMar>
              <w:top w:w="65" w:type="dxa"/>
              <w:start w:w="95" w:type="dxa"/>
              <w:bottom w:w="65" w:type="dxa"/>
              <w:end w:w="95" w:type="dxa"/>
            </w:tcMar>
          </w:tcPr>
          <w:p>
            <w:pPr>
              <w:spacing w:after="0"/>
            </w:pPr>
            <w:r>
              <w:rPr>
                <w:rFonts w:ascii="Segoe UI" w:hAnsi="Segoe UI"/>
                <w:sz w:val="16"/>
              </w:rPr>
              <w:t>Demo Cetirizine 10 mg</w:t>
              <w:br/>
              <w:t>DEMO-CET-002</w:t>
            </w:r>
          </w:p>
        </w:tc>
        <w:tc>
          <w:tcPr>
            <w:tcW w:type="dxa" w:w="2613"/>
            <w:vAlign w:val="center"/>
            <w:tcMar>
              <w:top w:w="65" w:type="dxa"/>
              <w:start w:w="95" w:type="dxa"/>
              <w:bottom w:w="65" w:type="dxa"/>
              <w:end w:w="95" w:type="dxa"/>
            </w:tcMar>
          </w:tcPr>
          <w:p>
            <w:pPr>
              <w:spacing w:after="0"/>
            </w:pPr>
            <w:r>
              <w:rPr>
                <w:rFonts w:ascii="Segoe UI" w:hAnsi="Segoe UI"/>
                <w:sz w:val="16"/>
              </w:rPr>
              <w:t>45 / 12</w:t>
            </w:r>
          </w:p>
        </w:tc>
        <w:tc>
          <w:tcPr>
            <w:tcW w:type="dxa" w:w="2613"/>
            <w:vAlign w:val="center"/>
            <w:tcMar>
              <w:top w:w="65" w:type="dxa"/>
              <w:start w:w="95" w:type="dxa"/>
              <w:bottom w:w="65" w:type="dxa"/>
              <w:end w:w="95" w:type="dxa"/>
            </w:tcMar>
          </w:tcPr>
          <w:p>
            <w:pPr>
              <w:spacing w:after="0"/>
            </w:pPr>
            <w:r>
              <w:rPr>
                <w:rFonts w:ascii="Segoe UI" w:hAnsi="Segoe UI"/>
                <w:sz w:val="16"/>
              </w:rPr>
              <w:t>25 Oct 2026</w:t>
            </w:r>
          </w:p>
        </w:tc>
        <w:tc>
          <w:tcPr>
            <w:tcW w:type="dxa" w:w="2613"/>
            <w:vAlign w:val="center"/>
            <w:tcMar>
              <w:top w:w="65" w:type="dxa"/>
              <w:start w:w="95" w:type="dxa"/>
              <w:bottom w:w="65" w:type="dxa"/>
              <w:end w:w="95" w:type="dxa"/>
            </w:tcMar>
          </w:tcPr>
          <w:p>
            <w:pPr>
              <w:spacing w:after="0"/>
            </w:pPr>
            <w:r>
              <w:rPr>
                <w:rFonts w:ascii="Segoe UI" w:hAnsi="Segoe UI"/>
                <w:sz w:val="16"/>
              </w:rPr>
              <w:t>Near expiry</w:t>
            </w:r>
          </w:p>
        </w:tc>
      </w:tr>
      <w:tr>
        <w:tc>
          <w:tcPr>
            <w:tcW w:type="dxa" w:w="2613"/>
            <w:vAlign w:val="center"/>
            <w:tcMar>
              <w:top w:w="65" w:type="dxa"/>
              <w:start w:w="95" w:type="dxa"/>
              <w:bottom w:w="65" w:type="dxa"/>
              <w:end w:w="95" w:type="dxa"/>
            </w:tcMar>
          </w:tcPr>
          <w:p>
            <w:pPr>
              <w:spacing w:after="0"/>
            </w:pPr>
            <w:r>
              <w:rPr>
                <w:rFonts w:ascii="Segoe UI" w:hAnsi="Segoe UI"/>
                <w:sz w:val="16"/>
              </w:rPr>
              <w:t>Demo Vitamin C 500 mg</w:t>
              <w:br/>
              <w:t>DEMO-VITC-003</w:t>
            </w:r>
          </w:p>
        </w:tc>
        <w:tc>
          <w:tcPr>
            <w:tcW w:type="dxa" w:w="2613"/>
            <w:vAlign w:val="center"/>
            <w:tcMar>
              <w:top w:w="65" w:type="dxa"/>
              <w:start w:w="95" w:type="dxa"/>
              <w:bottom w:w="65" w:type="dxa"/>
              <w:end w:w="95" w:type="dxa"/>
            </w:tcMar>
          </w:tcPr>
          <w:p>
            <w:pPr>
              <w:spacing w:after="0"/>
            </w:pPr>
            <w:r>
              <w:rPr>
                <w:rFonts w:ascii="Segoe UI" w:hAnsi="Segoe UI"/>
                <w:sz w:val="16"/>
              </w:rPr>
              <w:t>8 / 15</w:t>
            </w:r>
          </w:p>
        </w:tc>
        <w:tc>
          <w:tcPr>
            <w:tcW w:type="dxa" w:w="2613"/>
            <w:vAlign w:val="center"/>
            <w:tcMar>
              <w:top w:w="65" w:type="dxa"/>
              <w:start w:w="95" w:type="dxa"/>
              <w:bottom w:w="65" w:type="dxa"/>
              <w:end w:w="95" w:type="dxa"/>
            </w:tcMar>
          </w:tcPr>
          <w:p>
            <w:pPr>
              <w:spacing w:after="0"/>
            </w:pPr>
            <w:r>
              <w:rPr>
                <w:rFonts w:ascii="Segoe UI" w:hAnsi="Segoe UI"/>
                <w:sz w:val="16"/>
              </w:rPr>
              <w:t>15 Feb 2027</w:t>
            </w:r>
          </w:p>
        </w:tc>
        <w:tc>
          <w:tcPr>
            <w:tcW w:type="dxa" w:w="2613"/>
            <w:vAlign w:val="center"/>
            <w:tcMar>
              <w:top w:w="65" w:type="dxa"/>
              <w:start w:w="95" w:type="dxa"/>
              <w:bottom w:w="65" w:type="dxa"/>
              <w:end w:w="95" w:type="dxa"/>
            </w:tcMar>
          </w:tcPr>
          <w:p>
            <w:pPr>
              <w:spacing w:after="0"/>
            </w:pPr>
            <w:r>
              <w:rPr>
                <w:rFonts w:ascii="Segoe UI" w:hAnsi="Segoe UI"/>
                <w:sz w:val="16"/>
              </w:rPr>
              <w:t>Low stock</w:t>
            </w:r>
          </w:p>
        </w:tc>
      </w:tr>
    </w:tbl>
    <w:p>
      <w:r>
        <w:br w:type="page"/>
      </w:r>
    </w:p>
    <w:p>
      <w:pPr>
        <w:pStyle w:val="Heading1"/>
      </w:pPr>
      <w:r>
        <w:t>Run the application</w:t>
      </w:r>
    </w:p>
    <w:p>
      <w:r>
        <w:t>From PowerShell, start the existing project with the commands below. Open http://localhost:5000 after the server starts.</w:t>
      </w:r>
    </w:p>
    <w:tbl>
      <w:tblPr>
        <w:tblW w:type="auto" w:w="0"/>
        <w:jc w:val="center"/>
        <w:tblLayout w:type="autofit"/>
        <w:tblLook w:firstColumn="1" w:firstRow="1" w:lastColumn="0" w:lastRow="0" w:noHBand="0" w:noVBand="1" w:val="04A0"/>
      </w:tblPr>
      <w:tblGrid>
        <w:gridCol w:w="10454"/>
      </w:tblGrid>
      <w:tr>
        <w:tc>
          <w:tcPr>
            <w:tcW w:type="dxa" w:w="10454"/>
            <w:shd w:fill="12202A"/>
            <w:tcMar>
              <w:top w:w="130" w:type="dxa"/>
              <w:start w:w="190" w:type="dxa"/>
              <w:bottom w:w="130" w:type="dxa"/>
              <w:end w:w="190" w:type="dxa"/>
            </w:tcMar>
          </w:tcPr>
          <w:p>
            <w:pPr>
              <w:spacing w:after="40"/>
            </w:pPr>
            <w:r/>
            <w:r>
              <w:rPr>
                <w:rFonts w:ascii="Consolas" w:hAnsi="Consolas"/>
                <w:color w:val="DBE8EF"/>
                <w:sz w:val="16"/>
              </w:rPr>
              <w:t>cd D:\Devops</w:t>
            </w:r>
          </w:p>
          <w:p>
            <w:pPr>
              <w:spacing w:after="40"/>
            </w:pPr>
            <w:r>
              <w:rPr>
                <w:rFonts w:ascii="Consolas" w:hAnsi="Consolas"/>
                <w:color w:val="DBE8EF"/>
                <w:sz w:val="16"/>
              </w:rPr>
              <w:t>py -m venv .venv</w:t>
            </w:r>
          </w:p>
          <w:p>
            <w:pPr>
              <w:spacing w:after="40"/>
            </w:pPr>
            <w:r>
              <w:rPr>
                <w:rFonts w:ascii="Consolas" w:hAnsi="Consolas"/>
                <w:color w:val="DBE8EF"/>
                <w:sz w:val="16"/>
              </w:rPr>
              <w:t>.\.venv\Scripts\Activate.ps1</w:t>
            </w:r>
          </w:p>
          <w:p>
            <w:pPr>
              <w:spacing w:after="40"/>
            </w:pPr>
            <w:r>
              <w:rPr>
                <w:rFonts w:ascii="Consolas" w:hAnsi="Consolas"/>
                <w:color w:val="DBE8EF"/>
                <w:sz w:val="16"/>
              </w:rPr>
              <w:t>python -m pip install -r requirements.txt</w:t>
            </w:r>
          </w:p>
          <w:p>
            <w:pPr>
              <w:spacing w:after="40"/>
            </w:pPr>
            <w:r>
              <w:rPr>
                <w:rFonts w:ascii="Consolas" w:hAnsi="Consolas"/>
                <w:color w:val="DBE8EF"/>
                <w:sz w:val="16"/>
              </w:rPr>
              <w:t>$env:SECRET_KEY = "replace-with-a-random-local-secret"</w:t>
            </w:r>
          </w:p>
          <w:p>
            <w:pPr>
              <w:spacing w:after="40"/>
            </w:pPr>
            <w:r>
              <w:rPr>
                <w:rFonts w:ascii="Consolas" w:hAnsi="Consolas"/>
                <w:color w:val="DBE8EF"/>
                <w:sz w:val="16"/>
              </w:rPr>
              <w:t>python app.py</w:t>
            </w:r>
          </w:p>
        </w:tc>
      </w:tr>
    </w:tbl>
    <w:p>
      <w:r>
        <w:t>The database is created automatically. Add your own records with Add medicine; demo records remain available as examples.</w:t>
      </w:r>
    </w:p>
    <w:p>
      <w:pPr>
        <w:pStyle w:val="Heading1"/>
      </w:pPr>
      <w:r>
        <w:t>Terminal verification transcript</w:t>
      </w:r>
    </w:p>
    <w:p>
      <w:r>
        <w:t>This formatted transcript reproduces command output from the local checks. The dashboard above is a browser screenshot.</w:t>
      </w:r>
    </w:p>
    <w:p>
      <w:r>
        <w:drawing>
          <wp:inline xmlns:a="http://schemas.openxmlformats.org/drawingml/2006/main" xmlns:pic="http://schemas.openxmlformats.org/drawingml/2006/picture">
            <wp:extent cx="6327648" cy="3559302"/>
            <wp:docPr id="2" name="Picture 2"/>
            <wp:cNvGraphicFramePr>
              <a:graphicFrameLocks noChangeAspect="1"/>
            </wp:cNvGraphicFramePr>
            <a:graphic>
              <a:graphicData uri="http://schemas.openxmlformats.org/drawingml/2006/picture">
                <pic:pic>
                  <pic:nvPicPr>
                    <pic:cNvPr id="0" name="terminal-transcript.png"/>
                    <pic:cNvPicPr/>
                  </pic:nvPicPr>
                  <pic:blipFill>
                    <a:blip r:embed="rId12"/>
                    <a:stretch>
                      <a:fillRect/>
                    </a:stretch>
                  </pic:blipFill>
                  <pic:spPr>
                    <a:xfrm>
                      <a:off x="0" y="0"/>
                      <a:ext cx="6327648" cy="3559302"/>
                    </a:xfrm>
                    <a:prstGeom prst="rect"/>
                  </pic:spPr>
                </pic:pic>
              </a:graphicData>
            </a:graphic>
          </wp:inline>
        </w:drawing>
      </w:r>
    </w:p>
    <w:p>
      <w:pPr>
        <w:jc w:val="center"/>
      </w:pPr>
      <w:r>
        <w:rPr>
          <w:i/>
          <w:color w:val="6B7E75"/>
          <w:sz w:val="16"/>
        </w:rPr>
        <w:t>Checks shown: pytest, Compose configuration, health endpoint, and local Git status.</w:t>
      </w:r>
    </w:p>
    <w:p>
      <w:pPr>
        <w:pStyle w:val="Heading1"/>
      </w:pPr>
      <w:r>
        <w:t>GitHub publishing status</w:t>
      </w:r>
    </w:p>
    <w:p>
      <w:r>
        <w:t>A local Git repository is ready on branch main with commit d044db3 (Build medicine stock and expiry tracking project). The working tree is clean. No remote repository has been created or pushed.</w:t>
      </w:r>
    </w:p>
    <w:p>
      <w:r>
        <w:t>To publish, provide the GitHub username or organization, repository name, and whether it should be public or private. Do not send a password or access token in chat; authenticate through GitHub's normal sign-in or an approved connector when publishing.</w:t>
      </w:r>
    </w:p>
    <w:sectPr w:rsidR="00FC693F" w:rsidRPr="0006063C" w:rsidSect="00034616">
      <w:headerReference w:type="default" r:id="rId9"/>
      <w:footerReference w:type="default" r:id="rId10"/>
      <w:pgSz w:w="12240" w:h="15840"/>
      <w:pgMar w:top="691"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918A"/>
        <w:sz w:val="16"/>
      </w:rPr>
      <w:t xml:space="preserve">Medicine Stock and Expiry Tracking System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color w:val="12785F"/>
        <w:sz w:val="16"/>
      </w:rPr>
      <w:t>23IT723  |  DEVOPS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Segoe UI" w:hAnsi="Segoe UI"/>
      <w:color w:val="3143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Segoe UI" w:hAnsi="Segoe UI"/>
      <w:b/>
      <w:bCs/>
      <w:color w:val="17362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Segoe UI" w:hAnsi="Segoe UI"/>
      <w:b/>
      <w:bCs/>
      <w:color w:val="1278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Segoe UI" w:hAnsi="Segoe UI"/>
      <w:b/>
      <w:color w:val="17362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