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0FF1F0" w14:textId="77777777" w:rsidR="00921F9A" w:rsidRDefault="00C4749C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金融大数据思维与应用小组汇报</w:t>
      </w:r>
    </w:p>
    <w:p w14:paraId="14C13844" w14:textId="77777777" w:rsidR="00921F9A" w:rsidRDefault="00C4749C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小组成员：</w:t>
      </w:r>
    </w:p>
    <w:p w14:paraId="53984565" w14:textId="77777777" w:rsidR="00921F9A" w:rsidRDefault="00C4749C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倪晨豪</w:t>
      </w:r>
    </w:p>
    <w:p w14:paraId="13AB127B" w14:textId="77777777" w:rsidR="00921F9A" w:rsidRDefault="00C4749C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柳杨</w:t>
      </w:r>
    </w:p>
    <w:p w14:paraId="24F0A38B" w14:textId="77777777" w:rsidR="00921F9A" w:rsidRDefault="00C4749C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董伟奇</w:t>
      </w:r>
    </w:p>
    <w:p w14:paraId="3EBEE170" w14:textId="77777777" w:rsidR="00921F9A" w:rsidRDefault="00C4749C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杨蕾</w:t>
      </w:r>
    </w:p>
    <w:p w14:paraId="3BDB6CA4" w14:textId="77777777" w:rsidR="00921F9A" w:rsidRDefault="00921F9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BE39915" w14:textId="77777777" w:rsidR="00921F9A" w:rsidRDefault="00C4749C">
      <w:pPr>
        <w:numPr>
          <w:ilvl w:val="0"/>
          <w:numId w:val="1"/>
        </w:numPr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前言</w:t>
      </w:r>
    </w:p>
    <w:p w14:paraId="15749BBD" w14:textId="77777777" w:rsidR="00921F9A" w:rsidRDefault="00C4749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</w:t>
      </w:r>
      <w:r>
        <w:rPr>
          <w:rFonts w:ascii="宋体" w:hAnsi="宋体" w:hint="eastAsia"/>
          <w:sz w:val="24"/>
        </w:rPr>
        <w:t>年是不平凡的一年，疫情全球大爆发之下，很多行业都受到了不小的冲击，但也给很多行业带来了发展的新动力，同时灾难的来临不会阻碍科技的发展，全球资本更会在经济下行期间为寻找新投资而助推科技发展。</w:t>
      </w:r>
      <w:r>
        <w:rPr>
          <w:rFonts w:ascii="宋体" w:hAnsi="宋体" w:hint="eastAsia"/>
          <w:sz w:val="24"/>
        </w:rPr>
        <w:t>本文主要通过</w:t>
      </w:r>
      <w:r>
        <w:rPr>
          <w:rFonts w:ascii="宋体" w:hAnsi="宋体" w:hint="eastAsia"/>
          <w:sz w:val="24"/>
        </w:rPr>
        <w:t>2018-2020</w:t>
      </w:r>
      <w:r>
        <w:rPr>
          <w:rFonts w:ascii="宋体" w:hAnsi="宋体" w:hint="eastAsia"/>
          <w:sz w:val="24"/>
        </w:rPr>
        <w:t>年万科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中国医药</w:t>
      </w:r>
      <w:r>
        <w:rPr>
          <w:rFonts w:ascii="宋体" w:hAnsi="宋体" w:hint="eastAsia"/>
          <w:sz w:val="24"/>
        </w:rPr>
        <w:t>与特斯拉</w:t>
      </w:r>
      <w:r>
        <w:rPr>
          <w:rFonts w:ascii="宋体" w:hAnsi="宋体" w:hint="eastAsia"/>
          <w:sz w:val="24"/>
        </w:rPr>
        <w:t>的股价分析，</w:t>
      </w:r>
      <w:r>
        <w:rPr>
          <w:rFonts w:ascii="宋体" w:hAnsi="宋体" w:hint="eastAsia"/>
          <w:sz w:val="24"/>
        </w:rPr>
        <w:t>对比受疫情影响下三</w:t>
      </w:r>
      <w:r>
        <w:rPr>
          <w:rFonts w:ascii="宋体" w:hAnsi="宋体" w:hint="eastAsia"/>
          <w:sz w:val="24"/>
        </w:rPr>
        <w:t>种不同行业的行情变化。</w:t>
      </w:r>
    </w:p>
    <w:p w14:paraId="358764B9" w14:textId="77777777" w:rsidR="00921F9A" w:rsidRDefault="00C4749C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公司对比分析</w:t>
      </w:r>
    </w:p>
    <w:p w14:paraId="262FD67D" w14:textId="77777777" w:rsidR="00921F9A" w:rsidRDefault="00C4749C">
      <w:pPr>
        <w:spacing w:beforeLines="25" w:before="78" w:afterLines="25" w:after="78"/>
        <w:ind w:firstLineChars="200" w:firstLine="482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（一）中国医药集团</w:t>
      </w:r>
    </w:p>
    <w:p w14:paraId="1444459D" w14:textId="77777777" w:rsidR="00921F9A" w:rsidRDefault="00C4749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从中国国药的股价来看可见，在</w:t>
      </w:r>
      <w:r>
        <w:rPr>
          <w:rFonts w:hint="eastAsia"/>
          <w:sz w:val="24"/>
        </w:rPr>
        <w:t>2</w:t>
      </w:r>
      <w:r>
        <w:rPr>
          <w:sz w:val="24"/>
        </w:rPr>
        <w:t>020</w:t>
      </w:r>
      <w:r>
        <w:rPr>
          <w:rFonts w:hint="eastAsia"/>
          <w:sz w:val="24"/>
        </w:rPr>
        <w:t>年前始终处在较为稳定的位置，实现较低的平均收益率；但是在</w:t>
      </w:r>
      <w:r>
        <w:rPr>
          <w:sz w:val="24"/>
        </w:rPr>
        <w:t>2020</w:t>
      </w:r>
      <w:r>
        <w:rPr>
          <w:rFonts w:hint="eastAsia"/>
          <w:sz w:val="24"/>
        </w:rPr>
        <w:t>年后股价大幅度上涨，实现了高收益率。可见在疫情期间，医药行业</w:t>
      </w:r>
      <w:r>
        <w:rPr>
          <w:rFonts w:hint="eastAsia"/>
          <w:sz w:val="24"/>
        </w:rPr>
        <w:t>备受投资者与资本的亲睐，实现了短时间内股价的快速上升，并维持在近两年来的较高价位</w:t>
      </w:r>
      <w:r>
        <w:rPr>
          <w:rFonts w:hint="eastAsia"/>
          <w:sz w:val="24"/>
        </w:rPr>
        <w:t>。（如图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所示）</w:t>
      </w:r>
    </w:p>
    <w:p w14:paraId="1A2F6776" w14:textId="77777777" w:rsidR="00921F9A" w:rsidRDefault="00C4749C">
      <w:pPr>
        <w:pStyle w:val="a3"/>
        <w:jc w:val="center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 wp14:anchorId="1EAE0FA3" wp14:editId="169A9125">
            <wp:extent cx="4711065" cy="2927350"/>
            <wp:effectExtent l="0" t="0" r="13334" b="13970"/>
            <wp:docPr id="1027" name="图片 1" descr="Rplo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71106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E206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t xml:space="preserve">  2018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26 CPHI</w:t>
      </w:r>
      <w:r>
        <w:rPr>
          <w:rFonts w:hint="eastAsia"/>
        </w:rPr>
        <w:t>的股价</w:t>
      </w:r>
    </w:p>
    <w:p w14:paraId="620BD6F2" w14:textId="77777777" w:rsidR="00921F9A" w:rsidRDefault="00C4749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从图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中可见</w:t>
      </w:r>
      <w:r>
        <w:rPr>
          <w:rFonts w:ascii="宋体" w:hAnsi="宋体" w:hint="eastAsia"/>
          <w:sz w:val="24"/>
        </w:rPr>
        <w:t>2020</w:t>
      </w:r>
      <w:r>
        <w:rPr>
          <w:rFonts w:ascii="宋体" w:hAnsi="宋体" w:hint="eastAsia"/>
          <w:sz w:val="24"/>
        </w:rPr>
        <w:t>年前的收益率较为稳定，基本在平均值附近浮动，但是在</w:t>
      </w:r>
      <w:r>
        <w:rPr>
          <w:rFonts w:ascii="宋体" w:hAnsi="宋体" w:hint="eastAsia"/>
          <w:sz w:val="24"/>
        </w:rPr>
        <w:t>2020</w:t>
      </w:r>
      <w:r>
        <w:rPr>
          <w:rFonts w:ascii="宋体" w:hAnsi="宋体" w:hint="eastAsia"/>
          <w:sz w:val="24"/>
        </w:rPr>
        <w:t>年后的较短时间内收益率出现了较大幅度的波动，出现了极端值从而使得收益率的分布产生了肥尾。同时在图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中，可见收益率的分布图右偏较为严重，此外</w:t>
      </w:r>
      <w:r>
        <w:rPr>
          <w:rFonts w:ascii="宋体" w:hAnsi="宋体" w:hint="eastAsia"/>
          <w:sz w:val="24"/>
        </w:rPr>
        <w:t>收益率分布图呈现出尖峰肥尾。（</w:t>
      </w:r>
      <w:r>
        <w:rPr>
          <w:rFonts w:ascii="宋体" w:hAnsi="宋体" w:hint="eastAsia"/>
          <w:sz w:val="24"/>
        </w:rPr>
        <w:t>Skewness=3.676956  Kurtosis=32.167012</w:t>
      </w:r>
      <w:r>
        <w:rPr>
          <w:rFonts w:ascii="宋体" w:hAnsi="宋体" w:hint="eastAsia"/>
          <w:sz w:val="24"/>
        </w:rPr>
        <w:t>）</w:t>
      </w:r>
    </w:p>
    <w:p w14:paraId="7B41E8CA" w14:textId="77777777" w:rsidR="00921F9A" w:rsidRDefault="00C4749C">
      <w:pPr>
        <w:jc w:val="center"/>
      </w:pPr>
      <w:r>
        <w:rPr>
          <w:rFonts w:hint="eastAsia"/>
          <w:noProof/>
        </w:rPr>
        <w:drawing>
          <wp:inline distT="0" distB="0" distL="0" distR="0" wp14:anchorId="42BF035F" wp14:editId="34F11F91">
            <wp:extent cx="4692650" cy="2915920"/>
            <wp:effectExtent l="0" t="0" r="1270" b="10160"/>
            <wp:docPr id="1028" name="图片 2" descr="Rplot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6926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7649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  2018-01-03</w:t>
      </w:r>
      <w:r>
        <w:t>到</w:t>
      </w:r>
      <w:r>
        <w:t>2020-10-26 CPHI</w:t>
      </w:r>
      <w:r>
        <w:t>的</w:t>
      </w:r>
      <w:r>
        <w:rPr>
          <w:rFonts w:hint="eastAsia"/>
        </w:rPr>
        <w:t>收益率</w:t>
      </w:r>
    </w:p>
    <w:p w14:paraId="69A28D62" w14:textId="77777777" w:rsidR="00921F9A" w:rsidRDefault="00C4749C">
      <w:pPr>
        <w:jc w:val="center"/>
      </w:pPr>
      <w:r>
        <w:rPr>
          <w:rFonts w:hint="eastAsia"/>
          <w:noProof/>
        </w:rPr>
        <w:drawing>
          <wp:inline distT="0" distB="0" distL="0" distR="0" wp14:anchorId="2154BF2A" wp14:editId="4B367EA8">
            <wp:extent cx="4751070" cy="2952115"/>
            <wp:effectExtent l="0" t="0" r="3810" b="4445"/>
            <wp:docPr id="1029" name="图片 3" descr="Rplot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D1A7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t xml:space="preserve">  CPHI</w:t>
      </w:r>
      <w:r>
        <w:rPr>
          <w:rFonts w:hint="eastAsia"/>
        </w:rPr>
        <w:t>收益率的直方图、分布曲线与正态分布曲线</w:t>
      </w:r>
    </w:p>
    <w:p w14:paraId="3275C078" w14:textId="77777777" w:rsidR="00921F9A" w:rsidRDefault="00C4749C">
      <w:pPr>
        <w:spacing w:beforeLines="25" w:before="78" w:afterLines="25" w:after="78"/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（二）万科</w:t>
      </w:r>
    </w:p>
    <w:p w14:paraId="6A659C66" w14:textId="77777777" w:rsidR="00921F9A" w:rsidRDefault="00C4749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从万科的股价来看，在</w:t>
      </w:r>
      <w:r>
        <w:rPr>
          <w:rFonts w:ascii="宋体" w:hAnsi="宋体" w:hint="eastAsia"/>
          <w:sz w:val="24"/>
        </w:rPr>
        <w:t>2018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月前万科的股价处于大幅度下跌的状态，在</w:t>
      </w:r>
      <w:r>
        <w:rPr>
          <w:rFonts w:ascii="宋体" w:hAnsi="宋体" w:hint="eastAsia"/>
          <w:sz w:val="24"/>
        </w:rPr>
        <w:t>2020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月后经历了两次短期的大幅度下降。从股价上可见疫情对房地产行业带来了一定的冲击，导致股价受挫；此外，前期的万科股价下跌对疫情期间的股价也会产生一定的影响，在对抗风险以及资金充足率上可能准备不足，无法应对系统性风险。（如图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所示）</w:t>
      </w:r>
    </w:p>
    <w:p w14:paraId="572DE8F8" w14:textId="77777777" w:rsidR="00921F9A" w:rsidRDefault="00921F9A">
      <w:pPr>
        <w:ind w:firstLineChars="200" w:firstLine="480"/>
        <w:rPr>
          <w:rFonts w:ascii="宋体" w:hAnsi="宋体"/>
          <w:sz w:val="24"/>
        </w:rPr>
      </w:pPr>
    </w:p>
    <w:p w14:paraId="174F4BDC" w14:textId="77777777" w:rsidR="00921F9A" w:rsidRDefault="00921F9A">
      <w:pPr>
        <w:ind w:firstLineChars="200" w:firstLine="480"/>
        <w:rPr>
          <w:rFonts w:ascii="宋体" w:hAnsi="宋体"/>
          <w:sz w:val="24"/>
        </w:rPr>
      </w:pPr>
    </w:p>
    <w:p w14:paraId="581E01A0" w14:textId="77777777" w:rsidR="00921F9A" w:rsidRDefault="00C4749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4A5C90E" wp14:editId="671EBF47">
            <wp:extent cx="4751070" cy="2952115"/>
            <wp:effectExtent l="0" t="0" r="3810" b="4445"/>
            <wp:docPr id="1030" name="图片 4" descr="Rplot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34A3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t xml:space="preserve">  2018-01-02</w:t>
      </w:r>
      <w:r>
        <w:t>到</w:t>
      </w:r>
      <w:r>
        <w:t>2020-10-26 VANKE</w:t>
      </w:r>
      <w:r>
        <w:t>的股价</w:t>
      </w:r>
    </w:p>
    <w:p w14:paraId="04BD1F12" w14:textId="77777777" w:rsidR="00921F9A" w:rsidRDefault="00921F9A"/>
    <w:p w14:paraId="665D9E73" w14:textId="77777777" w:rsidR="00921F9A" w:rsidRDefault="00C4749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从图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与图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中可见万科收益率的整体波动幅度较大，标准差达到了</w:t>
      </w:r>
      <w:r>
        <w:rPr>
          <w:rFonts w:ascii="宋体" w:hAnsi="宋体" w:hint="eastAsia"/>
          <w:sz w:val="24"/>
        </w:rPr>
        <w:t>0.022</w:t>
      </w:r>
      <w:r>
        <w:rPr>
          <w:rFonts w:ascii="宋体" w:hAnsi="宋体" w:hint="eastAsia"/>
          <w:sz w:val="24"/>
        </w:rPr>
        <w:t>，但是极端值出现的概率较小，大部分的波动较为稳定。直方图与收益率分布图都比较圆滑，收益率分布图为右偏以及尖峰肥尾。（</w:t>
      </w:r>
      <w:r>
        <w:rPr>
          <w:rFonts w:ascii="宋体" w:hAnsi="宋体" w:hint="eastAsia"/>
          <w:sz w:val="24"/>
        </w:rPr>
        <w:t>Skewness=0.049504  Kurtosis=2.033310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 xml:space="preserve"> </w:t>
      </w:r>
    </w:p>
    <w:p w14:paraId="3094825C" w14:textId="77777777" w:rsidR="00921F9A" w:rsidRDefault="00C4749C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219CF28B" wp14:editId="1D11799E">
            <wp:extent cx="4751070" cy="2952115"/>
            <wp:effectExtent l="0" t="0" r="3810" b="4445"/>
            <wp:docPr id="1031" name="图片 5" descr="Rplot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E26E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t xml:space="preserve">  2018-01-03</w:t>
      </w:r>
      <w:r>
        <w:t>到</w:t>
      </w:r>
      <w:r>
        <w:t>2020-10-26 VANKE</w:t>
      </w:r>
      <w:r>
        <w:t>的收益率</w:t>
      </w:r>
    </w:p>
    <w:p w14:paraId="2F507C17" w14:textId="77777777" w:rsidR="00921F9A" w:rsidRDefault="00C4749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27361F0" wp14:editId="5F810F39">
            <wp:extent cx="4751070" cy="2952115"/>
            <wp:effectExtent l="0" t="0" r="3810" b="4445"/>
            <wp:docPr id="1032" name="图片 6" descr="Rplot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47EF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6</w:t>
      </w:r>
      <w:r>
        <w:t xml:space="preserve">  VANKE</w:t>
      </w:r>
      <w:r>
        <w:t>收益率的直方图、分布曲线与正态分布曲线</w:t>
      </w:r>
    </w:p>
    <w:p w14:paraId="6E9583E6" w14:textId="77777777" w:rsidR="00921F9A" w:rsidRDefault="00C4749C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特斯拉</w:t>
      </w:r>
    </w:p>
    <w:p w14:paraId="78F1F3DB" w14:textId="77777777" w:rsidR="00921F9A" w:rsidRDefault="00C4749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2020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之前</w:t>
      </w:r>
      <w:r>
        <w:rPr>
          <w:rFonts w:ascii="宋体" w:hAnsi="宋体" w:hint="eastAsia"/>
          <w:sz w:val="24"/>
        </w:rPr>
        <w:t>，特斯拉的价格波动并不明显。在年初受到全球疫情和石油价格战的影响，美股暴跌，也</w:t>
      </w:r>
      <w:r>
        <w:rPr>
          <w:rFonts w:ascii="宋体" w:hAnsi="宋体" w:hint="eastAsia"/>
          <w:sz w:val="24"/>
        </w:rPr>
        <w:t>使</w:t>
      </w:r>
      <w:r>
        <w:rPr>
          <w:rFonts w:ascii="宋体" w:hAnsi="宋体" w:hint="eastAsia"/>
          <w:sz w:val="24"/>
        </w:rPr>
        <w:t>特斯拉股价快速</w:t>
      </w:r>
      <w:r>
        <w:rPr>
          <w:rFonts w:ascii="宋体" w:hAnsi="宋体" w:hint="eastAsia"/>
          <w:sz w:val="24"/>
        </w:rPr>
        <w:t>下行。但随后，随着美国政府对市场的刺激作用，以及全球量化宽松，纳斯达克指数开始收复失地并稳步上升。也正是在整体资本市场推动下，从年初开始直至目前，特斯拉股价飙升，这也得益于特斯拉公司所在新能源汽车行业的快速发展，以及特斯拉自身汽车科技成果对特斯拉股票价格的推动作用。</w:t>
      </w:r>
    </w:p>
    <w:p w14:paraId="75250893" w14:textId="77777777" w:rsidR="00921F9A" w:rsidRDefault="00C4749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7531F225" wp14:editId="182359A0">
            <wp:extent cx="4751070" cy="2952115"/>
            <wp:effectExtent l="0" t="0" r="3810" b="4445"/>
            <wp:docPr id="1033" name="图片 7" descr="Rplot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E86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t xml:space="preserve">  2018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 xml:space="preserve">26 </w:t>
      </w:r>
      <w:r>
        <w:rPr>
          <w:rFonts w:hint="eastAsia"/>
        </w:rPr>
        <w:t>TSLA</w:t>
      </w:r>
      <w:r>
        <w:rPr>
          <w:rFonts w:hint="eastAsia"/>
        </w:rPr>
        <w:t>的股价</w:t>
      </w:r>
    </w:p>
    <w:p w14:paraId="70537C8A" w14:textId="77777777" w:rsidR="00921F9A" w:rsidRDefault="00C4749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特斯拉收益率波动较大，也是科技股的收益率特点之一。很明显，特斯拉在年初的金融市场的波动中产生了较大的收益率波动，因行业市场前景大好，资本寻觅新投资的背景下，吸引资本大量注入，股票价格不断飙升，收益波动较大，出现了异常值，体现出尖峰肥尾的特点，特斯拉在该时间区间内呈现右偏分布。</w:t>
      </w:r>
    </w:p>
    <w:p w14:paraId="4DDDAD5F" w14:textId="77777777" w:rsidR="00921F9A" w:rsidRDefault="00C4749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F31FD0F" wp14:editId="5BC5E930">
            <wp:extent cx="4751070" cy="2952115"/>
            <wp:effectExtent l="0" t="0" r="3810" b="4445"/>
            <wp:docPr id="1034" name="图片 8" descr="Rplot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FD70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t xml:space="preserve">  2018-01-03</w:t>
      </w:r>
      <w:r>
        <w:t>到</w:t>
      </w:r>
      <w:r>
        <w:t xml:space="preserve">2020-10-26 </w:t>
      </w:r>
      <w:r>
        <w:rPr>
          <w:rFonts w:hint="eastAsia"/>
        </w:rPr>
        <w:t>TSLA</w:t>
      </w:r>
      <w:r>
        <w:t>的收益率</w:t>
      </w:r>
    </w:p>
    <w:p w14:paraId="5A17890D" w14:textId="77777777" w:rsidR="00921F9A" w:rsidRDefault="00C4749C">
      <w:pPr>
        <w:jc w:val="center"/>
      </w:pPr>
      <w:r>
        <w:rPr>
          <w:rFonts w:hint="eastAsia"/>
          <w:noProof/>
        </w:rPr>
        <w:drawing>
          <wp:inline distT="0" distB="0" distL="0" distR="0" wp14:anchorId="528FADE1" wp14:editId="6D0E699A">
            <wp:extent cx="4751070" cy="2952115"/>
            <wp:effectExtent l="0" t="0" r="3810" b="4445"/>
            <wp:docPr id="1035" name="图片 9" descr="Rplot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AFFB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8</w:t>
      </w:r>
      <w:r>
        <w:t xml:space="preserve">  </w:t>
      </w:r>
      <w:r>
        <w:rPr>
          <w:rFonts w:hint="eastAsia"/>
        </w:rPr>
        <w:t>TSLA</w:t>
      </w:r>
      <w:r>
        <w:t>收益率的直方图、分布曲线与正态分布曲线</w:t>
      </w:r>
    </w:p>
    <w:p w14:paraId="79F91E7A" w14:textId="77777777" w:rsidR="00921F9A" w:rsidRDefault="00C4749C">
      <w:pPr>
        <w:tabs>
          <w:tab w:val="left" w:pos="235"/>
        </w:tabs>
        <w:ind w:left="280"/>
      </w:pPr>
      <w:r>
        <w:rPr>
          <w:rFonts w:hint="eastAsia"/>
          <w:b/>
          <w:bCs/>
          <w:sz w:val="28"/>
          <w:szCs w:val="28"/>
        </w:rPr>
        <w:t>（四）对比分析</w:t>
      </w:r>
    </w:p>
    <w:p w14:paraId="6513168B" w14:textId="77777777" w:rsidR="00921F9A" w:rsidRDefault="00921F9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1400"/>
        <w:gridCol w:w="1399"/>
        <w:gridCol w:w="1399"/>
        <w:gridCol w:w="1410"/>
        <w:gridCol w:w="1349"/>
      </w:tblGrid>
      <w:tr w:rsidR="00921F9A" w14:paraId="705AF128" w14:textId="77777777">
        <w:trPr>
          <w:trHeight w:val="340"/>
        </w:trPr>
        <w:tc>
          <w:tcPr>
            <w:tcW w:w="1420" w:type="dxa"/>
            <w:vAlign w:val="center"/>
          </w:tcPr>
          <w:p w14:paraId="2854C5D0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公司名</w:t>
            </w:r>
          </w:p>
        </w:tc>
        <w:tc>
          <w:tcPr>
            <w:tcW w:w="1420" w:type="dxa"/>
          </w:tcPr>
          <w:p w14:paraId="573584F1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均值</w:t>
            </w:r>
          </w:p>
        </w:tc>
        <w:tc>
          <w:tcPr>
            <w:tcW w:w="1420" w:type="dxa"/>
          </w:tcPr>
          <w:p w14:paraId="3B39FD39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方差</w:t>
            </w:r>
          </w:p>
        </w:tc>
        <w:tc>
          <w:tcPr>
            <w:tcW w:w="1420" w:type="dxa"/>
          </w:tcPr>
          <w:p w14:paraId="3AB44E39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偏度</w:t>
            </w:r>
          </w:p>
        </w:tc>
        <w:tc>
          <w:tcPr>
            <w:tcW w:w="1421" w:type="dxa"/>
          </w:tcPr>
          <w:p w14:paraId="3229A45E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峰度</w:t>
            </w:r>
          </w:p>
        </w:tc>
        <w:tc>
          <w:tcPr>
            <w:tcW w:w="1421" w:type="dxa"/>
          </w:tcPr>
          <w:p w14:paraId="029384D1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样本数</w:t>
            </w:r>
          </w:p>
        </w:tc>
      </w:tr>
      <w:tr w:rsidR="00921F9A" w14:paraId="3B16C512" w14:textId="77777777">
        <w:trPr>
          <w:trHeight w:val="340"/>
        </w:trPr>
        <w:tc>
          <w:tcPr>
            <w:tcW w:w="1420" w:type="dxa"/>
          </w:tcPr>
          <w:p w14:paraId="6BE28451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中国医药</w:t>
            </w:r>
          </w:p>
        </w:tc>
        <w:tc>
          <w:tcPr>
            <w:tcW w:w="1420" w:type="dxa"/>
          </w:tcPr>
          <w:p w14:paraId="6BFB00D9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0.001341</w:t>
            </w:r>
          </w:p>
        </w:tc>
        <w:tc>
          <w:tcPr>
            <w:tcW w:w="1420" w:type="dxa"/>
          </w:tcPr>
          <w:p w14:paraId="175C748E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0.006806</w:t>
            </w:r>
          </w:p>
        </w:tc>
        <w:tc>
          <w:tcPr>
            <w:tcW w:w="1420" w:type="dxa"/>
          </w:tcPr>
          <w:p w14:paraId="50F01878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3.676956</w:t>
            </w:r>
          </w:p>
        </w:tc>
        <w:tc>
          <w:tcPr>
            <w:tcW w:w="1421" w:type="dxa"/>
          </w:tcPr>
          <w:p w14:paraId="25E785DE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32.167012</w:t>
            </w:r>
          </w:p>
        </w:tc>
        <w:tc>
          <w:tcPr>
            <w:tcW w:w="1421" w:type="dxa"/>
          </w:tcPr>
          <w:p w14:paraId="3E075A0F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710</w:t>
            </w:r>
          </w:p>
        </w:tc>
      </w:tr>
      <w:tr w:rsidR="00921F9A" w14:paraId="75039ECC" w14:textId="77777777">
        <w:trPr>
          <w:trHeight w:val="340"/>
        </w:trPr>
        <w:tc>
          <w:tcPr>
            <w:tcW w:w="1420" w:type="dxa"/>
          </w:tcPr>
          <w:p w14:paraId="73931249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万科</w:t>
            </w:r>
          </w:p>
        </w:tc>
        <w:tc>
          <w:tcPr>
            <w:tcW w:w="1420" w:type="dxa"/>
          </w:tcPr>
          <w:p w14:paraId="6C31770C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-0.000055</w:t>
            </w:r>
          </w:p>
        </w:tc>
        <w:tc>
          <w:tcPr>
            <w:tcW w:w="1420" w:type="dxa"/>
          </w:tcPr>
          <w:p w14:paraId="40B1035E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0.000494</w:t>
            </w:r>
          </w:p>
        </w:tc>
        <w:tc>
          <w:tcPr>
            <w:tcW w:w="1420" w:type="dxa"/>
          </w:tcPr>
          <w:p w14:paraId="61DAF84D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0.049504</w:t>
            </w:r>
          </w:p>
        </w:tc>
        <w:tc>
          <w:tcPr>
            <w:tcW w:w="1421" w:type="dxa"/>
          </w:tcPr>
          <w:p w14:paraId="287482EE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2.033310</w:t>
            </w:r>
          </w:p>
        </w:tc>
        <w:tc>
          <w:tcPr>
            <w:tcW w:w="1421" w:type="dxa"/>
          </w:tcPr>
          <w:p w14:paraId="18CFBFF3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680</w:t>
            </w:r>
          </w:p>
        </w:tc>
      </w:tr>
      <w:tr w:rsidR="00921F9A" w14:paraId="2D696D4F" w14:textId="77777777">
        <w:trPr>
          <w:trHeight w:val="340"/>
        </w:trPr>
        <w:tc>
          <w:tcPr>
            <w:tcW w:w="1420" w:type="dxa"/>
          </w:tcPr>
          <w:p w14:paraId="26EFE9ED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特斯拉</w:t>
            </w:r>
          </w:p>
        </w:tc>
        <w:tc>
          <w:tcPr>
            <w:tcW w:w="1420" w:type="dxa"/>
          </w:tcPr>
          <w:p w14:paraId="5CEDFFA3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0.002652</w:t>
            </w:r>
          </w:p>
        </w:tc>
        <w:tc>
          <w:tcPr>
            <w:tcW w:w="1420" w:type="dxa"/>
          </w:tcPr>
          <w:p w14:paraId="3175088D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0.001861</w:t>
            </w:r>
          </w:p>
        </w:tc>
        <w:tc>
          <w:tcPr>
            <w:tcW w:w="1420" w:type="dxa"/>
          </w:tcPr>
          <w:p w14:paraId="71D5D81F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-0.230953</w:t>
            </w:r>
          </w:p>
        </w:tc>
        <w:tc>
          <w:tcPr>
            <w:tcW w:w="1421" w:type="dxa"/>
          </w:tcPr>
          <w:p w14:paraId="33D1015E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4.774455</w:t>
            </w:r>
          </w:p>
        </w:tc>
        <w:tc>
          <w:tcPr>
            <w:tcW w:w="1421" w:type="dxa"/>
          </w:tcPr>
          <w:p w14:paraId="742E4066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710</w:t>
            </w:r>
          </w:p>
        </w:tc>
      </w:tr>
    </w:tbl>
    <w:p w14:paraId="40934B09" w14:textId="77777777" w:rsidR="00921F9A" w:rsidRDefault="00C4749C">
      <w:pPr>
        <w:ind w:left="28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5CF6231E" wp14:editId="69AE1E92">
            <wp:extent cx="4751070" cy="2952115"/>
            <wp:effectExtent l="0" t="0" r="3810" b="4445"/>
            <wp:docPr id="1036" name="图片 11" descr="Rplot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8237" w14:textId="77777777" w:rsidR="00921F9A" w:rsidRDefault="00C4749C">
      <w:pPr>
        <w:pStyle w:val="a3"/>
        <w:jc w:val="center"/>
        <w:rPr>
          <w:b/>
          <w:bCs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CPHI VANKE TSLA</w:t>
      </w:r>
      <w:r>
        <w:t>收益率的直方图、分布曲线与正态分布曲线</w:t>
      </w:r>
    </w:p>
    <w:p w14:paraId="743A7209" w14:textId="138D04B3" w:rsidR="00921F9A" w:rsidRDefault="00C4749C">
      <w:pPr>
        <w:ind w:firstLineChars="200" w:firstLine="420"/>
        <w:rPr>
          <w:sz w:val="24"/>
        </w:rPr>
      </w:pPr>
      <w:r>
        <w:rPr>
          <w:rFonts w:hint="eastAsia"/>
        </w:rPr>
        <w:t>综上图、表所述，</w:t>
      </w:r>
      <w:r>
        <w:rPr>
          <w:rFonts w:hint="eastAsia"/>
        </w:rPr>
        <w:t>医药行业在疫情期间实现了崛起，在巨大的防疫物质、新冠检测试剂以及疫苗的需求下，促进</w:t>
      </w:r>
      <w:r>
        <w:rPr>
          <w:rFonts w:hint="eastAsia"/>
        </w:rPr>
        <w:t>医药行业在逆境中强势发展，在市场中实现了超额利润；而房地产行业却面临着资金短缺的危机，疫情带了短期的经济低迷</w:t>
      </w:r>
      <w:r>
        <w:rPr>
          <w:rFonts w:hint="eastAsia"/>
        </w:rPr>
        <w:t>。</w:t>
      </w:r>
      <w:r>
        <w:rPr>
          <w:rFonts w:hint="eastAsia"/>
        </w:rPr>
        <w:t>万科收益率的平稳分布与中国医药的尖峰分布形成鲜明对比，进一步突出新冠疫情对医药行业的发展的促进作用。</w:t>
      </w:r>
      <w:r>
        <w:rPr>
          <w:rFonts w:hint="eastAsia"/>
          <w:sz w:val="24"/>
        </w:rPr>
        <w:t>在美股大盘稳定向好，新能源汽车行业快速发展，行业前景备受投资者认可的背景下，特斯拉股票经过近十年不温不火后，迎来爆发性上升，收益率高，但波动性也大。</w:t>
      </w:r>
    </w:p>
    <w:p w14:paraId="0135BF6E" w14:textId="77777777" w:rsidR="00921F9A" w:rsidRDefault="00C4749C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万科的</w:t>
      </w:r>
      <w:r>
        <w:rPr>
          <w:rFonts w:ascii="宋体" w:hAnsi="宋体" w:hint="eastAsia"/>
          <w:b/>
          <w:bCs/>
          <w:sz w:val="28"/>
          <w:szCs w:val="28"/>
        </w:rPr>
        <w:t>ARMA</w:t>
      </w:r>
      <w:r>
        <w:rPr>
          <w:rFonts w:ascii="宋体" w:hAnsi="宋体" w:hint="eastAsia"/>
          <w:b/>
          <w:bCs/>
          <w:sz w:val="28"/>
          <w:szCs w:val="28"/>
        </w:rPr>
        <w:t>模型选择</w:t>
      </w:r>
    </w:p>
    <w:p w14:paraId="05FD91B1" w14:textId="77777777" w:rsidR="00921F9A" w:rsidRDefault="00C4749C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ACF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PACF</w:t>
      </w:r>
      <w:r>
        <w:rPr>
          <w:rFonts w:hint="eastAsia"/>
          <w:sz w:val="24"/>
        </w:rPr>
        <w:t>确定模型阶数，比较</w:t>
      </w:r>
      <w:r>
        <w:rPr>
          <w:rFonts w:hint="eastAsia"/>
          <w:sz w:val="24"/>
        </w:rPr>
        <w:t>AIC</w:t>
      </w:r>
      <w:r>
        <w:rPr>
          <w:rFonts w:hint="eastAsia"/>
          <w:sz w:val="24"/>
        </w:rPr>
        <w:t>值来选取模型，最终选取</w:t>
      </w:r>
      <w:r>
        <w:rPr>
          <w:rFonts w:hint="eastAsia"/>
          <w:sz w:val="24"/>
        </w:rPr>
        <w:t>AIC</w:t>
      </w:r>
      <w:r>
        <w:rPr>
          <w:rFonts w:hint="eastAsia"/>
          <w:sz w:val="24"/>
        </w:rPr>
        <w:t>值较小的</w:t>
      </w:r>
      <w:r>
        <w:rPr>
          <w:rFonts w:hint="eastAsia"/>
          <w:sz w:val="24"/>
        </w:rPr>
        <w:t>ARMA</w:t>
      </w:r>
      <w:r>
        <w:rPr>
          <w:rFonts w:hint="eastAsia"/>
          <w:sz w:val="24"/>
        </w:rPr>
        <w:t>模型。</w:t>
      </w:r>
    </w:p>
    <w:p w14:paraId="6BCAE5A7" w14:textId="77777777" w:rsidR="00921F9A" w:rsidRDefault="00921F9A">
      <w:pPr>
        <w:rPr>
          <w:rFonts w:ascii="宋体" w:hAnsi="宋体"/>
          <w:sz w:val="24"/>
        </w:rPr>
      </w:pPr>
    </w:p>
    <w:p w14:paraId="61D91F66" w14:textId="77777777" w:rsidR="00921F9A" w:rsidRDefault="00921F9A">
      <w:pPr>
        <w:jc w:val="center"/>
        <w:rPr>
          <w:rFonts w:ascii="宋体" w:hAnsi="宋体"/>
          <w:sz w:val="24"/>
        </w:rPr>
      </w:pPr>
    </w:p>
    <w:p w14:paraId="61968403" w14:textId="77777777" w:rsidR="00921F9A" w:rsidRDefault="00C4749C">
      <w:pPr>
        <w:jc w:val="center"/>
      </w:pPr>
      <w:r>
        <w:rPr>
          <w:noProof/>
        </w:rPr>
        <w:drawing>
          <wp:inline distT="0" distB="0" distL="0" distR="0" wp14:anchorId="57D7BDB9" wp14:editId="0A9657A0">
            <wp:extent cx="4751070" cy="2952115"/>
            <wp:effectExtent l="0" t="0" r="3810" b="4445"/>
            <wp:docPr id="1037" name="图片 13" descr="Rplot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5FDF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10</w:t>
      </w:r>
      <w:r>
        <w:t xml:space="preserve">  </w:t>
      </w:r>
      <w:r>
        <w:rPr>
          <w:rFonts w:hint="eastAsia"/>
        </w:rPr>
        <w:t>VANKE</w:t>
      </w:r>
      <w:r>
        <w:t>收益率的</w:t>
      </w:r>
      <w:r>
        <w:rPr>
          <w:rFonts w:hint="eastAsia"/>
        </w:rPr>
        <w:t>ACF</w:t>
      </w:r>
      <w:r>
        <w:rPr>
          <w:rFonts w:hint="eastAsia"/>
        </w:rPr>
        <w:t>图</w:t>
      </w:r>
    </w:p>
    <w:p w14:paraId="2791E6B9" w14:textId="77777777" w:rsidR="00921F9A" w:rsidRDefault="00921F9A"/>
    <w:p w14:paraId="234D1296" w14:textId="77777777" w:rsidR="00921F9A" w:rsidRDefault="00C4749C">
      <w:pPr>
        <w:jc w:val="center"/>
      </w:pPr>
      <w:r>
        <w:rPr>
          <w:noProof/>
        </w:rPr>
        <w:drawing>
          <wp:inline distT="0" distB="0" distL="0" distR="0" wp14:anchorId="44AC3A70" wp14:editId="1E4AC610">
            <wp:extent cx="4751070" cy="2952115"/>
            <wp:effectExtent l="0" t="0" r="3810" b="4445"/>
            <wp:docPr id="1038" name="图片 10" descr="Rplot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D3FD" w14:textId="77777777" w:rsidR="00921F9A" w:rsidRDefault="00C474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11</w:t>
      </w:r>
      <w:r>
        <w:t xml:space="preserve">  </w:t>
      </w:r>
      <w:r>
        <w:rPr>
          <w:rFonts w:hint="eastAsia"/>
        </w:rPr>
        <w:t>VANKE</w:t>
      </w:r>
      <w:r>
        <w:t>收益率的</w:t>
      </w:r>
      <w:r>
        <w:rPr>
          <w:rFonts w:hint="eastAsia"/>
        </w:rPr>
        <w:t>PACF</w:t>
      </w:r>
      <w:r>
        <w:rPr>
          <w:rFonts w:hint="eastAsia"/>
        </w:rPr>
        <w:t>图</w:t>
      </w:r>
    </w:p>
    <w:p w14:paraId="3FA78666" w14:textId="77777777" w:rsidR="00921F9A" w:rsidRDefault="00C4749C">
      <w:pPr>
        <w:jc w:val="center"/>
      </w:pPr>
      <w:r>
        <w:rPr>
          <w:rFonts w:hint="eastAsia"/>
          <w:noProof/>
        </w:rPr>
        <w:drawing>
          <wp:inline distT="0" distB="0" distL="0" distR="0" wp14:anchorId="359D1274" wp14:editId="65D9C048">
            <wp:extent cx="4751070" cy="2952115"/>
            <wp:effectExtent l="0" t="0" r="3810" b="4445"/>
            <wp:docPr id="1039" name="图片 12" descr="Rplot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C9B4" w14:textId="77777777" w:rsidR="00921F9A" w:rsidRDefault="00C474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12</w:t>
      </w:r>
      <w:r>
        <w:t xml:space="preserve">  </w:t>
      </w:r>
      <w:r>
        <w:rPr>
          <w:rFonts w:hint="eastAsia"/>
        </w:rPr>
        <w:t>VANKE</w:t>
      </w:r>
      <w:r>
        <w:t>收益率的</w:t>
      </w:r>
      <w:r>
        <w:rPr>
          <w:rFonts w:hint="eastAsia"/>
        </w:rPr>
        <w:t>AIC</w:t>
      </w:r>
      <w:r>
        <w:rPr>
          <w:rFonts w:hint="eastAsia"/>
        </w:rPr>
        <w:t>图</w:t>
      </w:r>
    </w:p>
    <w:p w14:paraId="42D5BF47" w14:textId="77777777" w:rsidR="00921F9A" w:rsidRDefault="00921F9A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0"/>
        <w:gridCol w:w="2072"/>
        <w:gridCol w:w="2082"/>
        <w:gridCol w:w="2082"/>
      </w:tblGrid>
      <w:tr w:rsidR="00921F9A" w14:paraId="0E356FC9" w14:textId="77777777">
        <w:tc>
          <w:tcPr>
            <w:tcW w:w="2130" w:type="dxa"/>
          </w:tcPr>
          <w:p w14:paraId="1D17EC2C" w14:textId="77777777" w:rsidR="00921F9A" w:rsidRDefault="00921F9A">
            <w:pPr>
              <w:jc w:val="center"/>
            </w:pPr>
          </w:p>
        </w:tc>
        <w:tc>
          <w:tcPr>
            <w:tcW w:w="2130" w:type="dxa"/>
          </w:tcPr>
          <w:p w14:paraId="39CC249C" w14:textId="77777777" w:rsidR="00921F9A" w:rsidRDefault="00C4749C">
            <w:pPr>
              <w:jc w:val="center"/>
            </w:pPr>
            <w:r>
              <w:rPr>
                <w:rFonts w:hint="eastAsia"/>
              </w:rPr>
              <w:t>AR</w:t>
            </w:r>
          </w:p>
        </w:tc>
        <w:tc>
          <w:tcPr>
            <w:tcW w:w="2131" w:type="dxa"/>
          </w:tcPr>
          <w:p w14:paraId="67A5393B" w14:textId="77777777" w:rsidR="00921F9A" w:rsidRDefault="00C4749C">
            <w:pPr>
              <w:jc w:val="center"/>
            </w:pPr>
            <w:r>
              <w:rPr>
                <w:rFonts w:hint="eastAsia"/>
              </w:rPr>
              <w:t>MA</w:t>
            </w:r>
          </w:p>
        </w:tc>
        <w:tc>
          <w:tcPr>
            <w:tcW w:w="2131" w:type="dxa"/>
          </w:tcPr>
          <w:p w14:paraId="48916DFD" w14:textId="77777777" w:rsidR="00921F9A" w:rsidRDefault="00C4749C">
            <w:pPr>
              <w:jc w:val="center"/>
            </w:pPr>
            <w:r>
              <w:rPr>
                <w:rFonts w:hint="eastAsia"/>
              </w:rPr>
              <w:t>ARMA</w:t>
            </w:r>
          </w:p>
        </w:tc>
      </w:tr>
      <w:tr w:rsidR="00921F9A" w14:paraId="54D634FD" w14:textId="77777777">
        <w:tc>
          <w:tcPr>
            <w:tcW w:w="2130" w:type="dxa"/>
          </w:tcPr>
          <w:p w14:paraId="330E2293" w14:textId="77777777" w:rsidR="00921F9A" w:rsidRDefault="00C4749C">
            <w:pPr>
              <w:jc w:val="center"/>
            </w:pPr>
            <w:r>
              <w:rPr>
                <w:rFonts w:hint="eastAsia"/>
              </w:rPr>
              <w:t>AIC</w:t>
            </w:r>
          </w:p>
        </w:tc>
        <w:tc>
          <w:tcPr>
            <w:tcW w:w="2130" w:type="dxa"/>
          </w:tcPr>
          <w:p w14:paraId="40512FDA" w14:textId="77777777" w:rsidR="00921F9A" w:rsidRDefault="00C4749C">
            <w:pPr>
              <w:jc w:val="center"/>
            </w:pPr>
            <w:r>
              <w:rPr>
                <w:rFonts w:hint="eastAsia"/>
              </w:rPr>
              <w:t>-3240.8</w:t>
            </w:r>
          </w:p>
        </w:tc>
        <w:tc>
          <w:tcPr>
            <w:tcW w:w="2131" w:type="dxa"/>
          </w:tcPr>
          <w:p w14:paraId="05A59EDB" w14:textId="77777777" w:rsidR="00921F9A" w:rsidRDefault="00C4749C">
            <w:pPr>
              <w:jc w:val="center"/>
            </w:pPr>
            <w:r>
              <w:rPr>
                <w:rFonts w:hint="eastAsia"/>
              </w:rPr>
              <w:t>-3234.848</w:t>
            </w:r>
          </w:p>
        </w:tc>
        <w:tc>
          <w:tcPr>
            <w:tcW w:w="2131" w:type="dxa"/>
          </w:tcPr>
          <w:p w14:paraId="3DCBF72C" w14:textId="77777777" w:rsidR="00921F9A" w:rsidRDefault="00C4749C">
            <w:pPr>
              <w:jc w:val="center"/>
            </w:pPr>
            <w:r>
              <w:rPr>
                <w:rFonts w:hint="eastAsia"/>
              </w:rPr>
              <w:t>-3245.683</w:t>
            </w:r>
          </w:p>
        </w:tc>
      </w:tr>
    </w:tbl>
    <w:p w14:paraId="38BBBE3A" w14:textId="77777777" w:rsidR="00921F9A" w:rsidRDefault="00921F9A">
      <w:pPr>
        <w:jc w:val="center"/>
      </w:pPr>
    </w:p>
    <w:p w14:paraId="157D9BA1" w14:textId="77777777" w:rsidR="00921F9A" w:rsidRDefault="00C4749C">
      <w:pPr>
        <w:rPr>
          <w:sz w:val="24"/>
        </w:rPr>
      </w:pPr>
      <w:r>
        <w:rPr>
          <w:rFonts w:hint="eastAsia"/>
          <w:sz w:val="24"/>
        </w:rPr>
        <w:t>综上表、图所述，通过</w:t>
      </w:r>
      <w:r>
        <w:rPr>
          <w:rFonts w:hint="eastAsia"/>
          <w:sz w:val="24"/>
        </w:rPr>
        <w:t>ACF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PACF</w:t>
      </w:r>
      <w:r>
        <w:rPr>
          <w:rFonts w:hint="eastAsia"/>
          <w:sz w:val="24"/>
        </w:rPr>
        <w:t>两图可以得出分别对</w:t>
      </w:r>
      <w:r>
        <w:rPr>
          <w:rFonts w:hint="eastAsia"/>
          <w:sz w:val="24"/>
        </w:rPr>
        <w:t>MA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定阶为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，同时对</w:t>
      </w:r>
      <w:r>
        <w:rPr>
          <w:rFonts w:hint="eastAsia"/>
          <w:sz w:val="24"/>
        </w:rPr>
        <w:t>AR,MA,ARMA</w:t>
      </w:r>
      <w:r>
        <w:rPr>
          <w:rFonts w:hint="eastAsia"/>
          <w:sz w:val="24"/>
        </w:rPr>
        <w:t>三个模型的</w:t>
      </w:r>
      <w:r>
        <w:rPr>
          <w:rFonts w:hint="eastAsia"/>
          <w:sz w:val="24"/>
        </w:rPr>
        <w:t>AIC</w:t>
      </w:r>
      <w:r>
        <w:rPr>
          <w:rFonts w:hint="eastAsia"/>
          <w:sz w:val="24"/>
        </w:rPr>
        <w:t>值比较得出，</w:t>
      </w:r>
      <w:r>
        <w:rPr>
          <w:rFonts w:hint="eastAsia"/>
          <w:sz w:val="24"/>
        </w:rPr>
        <w:t>ARMA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AIC</w:t>
      </w:r>
      <w:r>
        <w:rPr>
          <w:rFonts w:hint="eastAsia"/>
          <w:sz w:val="24"/>
        </w:rPr>
        <w:t>值最小，所以选取</w:t>
      </w:r>
      <w:r>
        <w:rPr>
          <w:rFonts w:hint="eastAsia"/>
          <w:sz w:val="24"/>
        </w:rPr>
        <w:t>ARMA(5,2)</w:t>
      </w:r>
      <w:r>
        <w:rPr>
          <w:rFonts w:hint="eastAsia"/>
          <w:sz w:val="24"/>
        </w:rPr>
        <w:t>模型。</w:t>
      </w:r>
    </w:p>
    <w:p w14:paraId="0EC819D3" w14:textId="77777777" w:rsidR="00921F9A" w:rsidRDefault="00921F9A">
      <w:pPr>
        <w:jc w:val="center"/>
        <w:rPr>
          <w:sz w:val="24"/>
        </w:rPr>
      </w:pPr>
    </w:p>
    <w:p w14:paraId="2D937F2E" w14:textId="77777777" w:rsidR="00921F9A" w:rsidRDefault="00C4749C">
      <w:pPr>
        <w:numPr>
          <w:ilvl w:val="0"/>
          <w:numId w:val="3"/>
        </w:numPr>
      </w:pPr>
      <w:r>
        <w:rPr>
          <w:rFonts w:hint="eastAsia"/>
        </w:rPr>
        <w:t>残差检验，通过画出残差的</w:t>
      </w:r>
      <w:r>
        <w:rPr>
          <w:rFonts w:hint="eastAsia"/>
        </w:rPr>
        <w:t>QQ</w:t>
      </w:r>
      <w:r>
        <w:rPr>
          <w:rFonts w:hint="eastAsia"/>
        </w:rPr>
        <w:t>图，即</w:t>
      </w:r>
      <w:r>
        <w:rPr>
          <w:rFonts w:hint="eastAsia"/>
        </w:rPr>
        <w:t>QQ</w:t>
      </w:r>
      <w:r>
        <w:rPr>
          <w:rFonts w:hint="eastAsia"/>
        </w:rPr>
        <w:t>图中残差基本完全落在</w:t>
      </w:r>
      <w:r>
        <w:rPr>
          <w:rFonts w:hint="eastAsia"/>
        </w:rPr>
        <w:t>45</w:t>
      </w:r>
      <w:r>
        <w:rPr>
          <w:rFonts w:hint="eastAsia"/>
        </w:rPr>
        <w:t>度线上即为符合正太性假设。同时利用</w:t>
      </w:r>
      <w:r>
        <w:rPr>
          <w:rFonts w:hint="eastAsia"/>
        </w:rPr>
        <w:t xml:space="preserve">Box Ljung </w:t>
      </w:r>
      <w:r>
        <w:rPr>
          <w:rFonts w:hint="eastAsia"/>
        </w:rPr>
        <w:t>对残差进行白噪声检验，判断残差是否为不相关序列。</w:t>
      </w:r>
    </w:p>
    <w:p w14:paraId="0E82E526" w14:textId="77777777" w:rsidR="00921F9A" w:rsidRDefault="00C4749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VANKE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ARMA</w:t>
      </w:r>
      <w:r>
        <w:rPr>
          <w:rFonts w:hint="eastAsia"/>
          <w:sz w:val="24"/>
        </w:rPr>
        <w:t>模型残差检验</w:t>
      </w:r>
    </w:p>
    <w:p w14:paraId="4E9DA9B0" w14:textId="77777777" w:rsidR="00921F9A" w:rsidRDefault="00921F9A">
      <w:pPr>
        <w:ind w:firstLineChars="200" w:firstLine="480"/>
        <w:jc w:val="center"/>
        <w:rPr>
          <w:sz w:val="24"/>
        </w:rPr>
      </w:pPr>
    </w:p>
    <w:p w14:paraId="11839856" w14:textId="77777777" w:rsidR="00921F9A" w:rsidRDefault="00C4749C">
      <w:pPr>
        <w:pStyle w:val="HTML"/>
        <w:widowControl/>
        <w:shd w:val="clear" w:color="auto" w:fill="0F0F0F"/>
        <w:wordWrap w:val="0"/>
        <w:spacing w:line="14" w:lineRule="atLeast"/>
        <w:rPr>
          <w:rFonts w:ascii="Lucida Console" w:eastAsia="Lucida Console" w:hAnsi="Lucida Console" w:cs="Lucida Console" w:hint="default"/>
          <w:color w:val="FFFFFF"/>
          <w:sz w:val="20"/>
          <w:szCs w:val="20"/>
          <w:shd w:val="clear" w:color="auto" w:fill="0F0F0F"/>
        </w:rPr>
      </w:pPr>
      <w:r>
        <w:rPr>
          <w:rFonts w:ascii="Lucida Console" w:eastAsia="Lucida Console" w:hAnsi="Lucida Console" w:cs="Lucida Console" w:hint="default"/>
          <w:color w:val="FFFFFF"/>
          <w:sz w:val="20"/>
          <w:szCs w:val="20"/>
          <w:shd w:val="clear" w:color="auto" w:fill="0F0F0F"/>
        </w:rPr>
        <w:t>Box-Ljung test</w:t>
      </w:r>
    </w:p>
    <w:p w14:paraId="0077D517" w14:textId="77777777" w:rsidR="00921F9A" w:rsidRDefault="00921F9A">
      <w:pPr>
        <w:pStyle w:val="HTML"/>
        <w:widowControl/>
        <w:shd w:val="clear" w:color="auto" w:fill="0F0F0F"/>
        <w:wordWrap w:val="0"/>
        <w:spacing w:line="14" w:lineRule="atLeast"/>
        <w:rPr>
          <w:rFonts w:ascii="Lucida Console" w:eastAsia="Lucida Console" w:hAnsi="Lucida Console" w:cs="Lucida Console" w:hint="default"/>
          <w:color w:val="FFFFFF"/>
          <w:sz w:val="20"/>
          <w:szCs w:val="20"/>
          <w:shd w:val="clear" w:color="auto" w:fill="0F0F0F"/>
        </w:rPr>
      </w:pPr>
    </w:p>
    <w:p w14:paraId="10368F87" w14:textId="77777777" w:rsidR="00921F9A" w:rsidRDefault="00C4749C">
      <w:pPr>
        <w:pStyle w:val="HTML"/>
        <w:widowControl/>
        <w:shd w:val="clear" w:color="auto" w:fill="0F0F0F"/>
        <w:wordWrap w:val="0"/>
        <w:spacing w:line="14" w:lineRule="atLeast"/>
        <w:rPr>
          <w:rFonts w:ascii="Lucida Console" w:eastAsia="Lucida Console" w:hAnsi="Lucida Console" w:cs="Lucida Console" w:hint="default"/>
          <w:color w:val="FFFFFF"/>
          <w:sz w:val="20"/>
          <w:szCs w:val="20"/>
          <w:shd w:val="clear" w:color="auto" w:fill="0F0F0F"/>
        </w:rPr>
      </w:pPr>
      <w:r>
        <w:rPr>
          <w:rFonts w:ascii="Lucida Console" w:eastAsia="Lucida Console" w:hAnsi="Lucida Console" w:cs="Lucida Console" w:hint="default"/>
          <w:color w:val="FFFFFF"/>
          <w:sz w:val="20"/>
          <w:szCs w:val="20"/>
          <w:shd w:val="clear" w:color="auto" w:fill="0F0F0F"/>
        </w:rPr>
        <w:t>data:  m2$residuals</w:t>
      </w:r>
    </w:p>
    <w:p w14:paraId="182CDC0E" w14:textId="77777777" w:rsidR="00921F9A" w:rsidRDefault="00C4749C">
      <w:pPr>
        <w:pStyle w:val="HTML"/>
        <w:widowControl/>
        <w:shd w:val="clear" w:color="auto" w:fill="0F0F0F"/>
        <w:wordWrap w:val="0"/>
        <w:spacing w:line="14" w:lineRule="atLeast"/>
        <w:rPr>
          <w:rFonts w:ascii="Lucida Console" w:eastAsia="Lucida Console" w:hAnsi="Lucida Console" w:cs="Lucida Console" w:hint="default"/>
          <w:color w:val="FFFFFF"/>
          <w:sz w:val="20"/>
          <w:szCs w:val="20"/>
          <w:shd w:val="clear" w:color="auto" w:fill="0F0F0F"/>
        </w:rPr>
      </w:pPr>
      <w:r>
        <w:rPr>
          <w:rFonts w:ascii="Lucida Console" w:eastAsia="Lucida Console" w:hAnsi="Lucida Console" w:cs="Lucida Console" w:hint="default"/>
          <w:color w:val="FFFFFF"/>
          <w:sz w:val="20"/>
          <w:szCs w:val="20"/>
          <w:shd w:val="clear" w:color="auto" w:fill="0F0F0F"/>
        </w:rPr>
        <w:t>X-squared = 3.9764, df = 12, p-value = 0.9839</w:t>
      </w:r>
    </w:p>
    <w:p w14:paraId="0C02B1EF" w14:textId="77777777" w:rsidR="00921F9A" w:rsidRDefault="00C4749C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DB289AF" wp14:editId="7558DE41">
            <wp:extent cx="4751070" cy="2952115"/>
            <wp:effectExtent l="0" t="0" r="3810" b="4445"/>
            <wp:docPr id="1040" name="图片 14" descr="Rplot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7510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D96E" w14:textId="77777777" w:rsidR="00921F9A" w:rsidRDefault="00C474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VANKE</w:t>
      </w:r>
      <w:r>
        <w:rPr>
          <w:rFonts w:hint="eastAsia"/>
        </w:rPr>
        <w:t>残差</w:t>
      </w:r>
      <w:r>
        <w:t>的</w:t>
      </w:r>
      <w:r>
        <w:rPr>
          <w:rFonts w:hint="eastAsia"/>
        </w:rPr>
        <w:t>ACF,PACF</w:t>
      </w:r>
      <w:r>
        <w:rPr>
          <w:rFonts w:hint="eastAsia"/>
        </w:rPr>
        <w:t>图</w:t>
      </w:r>
    </w:p>
    <w:p w14:paraId="2A522A9D" w14:textId="77777777" w:rsidR="00921F9A" w:rsidRDefault="00921F9A">
      <w:pPr>
        <w:rPr>
          <w:sz w:val="24"/>
        </w:rPr>
      </w:pPr>
    </w:p>
    <w:p w14:paraId="2D399C82" w14:textId="77777777" w:rsidR="00921F9A" w:rsidRDefault="00C4749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D53622A" wp14:editId="32E9DD85">
            <wp:extent cx="5271135" cy="3274695"/>
            <wp:effectExtent l="0" t="0" r="1905" b="1905"/>
            <wp:docPr id="1041" name="图片 19" descr="Rplot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27113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E80B" w14:textId="77777777" w:rsidR="00921F9A" w:rsidRDefault="00C4749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15</w:t>
      </w:r>
      <w:r>
        <w:t xml:space="preserve">  </w:t>
      </w:r>
      <w:r>
        <w:rPr>
          <w:rFonts w:hint="eastAsia"/>
        </w:rPr>
        <w:t>VANKE</w:t>
      </w:r>
      <w:r>
        <w:rPr>
          <w:rFonts w:hint="eastAsia"/>
        </w:rPr>
        <w:t>残差的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14:paraId="2D13A60B" w14:textId="77777777" w:rsidR="00921F9A" w:rsidRDefault="00C4749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从上述检验结果中可以看出，残差检验</w:t>
      </w:r>
      <w:r>
        <w:rPr>
          <w:rFonts w:hint="eastAsia"/>
          <w:sz w:val="24"/>
        </w:rPr>
        <w:t>P-value</w:t>
      </w:r>
      <w:r>
        <w:rPr>
          <w:rFonts w:hint="eastAsia"/>
          <w:sz w:val="24"/>
        </w:rPr>
        <w:t>值为</w:t>
      </w:r>
      <w:r>
        <w:rPr>
          <w:rFonts w:hint="eastAsia"/>
          <w:sz w:val="24"/>
        </w:rPr>
        <w:t>0.9835</w:t>
      </w:r>
      <w:r>
        <w:rPr>
          <w:rFonts w:hint="eastAsia"/>
          <w:sz w:val="24"/>
        </w:rPr>
        <w:t>，大于</w:t>
      </w:r>
      <w:r>
        <w:rPr>
          <w:rFonts w:hint="eastAsia"/>
          <w:sz w:val="24"/>
        </w:rPr>
        <w:t>0.05</w:t>
      </w:r>
      <w:r>
        <w:rPr>
          <w:rFonts w:hint="eastAsia"/>
          <w:sz w:val="24"/>
        </w:rPr>
        <w:t>，不拒绝原假设，满足残差没有自相关性。从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图看出残差近似正态，所以模型残差近似符合高斯白噪声。</w:t>
      </w:r>
    </w:p>
    <w:p w14:paraId="65D5C8BD" w14:textId="77777777" w:rsidR="00921F9A" w:rsidRDefault="00C4749C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总结与反思</w:t>
      </w:r>
    </w:p>
    <w:p w14:paraId="5582E535" w14:textId="77777777" w:rsidR="00921F9A" w:rsidRDefault="00C4749C">
      <w:pPr>
        <w:ind w:firstLineChars="200" w:firstLine="420"/>
      </w:pPr>
      <w:r>
        <w:rPr>
          <w:rFonts w:hint="eastAsia"/>
        </w:rPr>
        <w:lastRenderedPageBreak/>
        <w:t>医药行业在疫情期间实现了崛起，在巨大的防疫</w:t>
      </w:r>
      <w:r>
        <w:rPr>
          <w:rFonts w:hint="eastAsia"/>
        </w:rPr>
        <w:t>物资</w:t>
      </w:r>
      <w:r>
        <w:rPr>
          <w:rFonts w:hint="eastAsia"/>
        </w:rPr>
        <w:t>、新冠检测试剂以及疫苗的需求下，促医药行业在逆境中强势发展，在市场中实现了超额利润；而房地产</w:t>
      </w:r>
      <w:r>
        <w:rPr>
          <w:rFonts w:hint="eastAsia"/>
        </w:rPr>
        <w:t>行业却面临着资金短缺的危机，疫情带了短期的经济低迷</w:t>
      </w:r>
      <w:r>
        <w:rPr>
          <w:rFonts w:hint="eastAsia"/>
        </w:rPr>
        <w:t>；</w:t>
      </w:r>
      <w:r>
        <w:rPr>
          <w:rFonts w:hint="eastAsia"/>
        </w:rPr>
        <w:t>同时，在全球资本寻求新投资方向时，以新能源汽车为代表的特斯拉备受青睐，在疫情后股价连连高升。</w:t>
      </w:r>
    </w:p>
    <w:p w14:paraId="19A00756" w14:textId="77777777" w:rsidR="00921F9A" w:rsidRDefault="00C4749C">
      <w:pPr>
        <w:ind w:firstLineChars="200" w:firstLine="420"/>
        <w:sectPr w:rsidR="00921F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本次分析的结果在对房地产行业数据上选择了龙头股万科为代表，万科的收益率曲线看似波动较小，但是由于其资金的庞大以及企业的基础较好，有一定的应对风险的能力，所以，并不能较为明显地体现出疫情对房地产行业带来的整体影响。而医药股选择了中国医药，因为中国医药是第一批生产以及研发新冠检测试剂之一，同时也是首批通过了新冠疫苗的审核，较大程度上代表了</w:t>
      </w:r>
      <w:r>
        <w:rPr>
          <w:rFonts w:hint="eastAsia"/>
        </w:rPr>
        <w:t>当时医药行业的发展趋势。</w:t>
      </w:r>
      <w:r>
        <w:rPr>
          <w:rFonts w:hint="eastAsia"/>
        </w:rPr>
        <w:t>汽车股方面，选取新能源汽车代表特斯拉，疫情前后对比能明显的表现出，资本在疫情后对新科技产业发展前景的看好。</w:t>
      </w:r>
      <w:r>
        <w:rPr>
          <w:rFonts w:hint="eastAsia"/>
        </w:rPr>
        <w:t>万科收益率的平稳分布与中国医药</w:t>
      </w:r>
      <w:r>
        <w:rPr>
          <w:rFonts w:hint="eastAsia"/>
        </w:rPr>
        <w:t>、</w:t>
      </w:r>
      <w:r>
        <w:rPr>
          <w:rFonts w:hint="eastAsia"/>
        </w:rPr>
        <w:t>特斯拉</w:t>
      </w:r>
      <w:r>
        <w:rPr>
          <w:rFonts w:hint="eastAsia"/>
        </w:rPr>
        <w:t>的尖峰分布形成鲜明对比，进一步突出新冠疫情对医药行业的发展的促进作用</w:t>
      </w:r>
      <w:r>
        <w:rPr>
          <w:rFonts w:hint="eastAsia"/>
        </w:rPr>
        <w:t>，</w:t>
      </w:r>
      <w:r>
        <w:rPr>
          <w:rFonts w:hint="eastAsia"/>
        </w:rPr>
        <w:t>以及资本对特斯拉新能源汽车科技产业的推动作用。</w:t>
      </w:r>
    </w:p>
    <w:p w14:paraId="2B4622FE" w14:textId="77777777" w:rsidR="00921F9A" w:rsidRDefault="00C4749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附录</w:t>
      </w:r>
      <w:r>
        <w:rPr>
          <w:rFonts w:hint="eastAsia"/>
          <w:b/>
          <w:bCs/>
          <w:sz w:val="28"/>
          <w:szCs w:val="28"/>
        </w:rPr>
        <w:t>: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21F9A" w14:paraId="5F02E598" w14:textId="77777777">
        <w:trPr>
          <w:trHeight w:val="624"/>
        </w:trPr>
        <w:tc>
          <w:tcPr>
            <w:tcW w:w="714" w:type="pct"/>
            <w:vAlign w:val="center"/>
          </w:tcPr>
          <w:p w14:paraId="3CB93F51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公司名</w:t>
            </w:r>
          </w:p>
        </w:tc>
        <w:tc>
          <w:tcPr>
            <w:tcW w:w="714" w:type="pct"/>
          </w:tcPr>
          <w:p w14:paraId="29BEE67C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均值</w:t>
            </w:r>
          </w:p>
        </w:tc>
        <w:tc>
          <w:tcPr>
            <w:tcW w:w="714" w:type="pct"/>
          </w:tcPr>
          <w:p w14:paraId="1B9CF7A5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方差</w:t>
            </w:r>
          </w:p>
        </w:tc>
        <w:tc>
          <w:tcPr>
            <w:tcW w:w="714" w:type="pct"/>
          </w:tcPr>
          <w:p w14:paraId="6FD52B30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偏度</w:t>
            </w:r>
          </w:p>
        </w:tc>
        <w:tc>
          <w:tcPr>
            <w:tcW w:w="714" w:type="pct"/>
          </w:tcPr>
          <w:p w14:paraId="5FE6BDC2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峰度</w:t>
            </w:r>
          </w:p>
        </w:tc>
        <w:tc>
          <w:tcPr>
            <w:tcW w:w="714" w:type="pct"/>
          </w:tcPr>
          <w:p w14:paraId="320A95EB" w14:textId="77777777" w:rsidR="00921F9A" w:rsidRDefault="00C474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样本数</w:t>
            </w:r>
          </w:p>
        </w:tc>
        <w:tc>
          <w:tcPr>
            <w:tcW w:w="715" w:type="pct"/>
          </w:tcPr>
          <w:p w14:paraId="5B261510" w14:textId="77777777" w:rsidR="00921F9A" w:rsidRDefault="00C47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正态性检验（</w:t>
            </w: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 w:hint="eastAsia"/>
                <w:sz w:val="24"/>
              </w:rPr>
              <w:t>值）</w:t>
            </w:r>
          </w:p>
        </w:tc>
      </w:tr>
      <w:tr w:rsidR="00921F9A" w14:paraId="3769341C" w14:textId="77777777">
        <w:trPr>
          <w:trHeight w:val="624"/>
        </w:trPr>
        <w:tc>
          <w:tcPr>
            <w:tcW w:w="714" w:type="pct"/>
          </w:tcPr>
          <w:p w14:paraId="0D2EEFCF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中国医药</w:t>
            </w:r>
          </w:p>
        </w:tc>
        <w:tc>
          <w:tcPr>
            <w:tcW w:w="714" w:type="pct"/>
          </w:tcPr>
          <w:p w14:paraId="5CB287C7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0.001341</w:t>
            </w:r>
          </w:p>
        </w:tc>
        <w:tc>
          <w:tcPr>
            <w:tcW w:w="714" w:type="pct"/>
          </w:tcPr>
          <w:p w14:paraId="480FC43F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0.006806</w:t>
            </w:r>
          </w:p>
        </w:tc>
        <w:tc>
          <w:tcPr>
            <w:tcW w:w="714" w:type="pct"/>
          </w:tcPr>
          <w:p w14:paraId="1FE86E65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3.676956</w:t>
            </w:r>
          </w:p>
        </w:tc>
        <w:tc>
          <w:tcPr>
            <w:tcW w:w="714" w:type="pct"/>
          </w:tcPr>
          <w:p w14:paraId="32DFD370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32.167012</w:t>
            </w:r>
          </w:p>
        </w:tc>
        <w:tc>
          <w:tcPr>
            <w:tcW w:w="714" w:type="pct"/>
          </w:tcPr>
          <w:p w14:paraId="4FBF32BF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710</w:t>
            </w:r>
          </w:p>
        </w:tc>
        <w:tc>
          <w:tcPr>
            <w:tcW w:w="715" w:type="pct"/>
          </w:tcPr>
          <w:p w14:paraId="750AB907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2.2e-16</w:t>
            </w:r>
          </w:p>
        </w:tc>
      </w:tr>
      <w:tr w:rsidR="00921F9A" w14:paraId="1634E2EF" w14:textId="77777777">
        <w:trPr>
          <w:trHeight w:val="624"/>
        </w:trPr>
        <w:tc>
          <w:tcPr>
            <w:tcW w:w="714" w:type="pct"/>
          </w:tcPr>
          <w:p w14:paraId="5A00E5AB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万科</w:t>
            </w:r>
          </w:p>
        </w:tc>
        <w:tc>
          <w:tcPr>
            <w:tcW w:w="714" w:type="pct"/>
          </w:tcPr>
          <w:p w14:paraId="6F77C69B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-0.000055</w:t>
            </w:r>
          </w:p>
        </w:tc>
        <w:tc>
          <w:tcPr>
            <w:tcW w:w="714" w:type="pct"/>
          </w:tcPr>
          <w:p w14:paraId="610B2151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0.000494</w:t>
            </w:r>
          </w:p>
        </w:tc>
        <w:tc>
          <w:tcPr>
            <w:tcW w:w="714" w:type="pct"/>
          </w:tcPr>
          <w:p w14:paraId="030A07C2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0.049504</w:t>
            </w:r>
          </w:p>
        </w:tc>
        <w:tc>
          <w:tcPr>
            <w:tcW w:w="714" w:type="pct"/>
          </w:tcPr>
          <w:p w14:paraId="32D83D19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2.033310</w:t>
            </w:r>
          </w:p>
        </w:tc>
        <w:tc>
          <w:tcPr>
            <w:tcW w:w="714" w:type="pct"/>
          </w:tcPr>
          <w:p w14:paraId="2CACB496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680</w:t>
            </w:r>
          </w:p>
        </w:tc>
        <w:tc>
          <w:tcPr>
            <w:tcW w:w="715" w:type="pct"/>
          </w:tcPr>
          <w:p w14:paraId="7898BA6D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2.2e-16</w:t>
            </w:r>
          </w:p>
        </w:tc>
      </w:tr>
      <w:tr w:rsidR="00921F9A" w14:paraId="46F9EF61" w14:textId="77777777">
        <w:trPr>
          <w:trHeight w:val="624"/>
        </w:trPr>
        <w:tc>
          <w:tcPr>
            <w:tcW w:w="714" w:type="pct"/>
          </w:tcPr>
          <w:p w14:paraId="05F29DB4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特斯拉</w:t>
            </w:r>
          </w:p>
        </w:tc>
        <w:tc>
          <w:tcPr>
            <w:tcW w:w="714" w:type="pct"/>
          </w:tcPr>
          <w:p w14:paraId="4798C2AE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</w:t>
            </w:r>
            <w:r>
              <w:rPr>
                <w:rFonts w:ascii="宋体" w:hAnsi="宋体" w:hint="eastAsia"/>
                <w:sz w:val="24"/>
              </w:rPr>
              <w:t>1753</w:t>
            </w:r>
          </w:p>
        </w:tc>
        <w:tc>
          <w:tcPr>
            <w:tcW w:w="714" w:type="pct"/>
          </w:tcPr>
          <w:p w14:paraId="4A716135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0.001</w:t>
            </w:r>
            <w:r>
              <w:rPr>
                <w:rFonts w:ascii="宋体" w:hAnsi="宋体" w:hint="eastAsia"/>
                <w:sz w:val="24"/>
              </w:rPr>
              <w:t>198</w:t>
            </w:r>
          </w:p>
        </w:tc>
        <w:tc>
          <w:tcPr>
            <w:tcW w:w="714" w:type="pct"/>
          </w:tcPr>
          <w:p w14:paraId="7AAAF97B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0.004700</w:t>
            </w:r>
          </w:p>
        </w:tc>
        <w:tc>
          <w:tcPr>
            <w:tcW w:w="714" w:type="pct"/>
          </w:tcPr>
          <w:p w14:paraId="0C31CB9D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6.328925</w:t>
            </w:r>
          </w:p>
        </w:tc>
        <w:tc>
          <w:tcPr>
            <w:tcW w:w="714" w:type="pct"/>
          </w:tcPr>
          <w:p w14:paraId="6D5CF71C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2472</w:t>
            </w:r>
          </w:p>
        </w:tc>
        <w:tc>
          <w:tcPr>
            <w:tcW w:w="715" w:type="pct"/>
          </w:tcPr>
          <w:p w14:paraId="2280EC67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2.2e-16</w:t>
            </w:r>
          </w:p>
        </w:tc>
      </w:tr>
      <w:tr w:rsidR="00921F9A" w14:paraId="5619E8DF" w14:textId="77777777">
        <w:trPr>
          <w:trHeight w:val="624"/>
        </w:trPr>
        <w:tc>
          <w:tcPr>
            <w:tcW w:w="714" w:type="pct"/>
          </w:tcPr>
          <w:p w14:paraId="7D612C68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纳斯达克指数</w:t>
            </w:r>
          </w:p>
        </w:tc>
        <w:tc>
          <w:tcPr>
            <w:tcW w:w="714" w:type="pct"/>
          </w:tcPr>
          <w:p w14:paraId="13F19FA0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0.000570</w:t>
            </w:r>
          </w:p>
        </w:tc>
        <w:tc>
          <w:tcPr>
            <w:tcW w:w="714" w:type="pct"/>
          </w:tcPr>
          <w:p w14:paraId="37856AC2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0.000152</w:t>
            </w:r>
          </w:p>
        </w:tc>
        <w:tc>
          <w:tcPr>
            <w:tcW w:w="714" w:type="pct"/>
          </w:tcPr>
          <w:p w14:paraId="145D5FB5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-0.849644</w:t>
            </w:r>
          </w:p>
        </w:tc>
        <w:tc>
          <w:tcPr>
            <w:tcW w:w="714" w:type="pct"/>
          </w:tcPr>
          <w:p w14:paraId="5D2D6451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11.919909</w:t>
            </w:r>
          </w:p>
        </w:tc>
        <w:tc>
          <w:tcPr>
            <w:tcW w:w="714" w:type="pct"/>
          </w:tcPr>
          <w:p w14:paraId="316E4ECB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2472</w:t>
            </w:r>
          </w:p>
        </w:tc>
        <w:tc>
          <w:tcPr>
            <w:tcW w:w="715" w:type="pct"/>
          </w:tcPr>
          <w:p w14:paraId="6FD193A4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2.2e-16</w:t>
            </w:r>
          </w:p>
        </w:tc>
      </w:tr>
      <w:tr w:rsidR="00921F9A" w14:paraId="28C7B29A" w14:textId="77777777">
        <w:trPr>
          <w:trHeight w:val="624"/>
        </w:trPr>
        <w:tc>
          <w:tcPr>
            <w:tcW w:w="714" w:type="pct"/>
          </w:tcPr>
          <w:p w14:paraId="3B079B3D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阿里巴巴</w:t>
            </w:r>
          </w:p>
        </w:tc>
        <w:tc>
          <w:tcPr>
            <w:tcW w:w="714" w:type="pct"/>
          </w:tcPr>
          <w:p w14:paraId="2DDB400A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0.000764</w:t>
            </w:r>
          </w:p>
        </w:tc>
        <w:tc>
          <w:tcPr>
            <w:tcW w:w="714" w:type="pct"/>
          </w:tcPr>
          <w:p w14:paraId="4F34810B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0.000424</w:t>
            </w:r>
          </w:p>
        </w:tc>
        <w:tc>
          <w:tcPr>
            <w:tcW w:w="714" w:type="pct"/>
          </w:tcPr>
          <w:p w14:paraId="2C4772CA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0.065436</w:t>
            </w:r>
          </w:p>
        </w:tc>
        <w:tc>
          <w:tcPr>
            <w:tcW w:w="714" w:type="pct"/>
          </w:tcPr>
          <w:p w14:paraId="4C0B8985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1.999506</w:t>
            </w:r>
          </w:p>
        </w:tc>
        <w:tc>
          <w:tcPr>
            <w:tcW w:w="714" w:type="pct"/>
          </w:tcPr>
          <w:p w14:paraId="71A7A0DC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1541</w:t>
            </w:r>
          </w:p>
        </w:tc>
        <w:tc>
          <w:tcPr>
            <w:tcW w:w="715" w:type="pct"/>
          </w:tcPr>
          <w:p w14:paraId="46D30731" w14:textId="77777777" w:rsidR="00921F9A" w:rsidRDefault="00C47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2.2e-16</w:t>
            </w:r>
          </w:p>
        </w:tc>
      </w:tr>
    </w:tbl>
    <w:p w14:paraId="101B8295" w14:textId="77777777" w:rsidR="00921F9A" w:rsidRDefault="00921F9A">
      <w:pPr>
        <w:rPr>
          <w:b/>
          <w:bCs/>
          <w:sz w:val="28"/>
          <w:szCs w:val="28"/>
        </w:rPr>
      </w:pPr>
    </w:p>
    <w:p w14:paraId="0A6D504B" w14:textId="77777777" w:rsidR="00921F9A" w:rsidRDefault="00921F9A">
      <w:pPr>
        <w:rPr>
          <w:b/>
          <w:bCs/>
          <w:sz w:val="28"/>
          <w:szCs w:val="28"/>
        </w:rPr>
      </w:pPr>
    </w:p>
    <w:sectPr w:rsidR="00921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singleLevel"/>
    <w:tmpl w:val="C03BD904"/>
    <w:lvl w:ilvl="0">
      <w:start w:val="3"/>
      <w:numFmt w:val="chineseCounting"/>
      <w:suff w:val="nothing"/>
      <w:lvlText w:val="（%1）"/>
      <w:lvlJc w:val="left"/>
      <w:pPr>
        <w:ind w:left="280" w:firstLine="0"/>
      </w:pPr>
      <w:rPr>
        <w:rFonts w:hint="eastAsia"/>
      </w:rPr>
    </w:lvl>
  </w:abstractNum>
  <w:abstractNum w:abstractNumId="1" w15:restartNumberingAfterBreak="0">
    <w:nsid w:val="00000001"/>
    <w:multiLevelType w:val="singleLevel"/>
    <w:tmpl w:val="02B3D57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000002"/>
    <w:multiLevelType w:val="singleLevel"/>
    <w:tmpl w:val="44F466D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9A"/>
    <w:rsid w:val="00921F9A"/>
    <w:rsid w:val="00C4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6DBFB"/>
  <w15:docId w15:val="{06A0A9E3-C55C-4732-9B11-956BAA39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晨豪 倪</cp:lastModifiedBy>
  <cp:revision>2</cp:revision>
  <dcterms:created xsi:type="dcterms:W3CDTF">2020-11-23T10:43:00Z</dcterms:created>
  <dcterms:modified xsi:type="dcterms:W3CDTF">2020-11-23T10:43:00Z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