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625D3" w14:textId="77777777" w:rsidR="00EE60D6" w:rsidRDefault="00EE60D6" w:rsidP="00EE60D6">
      <w:pPr>
        <w:pStyle w:val="1"/>
      </w:pPr>
      <w:r>
        <w:rPr>
          <w:rFonts w:hint="eastAsia"/>
        </w:rPr>
        <w:t>Branding</w:t>
      </w:r>
      <w:r w:rsidRPr="000B4A39">
        <w:t xml:space="preserve"> at the Water</w:t>
      </w:r>
      <w:r>
        <w:t>’</w:t>
      </w:r>
      <w:r w:rsidRPr="000B4A39">
        <w:t xml:space="preserve">s Edge: </w:t>
      </w:r>
      <w:r>
        <w:rPr>
          <w:rFonts w:hint="eastAsia"/>
        </w:rPr>
        <w:t>Perceived Elite</w:t>
      </w:r>
      <w:r w:rsidRPr="000B4A39">
        <w:t xml:space="preserve"> Polarization of Ukraine Aid, 2022–2024</w:t>
      </w:r>
    </w:p>
    <w:p w14:paraId="478606F0" w14:textId="77777777" w:rsidR="00EE60D6" w:rsidRDefault="00EE60D6" w:rsidP="00EE60D6">
      <w:pPr>
        <w:pStyle w:val="3"/>
      </w:pPr>
      <w:r>
        <w:rPr>
          <w:rFonts w:hint="eastAsia"/>
        </w:rPr>
        <w:t>Haoran Shi, Wanting Wang, Dario Krpan</w:t>
      </w:r>
    </w:p>
    <w:p w14:paraId="7BC5059E" w14:textId="77777777" w:rsidR="00EE60D6" w:rsidRPr="00F128E1" w:rsidRDefault="00EE60D6" w:rsidP="00EE60D6"/>
    <w:p w14:paraId="507575D5" w14:textId="77777777" w:rsidR="00EE60D6" w:rsidRPr="00A0426B" w:rsidRDefault="00EE60D6" w:rsidP="00EE60D6"/>
    <w:p w14:paraId="45365AC0" w14:textId="77777777" w:rsidR="00EE60D6" w:rsidRPr="00441983" w:rsidRDefault="00EE60D6" w:rsidP="00EE60D6">
      <w:pPr>
        <w:pStyle w:val="3"/>
      </w:pPr>
      <w:r w:rsidRPr="00711F2D">
        <w:t>Keywords</w:t>
      </w:r>
    </w:p>
    <w:p w14:paraId="51444094" w14:textId="77777777" w:rsidR="00EE60D6" w:rsidRPr="00711F2D" w:rsidRDefault="00EE60D6" w:rsidP="00EE60D6">
      <w:r>
        <w:rPr>
          <w:rFonts w:hint="eastAsia"/>
        </w:rPr>
        <w:t>P</w:t>
      </w:r>
      <w:r w:rsidRPr="00711F2D">
        <w:t xml:space="preserve">arty brand theory; foreign policy polarization; Ukraine aid; computational text analysis; </w:t>
      </w:r>
      <w:r>
        <w:rPr>
          <w:rFonts w:hint="eastAsia"/>
        </w:rPr>
        <w:t xml:space="preserve">perceived </w:t>
      </w:r>
      <w:r w:rsidRPr="00711F2D">
        <w:t>elite discourse; LLM ideology scoring; masked language modeling</w:t>
      </w:r>
    </w:p>
    <w:p w14:paraId="426E5CE2" w14:textId="77777777" w:rsidR="00EE60D6" w:rsidRDefault="00EE60D6" w:rsidP="00EE60D6">
      <w:r>
        <w:br w:type="page"/>
      </w:r>
    </w:p>
    <w:p w14:paraId="1EEE3241" w14:textId="77777777" w:rsidR="00EE60D6" w:rsidRPr="00AB7A08" w:rsidRDefault="00EE60D6" w:rsidP="00EE60D6">
      <w:pPr>
        <w:pStyle w:val="1"/>
      </w:pPr>
      <w:r w:rsidRPr="00AB7A08">
        <w:lastRenderedPageBreak/>
        <w:t>Introduction</w:t>
      </w:r>
    </w:p>
    <w:p w14:paraId="330AAD86" w14:textId="77777777" w:rsidR="00EE60D6" w:rsidRDefault="00EE60D6" w:rsidP="00EE60D6">
      <w:bookmarkStart w:id="0" w:name="OLE_LINK6"/>
      <w:bookmarkStart w:id="1" w:name="OLE_LINK8"/>
      <w:r>
        <w:t xml:space="preserve">The Russian invasion of Ukraine on 24 February 2022 initially generated strong bipartisan support in the United States. The Senate approved a $40 billion aid package by 86 votes to 11 in May 2022, </w:t>
      </w:r>
      <w:r>
        <w:rPr>
          <w:rFonts w:hint="eastAsia"/>
        </w:rPr>
        <w:t xml:space="preserve">reflecting </w:t>
      </w:r>
      <w:r>
        <w:t>broad agreement about supporting a democratic ally under attack</w:t>
      </w:r>
      <w:r>
        <w:rPr>
          <w:rFonts w:hint="eastAsia"/>
        </w:rPr>
        <w:t xml:space="preserve"> </w:t>
      </w:r>
      <w:r>
        <w:fldChar w:fldCharType="begin"/>
      </w:r>
      <w:r>
        <w:instrText xml:space="preserve"> ADDIN ZOTERO_ITEM CSL_CITATION {"citationID":"jm3MI0uy","properties":{"unsorted":false,"formattedCitation":"(Fram, 2022)","plainCitation":"(Fram, 2022)","noteIndex":0},"citationItems":[{"id":8500,"uris":["http://zotero.org/users/6825464/items/KBFPJTLR"],"itemData":{"id":8500,"type":"article-newspaper","abstract":"The Senate has whisked a $40 billion package of military, economic and food aid for Ukraine and U.S. allies to final congressional approval.","citation-key":"framWATCHSenateSends2022","container-title":"PBS News","language":"en-us","section":"Politics","title":"WATCH: Senate sends $40 billion Ukraine aid bill to Biden for signature","title-short":"WATCH","URL":"https://www.pbs.org/newshour/politics/watch-live-senate-convenes-votes-on-40b-ukraine-relief-package","author":[{"family":"Fram","given":"Alan"}],"accessed":{"date-parts":[["2026",1,8]]},"issued":{"date-parts":[["2022",5,19]]}}}],"schema":"https://github.com/citation-style-language/schema/raw/master/csl-citation.json"} </w:instrText>
      </w:r>
      <w:r>
        <w:fldChar w:fldCharType="separate"/>
      </w:r>
      <w:r>
        <w:rPr>
          <w:noProof/>
        </w:rPr>
        <w:t>(Fram, 2022)</w:t>
      </w:r>
      <w:r>
        <w:fldChar w:fldCharType="end"/>
      </w:r>
      <w:r>
        <w:t xml:space="preserve">. By late 2023 that agreement had dissolved. Ukraine aid featured prominently in Republican primary debates, and a </w:t>
      </w:r>
      <w:r>
        <w:rPr>
          <w:rFonts w:hint="eastAsia"/>
        </w:rPr>
        <w:t>government shutdown was avoided</w:t>
      </w:r>
      <w:r>
        <w:t xml:space="preserve"> only after $6 billion in assistance was stripped from it, days before the Speaker of the House was removed from office</w:t>
      </w:r>
      <w:r>
        <w:rPr>
          <w:rFonts w:hint="eastAsia"/>
        </w:rPr>
        <w:t xml:space="preserve"> </w:t>
      </w:r>
      <w:r>
        <w:fldChar w:fldCharType="begin"/>
      </w:r>
      <w:r>
        <w:instrText xml:space="preserve"> ADDIN ZOTERO_ITEM CSL_CITATION {"citationID":"IHlK7Um3","properties":{"unsorted":false,"formattedCitation":"(Wang, 2023)","plainCitation":"(Wang, 2023)","noteIndex":0},"citationItems":[{"id":8376,"uris":["http://zotero.org/users/6825464/items/46VHCRPU"],"itemData":{"id":8376,"type":"article-newspaper","abstract":"Republican presidential candidates sparred Wednesday over whether to continue supporting Ukraine’s efforts to defend itself again an ongoing Russian invasion.","citation-key":"wangCandidatesDifferencesUkraine2023","container-title":"The Washington Post","ISSN":"0190-8286","language":"en-US","source":"www.washingtonpost.com","title":"Candidates’ differences on Ukraine reflect stark divide within GOP","URL":"https://www.washingtonpost.com/politics/2023/09/27/republican-debate-ukraine/","author":[{"family":"Wang","given":"Amy B."}],"accessed":{"date-parts":[["2026",1,8]]},"issued":{"date-parts":[["2023",9,28]]}}}],"schema":"https://github.com/citation-style-language/schema/raw/master/csl-citation.json"} </w:instrText>
      </w:r>
      <w:r>
        <w:fldChar w:fldCharType="separate"/>
      </w:r>
      <w:r>
        <w:rPr>
          <w:noProof/>
        </w:rPr>
        <w:t>(Wang, 2023)</w:t>
      </w:r>
      <w:r>
        <w:fldChar w:fldCharType="end"/>
      </w:r>
      <w:r>
        <w:t xml:space="preserve">. An issue that arrived without an established partisan </w:t>
      </w:r>
      <w:r>
        <w:rPr>
          <w:rFonts w:hint="eastAsia"/>
        </w:rPr>
        <w:t>polarization</w:t>
      </w:r>
      <w:r>
        <w:t xml:space="preserve"> acquired one within eighteen months.</w:t>
      </w:r>
    </w:p>
    <w:p w14:paraId="3BAFB337" w14:textId="77777777" w:rsidR="00EE60D6" w:rsidRDefault="00EE60D6" w:rsidP="00EE60D6">
      <w:pPr>
        <w:rPr>
          <w:rFonts w:eastAsia="宋体"/>
        </w:rPr>
      </w:pPr>
    </w:p>
    <w:p w14:paraId="5E7B0E09" w14:textId="77777777" w:rsidR="00EE60D6" w:rsidRDefault="00EE60D6" w:rsidP="00EE60D6">
      <w:r>
        <w:t>Party brand theory offers an account of why this might happen. Parties are understood to function as brands that signal positions to voters, and voters form stronger attachments to parties whose brands are distinguishable from one another</w:t>
      </w:r>
      <w:r>
        <w:rPr>
          <w:rFonts w:hint="eastAsia"/>
        </w:rPr>
        <w:t xml:space="preserve"> </w:t>
      </w:r>
      <w:r>
        <w:fldChar w:fldCharType="begin"/>
      </w:r>
      <w:r>
        <w:instrText xml:space="preserve"> ADDIN ZOTERO_ITEM CSL_CITATION {"citationID":"JR9lZtXU","properties":{"unsorted":false,"formattedCitation":"(Lupu, 2013, 2016)","plainCitation":"(Lupu, 2013, 2016)","noteIndex":0},"citationItems":[{"id":1081,"uris":["http://zotero.org/users/6825464/items/A2SMTCYJ"],"itemData":{"id":1081,"type":"article-journal","abstract":"Scholars disagree about the nature of party attachments, viewing partisanship as either a social identity or a rational maximization of expected utility. Empirically, much of this debate centers on the degree of partisan stability: findings of partisan fluctuations are taken as evidence against the social-identity perspective. But drawing such conclusions assumes that the objects of identity—parties—are fixed. If we instead allow party brands to change over time, then partisan instability is consistent with a social-identity conception of partisanship. To demonstrate this, I develop a branding model of partisanship in which voters learn about party brands by observing party behavior over time and base their psychological attachment to a party on these brands. The model suggests that convergence by rival parties, making their brands less distinguishable, should weaken party attachments. I test this implication using a survey experiment in Argentina and find evidence consistent with the model.","citation-key":"lupuPartyBrandsPartisanship2013","container-title":"American Journal of Political Science","DOI":"10.1111/j.1540-5907.2012.00615.x","ISSN":"1540-5907","issue":"1","language":"en","license":"©2012, Midwest Political Science Association","page":"49-64","source":"Wiley Online Library","title":"Party Brands and Partisanship: Theory with Evidence from a Survey Experiment in Argentina","title-short":"Party Brands and Partisanship","volume":"57","author":[{"family":"Lupu","given":"Noam"}],"issued":{"date-parts":[["2013"]]}}},{"id":66,"uris":["http://zotero.org/users/6825464/items/GIB5C4BV"],"itemData":{"id":66,"type":"book","citation-key":"lupuPartyBrandsCrisis2016","publisher":"Cambridge University Press","source":"Google Scholar","title":"Party brands in crisis: Partisanship, brand dilution, and the breakdown of political parties in Latin America","title-short":"Party brands in crisis","URL":"https://books.google.com/books?hl=en&amp;lr=&amp;id=HSR0CwAAQBAJ&amp;oi=fnd&amp;pg=PR9&amp;dq=Party+Brands+in+Crisis:+Partisanship,+Brand+Dilution,+and+the+Breakdown+of+Political+Parties+in+Latin+America&amp;ots=xbtfnBTCje&amp;sig=6vccK-fVzeJkYmK7cIfHv4YaUiI","author":[{"family":"Lupu","given":"Noam"}],"accessed":{"date-parts":[["2025",3,14]]},"issued":{"date-parts":[["2016"]]}}}],"schema":"https://github.com/citation-style-language/schema/raw/master/csl-citation.json"} </w:instrText>
      </w:r>
      <w:r>
        <w:fldChar w:fldCharType="separate"/>
      </w:r>
      <w:r>
        <w:rPr>
          <w:noProof/>
        </w:rPr>
        <w:t>(Lupu, 2013, 2016)</w:t>
      </w:r>
      <w:r>
        <w:fldChar w:fldCharType="end"/>
      </w:r>
      <w:r>
        <w:rPr>
          <w:rFonts w:hint="eastAsia"/>
        </w:rPr>
        <w:t xml:space="preserve">. </w:t>
      </w:r>
      <w:r>
        <w:t>Maintaining a brand requires two things at once: parties must occupy distinct positions, and each must</w:t>
      </w:r>
      <w:r>
        <w:rPr>
          <w:rFonts w:hint="eastAsia"/>
        </w:rPr>
        <w:t xml:space="preserve"> maintain internal consistency in positions</w:t>
      </w:r>
      <w:r>
        <w:t xml:space="preserve">. An issue without a settled partisan meaning therefore presents an opportunity, particularly for the party that does not already own it. The transformation of Ukraine aid from consensus to contestation is a naturally occurring case in which both conditions can be observed forming rather than inferred from an established </w:t>
      </w:r>
      <w:r>
        <w:rPr>
          <w:rFonts w:hint="eastAsia"/>
        </w:rPr>
        <w:t>polarization</w:t>
      </w:r>
      <w:r>
        <w:t>.</w:t>
      </w:r>
    </w:p>
    <w:p w14:paraId="31D64CEE" w14:textId="77777777" w:rsidR="00EE60D6" w:rsidRDefault="00EE60D6" w:rsidP="00EE60D6"/>
    <w:p w14:paraId="05522241" w14:textId="77777777" w:rsidR="00EE60D6" w:rsidRDefault="00EE60D6" w:rsidP="00EE60D6">
      <w:r>
        <w:t xml:space="preserve">Observing them requires measuring how parties were represented rather than what they said. Brands are shaped by indirect communication as much as by direct communication, since most voters encounter party positions through journalists who select which statements to report and how to frame the conflict between them </w:t>
      </w:r>
      <w:r>
        <w:fldChar w:fldCharType="begin"/>
      </w:r>
      <w:r>
        <w:instrText xml:space="preserve"> ADDIN ZOTERO_ITEM CSL_CITATION {"citationID":"2ystW95K","properties":{"unsorted":false,"formattedCitation":"(Karlberg, 2002; Levendusky &amp; Malhotra, 2016)","plainCitation":"(Karlberg, 2002; Levendusky &amp; Malhotra, 2016)","noteIndex":0},"citationItems":[{"id":8412,"uris":["http://zotero.org/users/6825464/items/N8QCNFD5"],"itemData":{"id":8412,"type":"article-journal","citation-key":"karlbergPartisanBrandingMedia2002","container-title":"Democratic Communique","page":"1–18","source":"Google Scholar","title":"Partisan branding and media spectacle: Implications for democratic communication","title-short":"Partisan branding and media spectacle","volume":"18","author":[{"family":"Karlberg","given":"Michael"}],"issued":{"date-parts":[["2002"]]}}},{"id":9642,"uris":["http://zotero.org/users/6825464/items/UM8VHH6Z"],"itemData":{"id":9642,"type":"article-journal","abstract":"The past decade has witnessed an explosion of interest in the partisan polarization of the American electorate. Scholarly investigation of this topic has coincided with the media’s portrayal of a polity deeply divided along partisan lines. Yet little research so far has considered the consequences of the media’s coverage of political polarization. We show that media coverage of polarization increases citizens’ beliefs that the electorate is polarized. Furthermore, the media’s depiction of a polarized electorate causes voters to moderate their own issue positions but increases their dislike of the opposing party. These empirical patterns are consistent with our theoretical argument that polarized exemplars in journalistic coverage serve as anti-cues to media consumers. Our findings have important implications for understanding current and future trends in political polarization.","container-title":"Political Communication","DOI":"10.1080/10584609.2015.1038455","ISSN":"1058-4609","issue":"2","page":"283-301","publisher":"Routledge","source":"Taylor and Francis+NEJM","title":"Does Media Coverage of Partisan Polarization Affect Political Attitudes?","volume":"33","author":[{"family":"Levendusky","given":"Matthew"},{"family":"Malhotra","given":"Neil"}],"issued":{"date-parts":[["2016",4,2]]}}}],"schema":"https://github.com/citation-style-language/schema/raw/master/csl-citation.json"} </w:instrText>
      </w:r>
      <w:r>
        <w:fldChar w:fldCharType="separate"/>
      </w:r>
      <w:r>
        <w:rPr>
          <w:noProof/>
        </w:rPr>
        <w:t>(Karlberg, 2002; Levendusky &amp; Malhotra, 2016)</w:t>
      </w:r>
      <w:r>
        <w:fldChar w:fldCharType="end"/>
      </w:r>
      <w:r>
        <w:t>. Existing work on party brands has drawn largely on roll-call votes and floor speech, which capture official positions but not how those positions reached publics. We therefore take news coverage as the primary source of measurement.</w:t>
      </w:r>
    </w:p>
    <w:p w14:paraId="3AF8B848" w14:textId="77777777" w:rsidR="00EE60D6" w:rsidRDefault="00EE60D6" w:rsidP="00EE60D6"/>
    <w:p w14:paraId="72C2837C" w14:textId="77777777" w:rsidR="00EE60D6" w:rsidRDefault="00EE60D6" w:rsidP="00EE60D6">
      <w:r>
        <w:t>We retrieved United States news articles published between March 2022 and December 2024, extracted sentences that discuss Ukraine aid and are attributable to one party, and annotated each on four ideological dimensions using a large language model. Party and politician references are masked before annotation, so that positions are recovered from what a sentence conveys rather than from prior association with a party. We then aggregated sentence-level annotations to articles and articles to months, producing continuous series of between-party polarization and within-party message coherence across 34 months.</w:t>
      </w:r>
    </w:p>
    <w:p w14:paraId="2B3B2A61" w14:textId="77777777" w:rsidR="00EE60D6" w:rsidRDefault="00EE60D6" w:rsidP="00EE60D6"/>
    <w:p w14:paraId="17D58828" w14:textId="77777777" w:rsidR="00EE60D6" w:rsidRDefault="00EE60D6" w:rsidP="00EE60D6">
      <w:pPr>
        <w:rPr>
          <w:color w:val="000000" w:themeColor="text1"/>
        </w:rPr>
      </w:pPr>
      <w:r w:rsidRPr="001B228E">
        <w:rPr>
          <w:color w:val="000000" w:themeColor="text1"/>
        </w:rPr>
        <w:t xml:space="preserve">We organize the investigation around four questions. How did polarization on general Ukraine aid stance develop across the period, and did it accumulate gradually or shift in stages? Which party contributed more to the widening </w:t>
      </w:r>
      <w:r>
        <w:rPr>
          <w:rFonts w:hint="eastAsia"/>
          <w:color w:val="000000" w:themeColor="text1"/>
        </w:rPr>
        <w:t>polarization</w:t>
      </w:r>
      <w:r w:rsidRPr="001B228E">
        <w:rPr>
          <w:color w:val="000000" w:themeColor="text1"/>
        </w:rPr>
        <w:t>, and which of three explanatory dimensions moved most closely with it? How is polarization related to each party</w:t>
      </w:r>
      <w:r>
        <w:rPr>
          <w:color w:val="000000" w:themeColor="text1"/>
        </w:rPr>
        <w:t>’</w:t>
      </w:r>
      <w:r>
        <w:rPr>
          <w:rFonts w:hint="eastAsia"/>
          <w:color w:val="000000" w:themeColor="text1"/>
        </w:rPr>
        <w:t xml:space="preserve">s </w:t>
      </w:r>
      <w:r w:rsidRPr="001B228E">
        <w:rPr>
          <w:color w:val="000000" w:themeColor="text1"/>
        </w:rPr>
        <w:t>within-party message coherence? And how did a combined index of brand conditions evolve?</w:t>
      </w:r>
    </w:p>
    <w:p w14:paraId="75D533DB" w14:textId="77777777" w:rsidR="00EE60D6" w:rsidRPr="001B228E" w:rsidRDefault="00EE60D6" w:rsidP="00EE60D6">
      <w:pPr>
        <w:rPr>
          <w:color w:val="000000" w:themeColor="text1"/>
        </w:rPr>
      </w:pPr>
    </w:p>
    <w:p w14:paraId="0F3343C9" w14:textId="77777777" w:rsidR="00EE60D6" w:rsidRDefault="00EE60D6" w:rsidP="00EE60D6">
      <w:pPr>
        <w:rPr>
          <w:color w:val="000000" w:themeColor="text1"/>
        </w:rPr>
      </w:pPr>
      <w:r w:rsidRPr="001B228E">
        <w:rPr>
          <w:color w:val="000000" w:themeColor="text1"/>
        </w:rPr>
        <w:t xml:space="preserve">This study makes </w:t>
      </w:r>
      <w:r>
        <w:rPr>
          <w:rFonts w:hint="eastAsia"/>
          <w:color w:val="000000" w:themeColor="text1"/>
        </w:rPr>
        <w:t xml:space="preserve">three types of </w:t>
      </w:r>
      <w:r w:rsidRPr="001B228E">
        <w:rPr>
          <w:color w:val="000000" w:themeColor="text1"/>
        </w:rPr>
        <w:t>contribution.</w:t>
      </w:r>
      <w:r>
        <w:rPr>
          <w:rFonts w:hint="eastAsia"/>
          <w:color w:val="000000" w:themeColor="text1"/>
        </w:rPr>
        <w:t xml:space="preserve"> </w:t>
      </w:r>
      <w:r w:rsidRPr="001B228E">
        <w:rPr>
          <w:rStyle w:val="af"/>
          <w:color w:val="000000" w:themeColor="text1"/>
        </w:rPr>
        <w:t>Theoretically</w:t>
      </w:r>
      <w:r w:rsidRPr="001B228E">
        <w:rPr>
          <w:color w:val="000000" w:themeColor="text1"/>
        </w:rPr>
        <w:t xml:space="preserve">, we separate two conditions that party brand theory treats together. The theory holds that a usable brand requires both distinctiveness and consistency, and empirical work has generally assumed that a party consolidating a distinctive position will also come to speak about it more consistently. We show that the two can advance at different rates within the same </w:t>
      </w:r>
      <w:r w:rsidRPr="001B228E">
        <w:rPr>
          <w:color w:val="000000" w:themeColor="text1"/>
        </w:rPr>
        <w:lastRenderedPageBreak/>
        <w:t xml:space="preserve">party: Republican coverage moved further from the Democratic position and became more internally consistent across the period, yet the two did not move together from month to month. We also extend the asymmetric incentives literature from positional movement to internal consolidation, since the party that moved was also the only party whose messaging tightened, while the party defending an established commitment did neither. And we show that brand formation here proceeded in stages rather than </w:t>
      </w:r>
      <w:r>
        <w:rPr>
          <w:rFonts w:hint="eastAsia"/>
          <w:color w:val="000000" w:themeColor="text1"/>
        </w:rPr>
        <w:t>gradually</w:t>
      </w:r>
      <w:r w:rsidRPr="001B228E">
        <w:rPr>
          <w:color w:val="000000" w:themeColor="text1"/>
        </w:rPr>
        <w:t xml:space="preserve">, with a period of elevated </w:t>
      </w:r>
      <w:r>
        <w:rPr>
          <w:rFonts w:hint="eastAsia"/>
          <w:color w:val="000000" w:themeColor="text1"/>
        </w:rPr>
        <w:t>polarization</w:t>
      </w:r>
      <w:r w:rsidRPr="001B228E">
        <w:rPr>
          <w:color w:val="000000" w:themeColor="text1"/>
        </w:rPr>
        <w:t xml:space="preserve"> that did not hold followed by one that did.</w:t>
      </w:r>
    </w:p>
    <w:p w14:paraId="3CBC26CC" w14:textId="77777777" w:rsidR="00EE60D6" w:rsidRPr="001B228E" w:rsidRDefault="00EE60D6" w:rsidP="00EE60D6">
      <w:pPr>
        <w:rPr>
          <w:color w:val="000000" w:themeColor="text1"/>
        </w:rPr>
      </w:pPr>
    </w:p>
    <w:p w14:paraId="19294378" w14:textId="77777777" w:rsidR="00EE60D6" w:rsidRDefault="00EE60D6" w:rsidP="00EE60D6">
      <w:pPr>
        <w:rPr>
          <w:color w:val="000000" w:themeColor="text1"/>
        </w:rPr>
      </w:pPr>
      <w:r w:rsidRPr="001B228E">
        <w:rPr>
          <w:rStyle w:val="af"/>
          <w:color w:val="000000" w:themeColor="text1"/>
        </w:rPr>
        <w:t>Empirically</w:t>
      </w:r>
      <w:r w:rsidRPr="001B228E">
        <w:rPr>
          <w:color w:val="000000" w:themeColor="text1"/>
        </w:rPr>
        <w:t xml:space="preserve">, we provide the first continuous measurement of how the two parties were represented on Ukraine aid across the full period from March 2022 to December 2024. Prior work on this case has measured mass discourse at a single early moment, elite speech through qualitative interpretation, or policy rationales without systematic measurement. Our series covers 37,312 annotated sentences drawn from 11,819 articles across 34 months, which allows the timing and structure of change to be recovered. We also report two </w:t>
      </w:r>
      <w:r>
        <w:rPr>
          <w:rFonts w:hint="eastAsia"/>
          <w:color w:val="000000" w:themeColor="text1"/>
        </w:rPr>
        <w:t>findings that aligns with previous literature</w:t>
      </w:r>
      <w:r w:rsidRPr="001B228E">
        <w:rPr>
          <w:color w:val="000000" w:themeColor="text1"/>
        </w:rPr>
        <w:t xml:space="preserve">: the framing that set foreign commitments against domestic priorities aligned most closely with the aid stance </w:t>
      </w:r>
      <w:r>
        <w:rPr>
          <w:rFonts w:hint="eastAsia"/>
          <w:color w:val="000000" w:themeColor="text1"/>
        </w:rPr>
        <w:t xml:space="preserve">polarization, </w:t>
      </w:r>
      <w:r w:rsidRPr="001B228E">
        <w:rPr>
          <w:color w:val="000000" w:themeColor="text1"/>
        </w:rPr>
        <w:t>and neither party</w:t>
      </w:r>
      <w:r>
        <w:rPr>
          <w:color w:val="000000" w:themeColor="text1"/>
        </w:rPr>
        <w:t>’</w:t>
      </w:r>
      <w:r>
        <w:rPr>
          <w:rFonts w:hint="eastAsia"/>
          <w:color w:val="000000" w:themeColor="text1"/>
        </w:rPr>
        <w:t>s</w:t>
      </w:r>
      <w:r w:rsidRPr="001B228E">
        <w:rPr>
          <w:color w:val="000000" w:themeColor="text1"/>
        </w:rPr>
        <w:t xml:space="preserve"> coherence</w:t>
      </w:r>
      <w:r>
        <w:rPr>
          <w:rFonts w:hint="eastAsia"/>
          <w:color w:val="000000" w:themeColor="text1"/>
        </w:rPr>
        <w:t xml:space="preserve"> </w:t>
      </w:r>
      <w:r>
        <w:rPr>
          <w:color w:val="000000" w:themeColor="text1"/>
        </w:rPr>
        <w:t>contemporaneously</w:t>
      </w:r>
      <w:r>
        <w:rPr>
          <w:rFonts w:hint="eastAsia"/>
          <w:color w:val="000000" w:themeColor="text1"/>
        </w:rPr>
        <w:t xml:space="preserve"> tracked the corresponding polarization</w:t>
      </w:r>
      <w:r w:rsidRPr="001B228E">
        <w:rPr>
          <w:color w:val="000000" w:themeColor="text1"/>
        </w:rPr>
        <w:t>.</w:t>
      </w:r>
    </w:p>
    <w:p w14:paraId="5F0E0086" w14:textId="77777777" w:rsidR="00EE60D6" w:rsidRPr="001B228E" w:rsidRDefault="00EE60D6" w:rsidP="00EE60D6">
      <w:pPr>
        <w:rPr>
          <w:color w:val="000000" w:themeColor="text1"/>
        </w:rPr>
      </w:pPr>
    </w:p>
    <w:p w14:paraId="3736FBC8" w14:textId="77777777" w:rsidR="00EE60D6" w:rsidRDefault="00EE60D6" w:rsidP="00EE60D6">
      <w:pPr>
        <w:rPr>
          <w:color w:val="000000" w:themeColor="text1"/>
        </w:rPr>
      </w:pPr>
      <w:r w:rsidRPr="001B228E">
        <w:rPr>
          <w:rStyle w:val="af"/>
          <w:color w:val="000000" w:themeColor="text1"/>
        </w:rPr>
        <w:t>Methodologically</w:t>
      </w:r>
      <w:r w:rsidRPr="001B228E">
        <w:rPr>
          <w:color w:val="000000" w:themeColor="text1"/>
        </w:rPr>
        <w:t>, we introduce the Party Brand Index, a monthly measure combining between-party divergence with each party</w:t>
      </w:r>
      <w:r>
        <w:rPr>
          <w:color w:val="000000" w:themeColor="text1"/>
        </w:rPr>
        <w:t>’</w:t>
      </w:r>
      <w:r>
        <w:rPr>
          <w:rFonts w:hint="eastAsia"/>
          <w:color w:val="000000" w:themeColor="text1"/>
        </w:rPr>
        <w:t>s</w:t>
      </w:r>
      <w:r w:rsidRPr="001B228E">
        <w:rPr>
          <w:color w:val="000000" w:themeColor="text1"/>
        </w:rPr>
        <w:t xml:space="preserve"> within-party coherence through a geometric mean. Because a geometric mean is dampened whenever its components develop unevenly, the index detects joint development rather than summarizing divergence, which makes answerable a question the theory poses and measures of divergence alone cannot address. We also set out an annotation design for recovering positions on multiple predetermined dimensions from single sentences, validate it on three properties, and treat measurement uncertainty jointly by resampling whole articles once and recomputing every quantity from each replicate.</w:t>
      </w:r>
    </w:p>
    <w:p w14:paraId="5365FF19" w14:textId="77777777" w:rsidR="00EE60D6" w:rsidRPr="001B228E" w:rsidRDefault="00EE60D6" w:rsidP="00EE60D6">
      <w:pPr>
        <w:rPr>
          <w:color w:val="000000" w:themeColor="text1"/>
        </w:rPr>
      </w:pPr>
    </w:p>
    <w:p w14:paraId="0AF83AF3" w14:textId="77777777" w:rsidR="00EE60D6" w:rsidRPr="00EC07A7" w:rsidRDefault="00EE60D6" w:rsidP="00EE60D6">
      <w:r w:rsidRPr="001B228E">
        <w:rPr>
          <w:color w:val="000000" w:themeColor="text1"/>
        </w:rPr>
        <w:t>The remainder of the paper proceeds as follows. We review literature on party brands, foreign policy polarization, and computational approaches to measuring both, and set out our research questions and hypotheses. We then describe the corpus, the annotation and its validation, the construction of our measures, and the temporal models. Results are reported by research question. We close by discussing what the findings imply for party brand theory and for debates about the durability of foreign policy consensus.</w:t>
      </w:r>
    </w:p>
    <w:p w14:paraId="6FFA4016" w14:textId="77777777" w:rsidR="00EE60D6" w:rsidRPr="008D1DB8" w:rsidRDefault="00EE60D6" w:rsidP="00EE60D6">
      <w:pPr>
        <w:pStyle w:val="1"/>
      </w:pPr>
      <w:r>
        <w:rPr>
          <w:rFonts w:hint="eastAsia"/>
        </w:rPr>
        <w:t>Literature Review</w:t>
      </w:r>
    </w:p>
    <w:p w14:paraId="6E797497" w14:textId="77777777" w:rsidR="00EE60D6" w:rsidRDefault="00EE60D6" w:rsidP="00EE60D6">
      <w:pPr>
        <w:pStyle w:val="2"/>
      </w:pPr>
      <w:r>
        <w:rPr>
          <w:rFonts w:hint="eastAsia"/>
        </w:rPr>
        <w:t>Party Brand</w:t>
      </w:r>
    </w:p>
    <w:p w14:paraId="447AB493" w14:textId="77777777" w:rsidR="00EE60D6" w:rsidRPr="00B22F36" w:rsidRDefault="00EE60D6" w:rsidP="00EE60D6">
      <w:r w:rsidRPr="00A36CD8">
        <w:t xml:space="preserve">Political parties function as brands that </w:t>
      </w:r>
      <w:r>
        <w:rPr>
          <w:rFonts w:hint="eastAsia"/>
        </w:rPr>
        <w:t xml:space="preserve">signal policy positions to average voters. As </w:t>
      </w:r>
      <w:r>
        <w:fldChar w:fldCharType="begin"/>
      </w:r>
      <w:r>
        <w:instrText xml:space="preserve"> ADDIN ZOTERO_ITEM CSL_CITATION {"citationID":"GJQWvgJi","properties":{"unsorted":false,"formattedCitation":"(Lupu, 2016, pp. 17\\uc0\\u8211{}18)","plainCitation":"(Lupu, 2016, pp. 17–18)","dontUpdate":true,"noteIndex":0},"citationItems":[{"id":66,"uris":["http://zotero.org/users/6825464/items/GIB5C4BV"],"itemData":{"id":66,"type":"book","citation-key":"lupuPartyBrandsCrisis2016","publisher":"Cambridge University Press","source":"Google Scholar","title":"Party brands in crisis: Partisanship, brand dilution, and the breakdown of political parties in Latin America","title-short":"Party brands in crisis","URL":"https://books.google.com/books?hl=en&amp;lr=&amp;id=HSR0CwAAQBAJ&amp;oi=fnd&amp;pg=PR9&amp;dq=Party+Brands+in+Crisis:+Partisanship,+Brand+Dilution,+and+the+Breakdown+of+Political+Parties+in+Latin+America&amp;ots=xbtfnBTCje&amp;sig=6vccK-fVzeJkYmK7cIfHv4YaUiI","author":[{"family":"Lupu","given":"Noam"}],"accessed":{"date-parts":[["2025",3,14]]},"issued":{"date-parts":[["2016"]]}},"locator":"17-18","label":"page"}],"schema":"https://github.com/citation-style-language/schema/raw/master/csl-citation.json"} </w:instrText>
      </w:r>
      <w:r>
        <w:fldChar w:fldCharType="separate"/>
      </w:r>
      <w:r w:rsidRPr="00C06777">
        <w:t>Lupu</w:t>
      </w:r>
      <w:r>
        <w:rPr>
          <w:rFonts w:hint="eastAsia"/>
        </w:rPr>
        <w:t xml:space="preserve"> (</w:t>
      </w:r>
      <w:r w:rsidRPr="00C06777">
        <w:t>2016, pp. 17–18)</w:t>
      </w:r>
      <w:r>
        <w:fldChar w:fldCharType="end"/>
      </w:r>
      <w:r>
        <w:rPr>
          <w:rFonts w:hint="eastAsia"/>
        </w:rPr>
        <w:t xml:space="preserve"> puts it: </w:t>
      </w:r>
      <w:r>
        <w:t>“</w:t>
      </w:r>
      <w:r>
        <w:rPr>
          <w:rFonts w:hint="eastAsia"/>
        </w:rPr>
        <w:t>V</w:t>
      </w:r>
      <w:r w:rsidRPr="005627B8">
        <w:t xml:space="preserve">oters develop perceptions of political parties through their observations of a party and its behavior </w:t>
      </w:r>
      <w:r>
        <w:t>…</w:t>
      </w:r>
      <w:r>
        <w:rPr>
          <w:rFonts w:hint="eastAsia"/>
        </w:rPr>
        <w:t xml:space="preserve"> </w:t>
      </w:r>
      <w:r w:rsidRPr="005627B8">
        <w:t>they learn what to associate with the prototypical Democrat</w:t>
      </w:r>
      <w:r>
        <w:t>…</w:t>
      </w:r>
      <w:r>
        <w:rPr>
          <w:rFonts w:hint="eastAsia"/>
        </w:rPr>
        <w:t xml:space="preserve"> </w:t>
      </w:r>
      <w:r w:rsidRPr="00C9349B">
        <w:t>Those prototypes are what I refer to as party brands.</w:t>
      </w:r>
      <w:r>
        <w:t>”</w:t>
      </w:r>
      <w:r>
        <w:rPr>
          <w:rFonts w:hint="eastAsia"/>
        </w:rPr>
        <w:t xml:space="preserve"> T</w:t>
      </w:r>
      <w:r>
        <w:t>h</w:t>
      </w:r>
      <w:r>
        <w:rPr>
          <w:rFonts w:hint="eastAsia"/>
        </w:rPr>
        <w:t xml:space="preserve">ose brands provide informational shortcuts, allowing voters to infer party positions often without detailed policy knowledge. </w:t>
      </w:r>
      <w:r>
        <w:t xml:space="preserve">Voters form stronger attachments to parties whose brands are distinguishable, and convergence between rival parties weakens those attachments </w:t>
      </w:r>
      <w:r>
        <w:fldChar w:fldCharType="begin"/>
      </w:r>
      <w:r>
        <w:instrText xml:space="preserve"> ADDIN ZOTERO_ITEM CSL_CITATION {"citationID":"zatX4qRx","properties":{"unsorted":false,"formattedCitation":"(Lupu, 2013)","plainCitation":"(Lupu, 2013)","noteIndex":0},"citationItems":[{"id":1081,"uris":["http://zotero.org/users/6825464/items/A2SMTCYJ"],"itemData":{"id":1081,"type":"article-journal","abstract":"Scholars disagree about the nature of party attachments, viewing partisanship as either a social identity or a rational maximization of expected utility. Empirically, much of this debate centers on the degree of partisan stability: findings of partisan fluctuations are taken as evidence against the social-identity perspective. But drawing such conclusions assumes that the objects of identity—parties—are fixed. If we instead allow party brands to change over time, then partisan instability is consistent with a social-identity conception of partisanship. To demonstrate this, I develop a branding model of partisanship in which voters learn about party brands by observing party behavior over time and base their psychological attachment to a party on these brands. The model suggests that convergence by rival parties, making their brands less distinguishable, should weaken party attachments. I test this implication using a survey experiment in Argentina and find evidence consistent with the model.","citation-key":"lupuPartyBrandsPartisanship2013","container-title":"American Journal of Political Science","DOI":"10.1111/j.1540-5907.2012.00615.x","ISSN":"1540-5907","issue":"1","language":"en","license":"©2012, Midwest Political Science Association","page":"49-64","source":"Wiley Online Library","title":"Party Brands and Partisanship: Theory with Evidence from a Survey Experiment in Argentina","title-short":"Party Brands and Partisanship","volume":"57","author":[{"family":"Lupu","given":"Noam"}],"issued":{"date-parts":[["2013"]]}}}],"schema":"https://github.com/citation-style-language/schema/raw/master/csl-citation.json"} </w:instrText>
      </w:r>
      <w:r>
        <w:fldChar w:fldCharType="separate"/>
      </w:r>
      <w:r>
        <w:t>(Lupu, 2013)</w:t>
      </w:r>
      <w:r>
        <w:fldChar w:fldCharType="end"/>
      </w:r>
      <w:r>
        <w:rPr>
          <w:rStyle w:val="af"/>
        </w:rPr>
        <w:t>.</w:t>
      </w:r>
      <w:r w:rsidRPr="003F1B75">
        <w:rPr>
          <w:rStyle w:val="af"/>
        </w:rPr>
        <w:t xml:space="preserve"> </w:t>
      </w:r>
      <w:r w:rsidRPr="003F1B75">
        <w:t xml:space="preserve">Perceiving parties as polarized has the same effect in the opposite direction, since citizens become </w:t>
      </w:r>
      <w:r w:rsidRPr="003F1B75">
        <w:lastRenderedPageBreak/>
        <w:t xml:space="preserve">more partisan as they perceive polarization increasing </w:t>
      </w:r>
      <w:r w:rsidRPr="003F1B75">
        <w:fldChar w:fldCharType="begin"/>
      </w:r>
      <w:r w:rsidRPr="003F1B75">
        <w:instrText xml:space="preserve"> ADDIN ZOTERO_ITEM CSL_CITATION {"citationID":"9Sd8LUrI","properties":{"unsorted":false,"formattedCitation":"(Lupu, 2015)","plainCitation":"(Lupu, 2015)","noteIndex":0},"citationItems":[{"id":1429,"uris":["http://zotero.org/users/6825464/items/HI7TQDAQ"],"itemData":{"id":1429,"type":"article-journal","abstract":"Scholars view polarization with trepidation. But polarization may clarify voters’ choices and generate stronger party attachments. The link between party polarization and mass partisanship remains unclear. I look to theories of partisanship to derive implications about the relationships among polarization, citizens’ perceptions of polarization, and mass partisanship. I test those implications using cross-national and longitudinal survey data. My results confirm that polarization correlates with individual partisanship across space and time. Citizens in polarized systems also perceive their parties to be more polarized. And perceiving party polarization makes people more likely to be partisan. That relationship appears to be causal: using a long-term panel survey from the United States, I find that citizens become more partisan as they perceive polarization increasing.","citation-key":"lupuPartyPolarizationMass2015","container-title":"Political Behavior","DOI":"10.1007/s11109-014-9279-z","ISSN":"1573-6687","issue":"2","journalAbbreviation":"Polit Behav","language":"en","page":"331-356","source":"Springer Link","title":"Party Polarization and Mass Partisanship: A Comparative Perspective","title-short":"Party Polarization and Mass Partisanship","volume":"37","author":[{"family":"Lupu","given":"Noam"}],"issued":{"date-parts":[["2015",6,1]]}}}],"schema":"https://github.com/citation-style-language/schema/raw/master/csl-citation.json"} </w:instrText>
      </w:r>
      <w:r w:rsidRPr="003F1B75">
        <w:fldChar w:fldCharType="separate"/>
      </w:r>
      <w:r w:rsidRPr="003F1B75">
        <w:rPr>
          <w:noProof/>
        </w:rPr>
        <w:t>(Lupu, 2015)</w:t>
      </w:r>
      <w:r w:rsidRPr="003F1B75">
        <w:fldChar w:fldCharType="end"/>
      </w:r>
      <w:r w:rsidRPr="003F1B75">
        <w:rPr>
          <w:rStyle w:val="af"/>
        </w:rPr>
        <w:t>.</w:t>
      </w:r>
      <w:r w:rsidRPr="003F1B75">
        <w:t xml:space="preserve"> When brands dilute, partisanship weakens and parties can break down entirely</w:t>
      </w:r>
      <w:r>
        <w:t xml:space="preserve"> </w:t>
      </w:r>
      <w:r w:rsidRPr="003F1B75">
        <w:fldChar w:fldCharType="begin"/>
      </w:r>
      <w:r w:rsidRPr="003F1B75">
        <w:instrText xml:space="preserve"> ADDIN ZOTERO_ITEM CSL_CITATION {"citationID":"iMvbubAr","properties":{"unsorted":false,"formattedCitation":"(Lupu, 2016)","plainCitation":"(Lupu, 2016)","noteIndex":0},"citationItems":[{"id":66,"uris":["http://zotero.org/users/6825464/items/GIB5C4BV"],"itemData":{"id":66,"type":"book","citation-key":"lupuPartyBrandsCrisis2016","publisher":"Cambridge University Press","source":"Google Scholar","title":"Party brands in crisis: Partisanship, brand dilution, and the breakdown of political parties in Latin America","title-short":"Party brands in crisis","URL":"https://books.google.com/books?hl=en&amp;lr=&amp;id=HSR0CwAAQBAJ&amp;oi=fnd&amp;pg=PR9&amp;dq=Party+Brands+in+Crisis:+Partisanship,+Brand+Dilution,+and+the+Breakdown+of+Political+Parties+in+Latin+America&amp;ots=xbtfnBTCje&amp;sig=6vccK-fVzeJkYmK7cIfHv4YaUiI","author":[{"family":"Lupu","given":"Noam"}],"accessed":{"date-parts":[["2025",3,14]]},"issued":{"date-parts":[["2016"]]}}}],"schema":"https://github.com/citation-style-language/schema/raw/master/csl-citation.json"} </w:instrText>
      </w:r>
      <w:r w:rsidRPr="003F1B75">
        <w:fldChar w:fldCharType="separate"/>
      </w:r>
      <w:r w:rsidRPr="003F1B75">
        <w:rPr>
          <w:noProof/>
        </w:rPr>
        <w:t>(Lupu, 2016)</w:t>
      </w:r>
      <w:r w:rsidRPr="003F1B75">
        <w:fldChar w:fldCharType="end"/>
      </w:r>
      <w:r w:rsidRPr="003F1B75">
        <w:rPr>
          <w:rStyle w:val="af"/>
        </w:rPr>
        <w:t>.</w:t>
      </w:r>
      <w:r w:rsidRPr="003F1B75">
        <w:rPr>
          <w:rFonts w:hint="eastAsia"/>
        </w:rPr>
        <w:t xml:space="preserve"> To avoid br</w:t>
      </w:r>
      <w:r>
        <w:rPr>
          <w:rFonts w:hint="eastAsia"/>
        </w:rPr>
        <w:t xml:space="preserve">and dilution, parties are motivated to occupy distinct positions </w:t>
      </w:r>
      <w:r w:rsidRPr="00A36CD8">
        <w:t>(between-party differentiation)</w:t>
      </w:r>
      <w:r>
        <w:rPr>
          <w:rFonts w:hint="eastAsia"/>
        </w:rPr>
        <w:t xml:space="preserve"> and maintain consistent messaging </w:t>
      </w:r>
      <w:r w:rsidRPr="00A36CD8">
        <w:t>(within-party coherence)</w:t>
      </w:r>
      <w:r>
        <w:rPr>
          <w:rFonts w:hint="eastAsia"/>
        </w:rPr>
        <w:t xml:space="preserve">, as </w:t>
      </w:r>
      <w:r>
        <w:t>“</w:t>
      </w:r>
      <w:r>
        <w:rPr>
          <w:rFonts w:hint="eastAsia"/>
        </w:rPr>
        <w:t>d</w:t>
      </w:r>
      <w:r w:rsidRPr="00F54DD0">
        <w:t>eclining levels of ideological and issue conflict undercut the relevance of both parties and partisan ties</w:t>
      </w:r>
      <w:r>
        <w:rPr>
          <w:rFonts w:hint="eastAsia"/>
        </w:rPr>
        <w:t xml:space="preserve"> </w:t>
      </w:r>
      <w:r>
        <w:t>“</w:t>
      </w:r>
      <w:r>
        <w:rPr>
          <w:rFonts w:hint="eastAsia"/>
        </w:rPr>
        <w:t xml:space="preserve"> </w:t>
      </w:r>
      <w:r>
        <w:fldChar w:fldCharType="begin"/>
      </w:r>
      <w:r>
        <w:instrText xml:space="preserve"> ADDIN ZOTERO_ITEM CSL_CITATION {"citationID":"mxA8AJLD","properties":{"unsorted":false,"formattedCitation":"(Schmitt &amp; Holmberg, 1998, p. 110)","plainCitation":"(Schmitt &amp; Holmberg, 1998, p. 110)","noteIndex":0},"citationItems":[{"id":8449,"uris":["http://zotero.org/users/6825464/items/YWQCFJ59"],"itemData":{"id":8449,"type":"chapter","abstract":"Discusses the theory and concepts of partisanship. Using indicators of the strength of party identification—or party attachment—as its main analytical tool, it </w:instrText>
      </w:r>
      <w:r>
        <w:rPr>
          <w:rFonts w:hint="eastAsia"/>
        </w:rPr>
        <w:instrText>traces the development of partisanship in some 15 party systems in post</w:instrText>
      </w:r>
      <w:r>
        <w:rPr>
          <w:rFonts w:hint="eastAsia"/>
        </w:rPr>
        <w:instrText>‐</w:instrText>
      </w:r>
      <w:r>
        <w:rPr>
          <w:rFonts w:hint="eastAsia"/>
        </w:rPr>
        <w:instrText>war Western Europe, noting changes across time and between countries. While some countries show partisanships to be in steady and steep decline, in others the trend is cyclical, and i</w:instrText>
      </w:r>
      <w:r>
        <w:instrText xml:space="preserve">n the newer democracies (such as Spain) it is even on the increase.","citation-key":"schmittPoliticalPartiesDecline1998","container-title":"Citizens and the State","DOI":"10.1093/0198294735.003.0004","ISBN":"978-0-19-829473-3","page":"0","publisher":"Oxford University Press","source":"Silverchair","title":"Political Parties in Decline?","URL":"https://doi.org/10.1093/0198294735.003.0004","author":[{"family":"Schmitt","given":"Hermann"},{"family":"Holmberg","given":"Sören"}],"editor":[{"family":"Klingemann","given":"Hans-Dieter"},{"family":"Fuchs","given":"Dieter"}],"accessed":{"date-parts":[["2026",1,7]]},"issued":{"date-parts":[["1998",9,10]]}},"locator":"110","label":"page"}],"schema":"https://github.com/citation-style-language/schema/raw/master/csl-citation.json"} </w:instrText>
      </w:r>
      <w:r>
        <w:fldChar w:fldCharType="separate"/>
      </w:r>
      <w:r w:rsidRPr="00A63EEA">
        <w:t>(Schmitt &amp; Holmberg, 1998, p. 110)</w:t>
      </w:r>
      <w:r>
        <w:fldChar w:fldCharType="end"/>
      </w:r>
      <w:r>
        <w:rPr>
          <w:rFonts w:hint="eastAsia"/>
        </w:rPr>
        <w:t xml:space="preserve">. </w:t>
      </w:r>
    </w:p>
    <w:p w14:paraId="326E3EA6" w14:textId="77777777" w:rsidR="00EE60D6" w:rsidRDefault="00EE60D6" w:rsidP="00EE60D6"/>
    <w:p w14:paraId="4A663893" w14:textId="77777777" w:rsidR="00EE60D6" w:rsidRDefault="00EE60D6" w:rsidP="00EE60D6">
      <w:r>
        <w:rPr>
          <w:rFonts w:hint="eastAsia"/>
        </w:rPr>
        <w:t xml:space="preserve">Brands also evolve as parties </w:t>
      </w:r>
      <w:r>
        <w:t>strategically</w:t>
      </w:r>
      <w:r>
        <w:rPr>
          <w:rFonts w:hint="eastAsia"/>
        </w:rPr>
        <w:t xml:space="preserve"> reposition </w:t>
      </w:r>
      <w:r>
        <w:t>ideologically</w:t>
      </w:r>
      <w:r>
        <w:rPr>
          <w:rFonts w:hint="eastAsia"/>
        </w:rPr>
        <w:t xml:space="preserve"> and contest </w:t>
      </w:r>
      <w:r>
        <w:t>which</w:t>
      </w:r>
      <w:r>
        <w:rPr>
          <w:rFonts w:hint="eastAsia"/>
        </w:rPr>
        <w:t xml:space="preserve"> issue organizes the current political conflict. This is often done through politicization and polarization with elite messaging. P</w:t>
      </w:r>
      <w:r>
        <w:t xml:space="preserve">oliticization is a process by which parties problematize and reconstruct meanings of </w:t>
      </w:r>
      <w:r>
        <w:rPr>
          <w:rFonts w:hint="eastAsia"/>
        </w:rPr>
        <w:t>a</w:t>
      </w:r>
      <w:r>
        <w:t xml:space="preserve"> particular issue to be more abstract and open for indetermination, resulting in contestations</w:t>
      </w:r>
      <w:r>
        <w:rPr>
          <w:rFonts w:hint="eastAsia"/>
        </w:rPr>
        <w:t xml:space="preserve"> and an </w:t>
      </w:r>
      <w:r>
        <w:t>increase</w:t>
      </w:r>
      <w:r>
        <w:rPr>
          <w:rFonts w:hint="eastAsia"/>
        </w:rPr>
        <w:t xml:space="preserve"> in voters</w:t>
      </w:r>
      <w:r>
        <w:t xml:space="preserve">’ perceived saliency and importance </w:t>
      </w:r>
      <w:r w:rsidRPr="00FE630B">
        <w:fldChar w:fldCharType="begin"/>
      </w:r>
      <w:r>
        <w:instrText xml:space="preserve"> ADDIN ZOTERO_ITEM CSL_CITATION {"citationID":"EPxkXmz2","properties":{"formattedCitation":"(Mazzuca &amp; Santarelli, 2023; Slothuus, 2010)","plainCitation":"(Mazzuca &amp; Santarelli, 2023; Slothuus, 2010)","noteIndex":0},"citationItems":[{"id":93,"uris":["http://zotero.org/users/6825464/items/BHKVV8DN"],"itemData":{"id":93,"type":"article-journal","abstract":"The notion of politicization has been often assimilated to that of partisanship, especially in political and social sciences. However, these accounts underestimate more fine-grained, and yet pivotal, aspects at stake in processes of politicization. In addition, they overlook cognitive mechanisms underlying politicizing practices. Here, we propose an integrated approach to politicization relying on recent insights from both social and political sciences, as well as cognitive science. We outline two key facets of politicization, that we call partial indetermination and contestability, and we show how these can be accounted for by appealing to recent literature in cognitive science concerned with abstract conceptual knowledge. We suggest that politicizing a concept often implies making its more abstract components more salient, hence legitimating its contestable character. Finally, we provide preliminary suggestions to test our proposal, using the concept of gender as case study.","citation-key":"mazzucaMakingItAbstract2023","container-title":"Review of Philosophy and Psychology","DOI":"10.1007/s13164-022-00640-2","ISSN":"1878-5166","issue":"4","journalAbbreviation":"Rev.Phil.Psych.","language":"en","page":"1257-1278","source":"Springer Link","title":"Making it abstract, making it contestable: politicization at the intersection of political and cognitive science","title-short":"Making it abstract, making it contestable","volume":"14","author":[{"family":"Mazzuca","given":"Claudia"},{"family":"Santarelli","given":"Matteo"}],"issued":{"date-parts":[["2023",12,1]]}}},{"id":88,"uris":["http://zotero.org/users/6825464/items/7IIKILCE"],"itemData":{"id":88,"type":"article-journal","abstract":"Research on framing effects has demonstrated how elites can influence public opinion by the way they present and interpret political issues. However, these findings overwhelmingly stem from experimental settings that differ from how issues are typically discussed in real-world political situations. This study takes framing research to more realistic contexts by exploiting a natural experiment to examine the neglected role of political parties in framing effects. Examining the effects on public opinion of a sudden shift in how a major political party frames a salient issue, I demonstrate that parties can be powerful in shaping the policy preferences among their supporters. Yet, even strong partisans do not follow the party line uncritically. Rather, they judge the party frame according to their own beliefs about the problems surrounding the issue. Thus, party elites face the challenge of developing frames that resonate with their voters' preexisting beliefs if they want to shape policy preferences, even among their otherwise most loyal supporters. These dynamics have important implications for understanding interactions between political elites and the public.","citation-key":"slothuusWhenCanPolitical2010","container-title":"Political Communication","DOI":"10.1080/10584601003709381","ISSN":"1058-4609","issue":"2","note":"_eprint: https://doi.org/10.1080/10584601003709381","page":"158-177","publisher":"Routledge","source":"Taylor and Francis+NEJM","title":"When Can Political Parties Lead Public Opinion? Evidence from a Natural Experiment","title-short":"When Can Political Parties Lead Public Opinion?","volume":"27","author":[{"family":"Slothuus","given":"Rune"}],"issued":{"date-parts":[["2010",5,14]]}}}],"schema":"https://github.com/citation-style-language/schema/raw/master/csl-citation.json"} </w:instrText>
      </w:r>
      <w:r w:rsidRPr="00FE630B">
        <w:fldChar w:fldCharType="separate"/>
      </w:r>
      <w:r w:rsidRPr="009306EF">
        <w:t>(Mazzuca &amp; Santarelli, 2023; Slothuus, 2010)</w:t>
      </w:r>
      <w:r w:rsidRPr="00FE630B">
        <w:fldChar w:fldCharType="end"/>
      </w:r>
      <w:r w:rsidRPr="00FE630B">
        <w:t>.</w:t>
      </w:r>
      <w:r w:rsidRPr="00601C1B">
        <w:t xml:space="preserve"> </w:t>
      </w:r>
      <w:r>
        <w:rPr>
          <w:rFonts w:hint="eastAsia"/>
        </w:rPr>
        <w:t xml:space="preserve">Take the Ukraine aid as an example. </w:t>
      </w:r>
      <w:r>
        <w:t>Parties start the process by setting the “undetermined” premise of the issue</w:t>
      </w:r>
      <w:r>
        <w:rPr>
          <w:rFonts w:hint="eastAsia"/>
        </w:rPr>
        <w:t xml:space="preserve"> </w:t>
      </w:r>
      <w:r>
        <w:fldChar w:fldCharType="begin"/>
      </w:r>
      <w:r>
        <w:instrText xml:space="preserve"> ADDIN ZOTERO_ITEM CSL_CITATION {"citationID":"CkIk6xff","properties":{"formattedCitation":"(Koselleck, 2004)","plainCitation":"(Koselleck, 2004)","noteIndex":0},"citationItems":[{"id":92,"uris":["http://zotero.org/users/6825464/items/9Y36WQ9B"],"itemData":{"id":92,"type":"book","citation-key":"koselleckFuturesSemanticsHistorical2004","publisher":"Columbia University Press","source":"Google Scholar","title":"Futures past: On the semantics of historical time","title-short":"Futures past","URL":"https://books.google.com/books?hl=en&amp;lr=&amp;id=u8czCgAAQBAJ&amp;oi=fnd&amp;pg=PR5&amp;dq=Futures+Past:+On+the+Semantics+of+Historical+Time.&amp;ots=ErANZuTGCh&amp;sig=EmV4CkGIIhIU_4oLf1eLBhiv0Zo","author":[{"family":"Koselleck","given":"Reinhart"}],"accessed":{"date-parts":[["2025",3,14]]},"issued":{"date-parts":[["2004"]]}}}],"schema":"https://github.com/citation-style-language/schema/raw/master/csl-citation.json"} </w:instrText>
      </w:r>
      <w:r>
        <w:fldChar w:fldCharType="separate"/>
      </w:r>
      <w:r w:rsidRPr="0056782A">
        <w:t>(Koselleck, 2004)</w:t>
      </w:r>
      <w:r>
        <w:fldChar w:fldCharType="end"/>
      </w:r>
      <w:r>
        <w:rPr>
          <w:rFonts w:hint="eastAsia"/>
        </w:rPr>
        <w:t xml:space="preserve">, such that </w:t>
      </w:r>
      <w:r w:rsidRPr="006828F2">
        <w:rPr>
          <w:rFonts w:hint="eastAsia"/>
          <w:i/>
          <w:iCs/>
        </w:rPr>
        <w:t xml:space="preserve">whether to spend a limited amount of money on helping another </w:t>
      </w:r>
      <w:r w:rsidRPr="006828F2">
        <w:rPr>
          <w:i/>
          <w:iCs/>
        </w:rPr>
        <w:t>country</w:t>
      </w:r>
      <w:r w:rsidRPr="006828F2">
        <w:rPr>
          <w:rFonts w:hint="eastAsia"/>
          <w:i/>
          <w:iCs/>
        </w:rPr>
        <w:t xml:space="preserve"> is something that should be openly discussed</w:t>
      </w:r>
      <w:r>
        <w:rPr>
          <w:rFonts w:hint="eastAsia"/>
        </w:rPr>
        <w:t>.</w:t>
      </w:r>
      <w:r>
        <w:t xml:space="preserve"> </w:t>
      </w:r>
      <w:r>
        <w:rPr>
          <w:rFonts w:hint="eastAsia"/>
        </w:rPr>
        <w:t>Parties then frame</w:t>
      </w:r>
      <w:r>
        <w:t xml:space="preserve"> the issue to be more abstract and open for interpretation</w:t>
      </w:r>
      <w:r>
        <w:rPr>
          <w:rFonts w:hint="eastAsia"/>
        </w:rPr>
        <w:t xml:space="preserve"> </w:t>
      </w:r>
      <w:r>
        <w:fldChar w:fldCharType="begin"/>
      </w:r>
      <w:r>
        <w:instrText xml:space="preserve"> ADDIN ZOTERO_ITEM CSL_CITATION {"citationID":"fgTCct6l","properties":{"unsorted":false,"formattedCitation":"(Borghi &amp; Binkofski, 2014; Z\\uc0\\u252{}rn, 2020)","plainCitation":"(Borghi &amp; Binkofski, 2014; Zürn, 2020)","noteIndex":0},"citationItems":[{"id":91,"uris":["http://zotero.org/users/6825464/items/ADZPBF2L"],"itemData":{"id":91,"type":"book","citation-key":"borghiWordsSocialTools2014","collection-title":"SpringerBriefs in Psychology","DOI":"10.1007/978-1-4614-9539-0","ISBN":"978-1-4614-9538-3","language":"en","license":"https://www.springernature.com/gp/researchers/text-and-data-mining","publisher":"Springer New York","publisher-place":"New York, NY","source":"DOI.org (Crossref)","title":"Words as Social Tools: An Embodied View on Abstract Concepts","title-short":"Words as Social Tools","URL":"https://link.springer.com/10.1007/978-1-4614-9539-0","author":[{"family":"Borghi","given":"Anna M."},{"family":"Binkofski","given":"Ferdinand"}],"accessed":{"date-parts":[["2025",3,14]]},"issued":{"date-parts":[["2014"]]}}},{"id":87,"uris":["http://zotero.org/users/6825464/items/9DJ7GKL9"],"itemData":{"id":87,"type":"chapter","citation-key":"zurnPoliticizationComparedNational2020","container-title":"The European Union Beyond the Polycrisis?","page":"15–33","publisher":"Routledge","source":"Google Scholar","title":"Politicization compared: at national, European, and global levels","title-short":"Politicization compared","URL":"https://www.taylorfrancis.com/chapters/edit/10.1201/9781003002215-2/politicization-compared-national-european-global-levels-michael-z%C3%BCrn","author":[{"family":"Zürn","given":"Michael"}],"accessed":{"date-parts":[["2025",3,14]]},"issued":{"date-parts":[["2020"]]}}}],"schema":"https://github.com/citation-style-language/schema/raw/master/csl-citation.json"} </w:instrText>
      </w:r>
      <w:r>
        <w:fldChar w:fldCharType="separate"/>
      </w:r>
      <w:r w:rsidRPr="00EB3FD8">
        <w:rPr>
          <w:rFonts w:eastAsiaTheme="minorEastAsia"/>
          <w:szCs w:val="24"/>
          <w14:ligatures w14:val="standardContextual"/>
        </w:rPr>
        <w:t>(Borghi &amp; Binkofski, 2014; Zürn, 2020)</w:t>
      </w:r>
      <w:r>
        <w:fldChar w:fldCharType="end"/>
      </w:r>
      <w:r>
        <w:rPr>
          <w:rFonts w:hint="eastAsia"/>
        </w:rPr>
        <w:t xml:space="preserve">, such that </w:t>
      </w:r>
      <w:r>
        <w:rPr>
          <w:i/>
          <w:iCs/>
        </w:rPr>
        <w:t>a</w:t>
      </w:r>
      <w:r w:rsidRPr="006828F2">
        <w:rPr>
          <w:rFonts w:hint="eastAsia"/>
          <w:i/>
          <w:iCs/>
        </w:rPr>
        <w:t>ids for Ukraine could mean loss of domestic spending and national interest</w:t>
      </w:r>
      <w:r>
        <w:rPr>
          <w:rFonts w:hint="eastAsia"/>
        </w:rPr>
        <w:t>. This</w:t>
      </w:r>
      <w:r>
        <w:t xml:space="preserve"> “undetermined” premise of the issue </w:t>
      </w:r>
      <w:r>
        <w:rPr>
          <w:rFonts w:hint="eastAsia"/>
        </w:rPr>
        <w:t xml:space="preserve">now </w:t>
      </w:r>
      <w:r>
        <w:t xml:space="preserve">creates new </w:t>
      </w:r>
      <w:r>
        <w:rPr>
          <w:rFonts w:hint="eastAsia"/>
        </w:rPr>
        <w:t xml:space="preserve">ideological (e.g., fund vs. no-fund) and saliency </w:t>
      </w:r>
      <w:r>
        <w:t>space for parties to compete</w:t>
      </w:r>
      <w:r>
        <w:rPr>
          <w:rFonts w:hint="eastAsia"/>
        </w:rPr>
        <w:t xml:space="preserve"> and build up clearer branding </w:t>
      </w:r>
      <w:r>
        <w:fldChar w:fldCharType="begin"/>
      </w:r>
      <w:r>
        <w:instrText xml:space="preserve"> ADDIN ZOTERO_ITEM CSL_CITATION {"citationID":"mIKHKyXq","properties":{"formattedCitation":"(Elias et al., 2015; Guinaudeau &amp; Persico, 2014; Slothuus, 2008; Z\\uc0\\u252{}rn, 2020)","plainCitation":"(Elias et al., 2015; Guinaudeau &amp; Persico, 2014; Slothuus, 2008; Zürn, 2020)","noteIndex":0},"citationItems":[{"id":86,"uris":["http://zotero.org/users/6825464/items/D3W43C4J"],"itemData":{"id":86,"type":"article-journal","abstract":"This Special Issue aims to (1) theorise party strategies in multi-dimensional policy spaces; and (2) apply the theory to party competition in multinational democracies characterised by a salient territorial dimension alongside a more established economic dimension. The introductory article brings together recent contributions treating spatial and salience theories as compatible and policy spaces as two-dimensional to propose four party strategies that can be ranked from one- to two-dimensional competitive behaviour: uni-dimensionality, blurring, subsuming, and two- dimensionality. The remaining contributions operationalise these strategies and draw on a variety of data sources ranging from manifestos to parliamentary bill proposals and expert surveys to describe when and explore why parties use these strategies in competition, focusing on patterns of party competition in multinational democracies, selected as typical cases of multi-dimensional competition.","citation-key":"eliasPositionSelectiveEmphasis2015","container-title":"Party Politics","DOI":"10.1177/1354068815597572","ISSN":"1354-0688","issue":"6","language":"EN","page":"839-850","publisher":"SAGE Publications Ltd","source":"SAGE Journals","title":"Position, selective emphasis and framing: How parties deal with a second dimension in competition","title-short":"Position, selective emphasis and framing","volume":"21","author":[{"family":"Elias","given":"Anwen"},{"family":"Szöcsik","given":"Edina"},{"family":"Zuber","given":"Christina Isabel"}],"issued":{"date-parts":[["2015",11,1]]}}},{"id":84,"uris":["http://zotero.org/users/6825464/items/976XAZM7"],"itemData":{"id":84,"type":"article-journal","abstract":"Empirical assessments of issue competition lack both conceptual precision in the use of the concept of “policy issue”, and sufficient studies integrating both salience and positional perspectives. This article specifies an operational definition of a “policy issue” suited for the analysis of issue competition in the electoral arena and beyond, and proposes a typology of electoral issues that takes into account the two sides of issue competition – the decision to address an issue, and the adoption of a diverging or similar position on it. This typology allows distinguishing proprietal, consensual, blurred and conflictual issues. The framework is illustrated with an analysis of EU-related issues in the electoral manifestos of British, French and German parties. This source did not enable us to identify any blurred issue, but our exploratory study delivers several conclusions regarding the other issue types. Proprietal issues appear to be marginal, indicating that parties tend to devote attention to the same issues and that issue ownership is highly contested. We further observe a primacy of consensus in EU-related discourses, especially among governing parties.","citation-key":"guinaudeauWhatIssueCompetition2014","container-title":"Journal of Elections, Public Opinion and Parties","DOI":"10.1080/17457289.2013.858344","ISSN":"1745-7289","issue":"3","note":"_eprint: https://doi.org/10.1080/17457289.2013.858344","page":"312-333","publisher":"Routledge","source":"Taylor and Francis+NEJM","title":"What is Issue Competition? Conflict, Consensus and Issue Ownership in Party Competition","title-short":"What is Issue Competition?","volume":"24","author":[{"family":"Guinaudeau","given":"Isabelle"},{"family":"Persico","given":"Simon"}],"issued":{"date-parts":[["2014",7,3]]}}},{"id":85,"uris":["http://zotero.org/users/6825464/items/GKNLAAE8"],"itemData":{"id":85,"type":"article-journal","abstract":"Issue frames in policy discourse and n</w:instrText>
      </w:r>
      <w:r>
        <w:rPr>
          <w:rFonts w:hint="eastAsia"/>
        </w:rPr>
        <w:instrText>ews reporting regularly influence citizens' political opinions. Yet, we only have a limited understanding of how and among whom these framing effects occur. I propose a dual</w:instrText>
      </w:r>
      <w:r>
        <w:rPr>
          <w:rFonts w:hint="eastAsia"/>
        </w:rPr>
        <w:instrText>‐</w:instrText>
      </w:r>
      <w:r>
        <w:rPr>
          <w:rFonts w:hint="eastAsia"/>
        </w:rPr>
        <w:instrText>process model of issue framing effects arguing that we must understand mediators of framing (the how question) in connection with individual</w:instrText>
      </w:r>
      <w:r>
        <w:rPr>
          <w:rFonts w:hint="eastAsia"/>
        </w:rPr>
        <w:instrText>‐</w:instrText>
      </w:r>
      <w:r>
        <w:rPr>
          <w:rFonts w:hint="eastAsia"/>
        </w:rPr>
        <w:instrText xml:space="preserve">level moderators of framing (the whom question). Experimental results show that issue framing affects opinion through different psychological processes depending on who the receiver of the frame </w:instrText>
      </w:r>
      <w:r>
        <w:instrText>is. Among the moderately politically aware or those having weak political values, framing effects were mediated through processes of changing importance of considerations as well as changing content of considerations. Among the highly aware, only the importance change process mediated framing effects, while there were no framing effects among those least aware or those having strong values.","citation-key":"slothuusMoreWeightingCognitive2008","container-title":"Political Psychology","DOI":"10.1111/j.1467-</w:instrText>
      </w:r>
      <w:r>
        <w:rPr>
          <w:rFonts w:hint="eastAsia"/>
        </w:rPr>
        <w:instrText>9221.2007.00610.x","ISSN":"0162-895X, 1467-9221","issue":"1","journalAbbreviation":"Political Psychology","language":"en","page":"1-28","source":"DOI.org (Crossref)","title":"More Than Weighting Cognitive Importance: A Dual</w:instrText>
      </w:r>
      <w:r>
        <w:rPr>
          <w:rFonts w:hint="eastAsia"/>
        </w:rPr>
        <w:instrText>‐</w:instrText>
      </w:r>
      <w:r>
        <w:rPr>
          <w:rFonts w:hint="eastAsia"/>
        </w:rPr>
        <w:instrText xml:space="preserve">Process Model of Issue Framing </w:instrText>
      </w:r>
      <w:r>
        <w:instrText xml:space="preserve">Effects","title-short":"More Than Weighting Cognitive Importance","volume":"29","author":[{"family":"Slothuus","given":"Rune"}],"issued":{"date-parts":[["2008",2]]}}},{"id":87,"uris":["http://zotero.org/users/6825464/items/9DJ7GKL9"],"itemData":{"id":87,"type":"chapter","citation-key":"zurnPoliticizationComparedNational2020","container-title":"The European Union Beyond the Polycrisis?","page":"15–33","publisher":"Routledge","source":"Google Scholar","title":"Politicization compared: at national, European, and global levels","title-short":"Politicization compared","URL":"https://www.taylorfrancis.com/chapters/edit/10.1201/9781003002215-2/politicization-compared-national-european-global-levels-michael-z%C3%BCrn","author":[{"family":"Zürn","given":"Michael"}],"accessed":{"date-parts":[["2025",3,14]]},"issued":{"date-parts":[["2020"]]}}}],"schema":"https://github.com/citation-style-language/schema/raw/master/csl-citation.json"} </w:instrText>
      </w:r>
      <w:r>
        <w:fldChar w:fldCharType="separate"/>
      </w:r>
      <w:r w:rsidRPr="006F30B0">
        <w:t>(Elias et al., 2015; Guinaudeau &amp; Persico, 2014; Slothuus, 2008; Zürn, 2020)</w:t>
      </w:r>
      <w:r>
        <w:fldChar w:fldCharType="end"/>
      </w:r>
      <w:r>
        <w:rPr>
          <w:rFonts w:hint="eastAsia"/>
        </w:rPr>
        <w:t>.</w:t>
      </w:r>
      <w:r>
        <w:t xml:space="preserve"> </w:t>
      </w:r>
      <w:r>
        <w:rPr>
          <w:rFonts w:hint="eastAsia"/>
        </w:rPr>
        <w:t>Further competition on a politicized issue introduces issue ownership and elite polarization (i.e., polarization between political elites)</w:t>
      </w:r>
      <w:r w:rsidRPr="0056208C">
        <w:rPr>
          <w:rFonts w:hint="eastAsia"/>
          <w:highlight w:val="yellow"/>
        </w:rPr>
        <w:t>, and issue ownership leads to greater visibility and coverage</w:t>
      </w:r>
      <w:r>
        <w:rPr>
          <w:rFonts w:hint="eastAsia"/>
          <w:highlight w:val="yellow"/>
        </w:rPr>
        <w:t xml:space="preserve"> </w:t>
      </w:r>
      <w:r>
        <w:rPr>
          <w:highlight w:val="yellow"/>
        </w:rPr>
        <w:fldChar w:fldCharType="begin"/>
      </w:r>
      <w:r>
        <w:rPr>
          <w:highlight w:val="yellow"/>
        </w:rPr>
        <w:instrText xml:space="preserve"> ADDIN ZOTERO_ITEM CSL_CITATION {"citationID":"wsBQRwes","properties":{"unsorted":false,"formattedCitation":"(Camp, 2018)","plainCitation":"(Camp, 2018)","noteIndex":0},"citationItems":[{"id":9650,"uris":["http://zotero.org/users/6825464/items/KTEXBAUH"],"itemData":{"id":9650,"type":"article-journal","abstract":"For many citizens, news media are the most important source of information about relevant political topics and actors. As a consequence, it is crucial to investigate who gains media coverage and why. Leaning on two classic news sourcing criteria, suitability and availability, we claim that issue owners can be seen as good news sources. By combining a content analysis of television news with data collected through a journalist survey, we investigate whether issue ownership is a determinant of political parties’ news coverage. Results confirm that issue ownership is a predictor of parties’ news coverage, even when controlling for ministerial competences.","container-title":"Communications","DOI":"10.1515/commun-2017-0029","ISSN":"1613-4087","issue":"1","language":"en","license":"De Gruyter expressly reserves the right to use all content for commercial text and data mining within the meaning of Section 44b of the German Copyright Act.","page":"25-45","publisher":"De Gruyter Mouton","source":"www.degruyterbrill.com","title":"Issue ownership as a determinant of political parties’ media coverage","volume":"43","author":[{"family":"Camp","given":"Kirsten Van"}],"issued":{"date-parts":[["2018",3,1]]}}}],"schema":"https://github.com/citation-style-language/schema/raw/master/csl-citation.json"} </w:instrText>
      </w:r>
      <w:r>
        <w:rPr>
          <w:highlight w:val="yellow"/>
        </w:rPr>
        <w:fldChar w:fldCharType="separate"/>
      </w:r>
      <w:r>
        <w:rPr>
          <w:noProof/>
          <w:highlight w:val="yellow"/>
        </w:rPr>
        <w:t>(Camp, 2018)</w:t>
      </w:r>
      <w:r>
        <w:rPr>
          <w:highlight w:val="yellow"/>
        </w:rPr>
        <w:fldChar w:fldCharType="end"/>
      </w:r>
      <w:r w:rsidRPr="0056208C">
        <w:rPr>
          <w:highlight w:val="yellow"/>
        </w:rPr>
        <w:t>.</w:t>
      </w:r>
      <w:r>
        <w:rPr>
          <w:rFonts w:hint="eastAsia"/>
        </w:rPr>
        <w:t xml:space="preserve"> T</w:t>
      </w:r>
      <w:r>
        <w:t>h</w:t>
      </w:r>
      <w:r>
        <w:rPr>
          <w:rFonts w:hint="eastAsia"/>
        </w:rPr>
        <w:t xml:space="preserve">erefore, parties are incentivized to </w:t>
      </w:r>
      <w:r>
        <w:t>polarize</w:t>
      </w:r>
      <w:r>
        <w:rPr>
          <w:rFonts w:hint="eastAsia"/>
        </w:rPr>
        <w:t xml:space="preserve"> to mobilize the limited voter capital. </w:t>
      </w:r>
    </w:p>
    <w:p w14:paraId="4E954A2D" w14:textId="77777777" w:rsidR="00EE60D6" w:rsidRPr="00F3578A" w:rsidRDefault="00EE60D6" w:rsidP="00EE60D6"/>
    <w:p w14:paraId="504B73F8" w14:textId="77777777" w:rsidR="00EE60D6" w:rsidRPr="00646CF3" w:rsidRDefault="00EE60D6" w:rsidP="00EE60D6">
      <w:pPr>
        <w:rPr>
          <w:color w:val="1F1F1F"/>
        </w:rPr>
      </w:pPr>
      <w:r>
        <w:rPr>
          <w:rFonts w:hint="eastAsia"/>
        </w:rPr>
        <w:t xml:space="preserve">For voters, party cues can reduce the information demands of evaluating complex policies. It is well-known now that voters often use </w:t>
      </w:r>
      <w:r>
        <w:t>“</w:t>
      </w:r>
      <w:r>
        <w:rPr>
          <w:rFonts w:hint="eastAsia"/>
        </w:rPr>
        <w:t>cognitive heuristics</w:t>
      </w:r>
      <w:r>
        <w:t>”</w:t>
      </w:r>
      <w:r>
        <w:rPr>
          <w:rFonts w:hint="eastAsia"/>
        </w:rPr>
        <w:t xml:space="preserve"> to make various political decisions </w:t>
      </w:r>
      <w:r>
        <w:fldChar w:fldCharType="begin"/>
      </w:r>
      <w:r>
        <w:instrText xml:space="preserve"> ADDIN ZOTERO_ITEM CSL_CITATION {"citationID":"WkhLBvKg","properties":{"unsorted":false,"formattedCitation":"(Adams et al., 2016; Albright, 2009; Banerjee et al., 2011; Lau &amp; Redlawsk, 2001)","plainCitation":"(Adams et al., 2016; Albright, 2009; Banerjee et al., 2011; Lau &amp; Redlawsk, 2001)","noteIndex":0},"citationItems":[{"id":300,"uris":["http://zotero.org/users/6825464/items/3A3SEBD3"],"itemData":{"id":300,"type":"article-journal","abstract":"This article re-examines one of the most prominent theories explaining partisan dealignment in the advanced democracies: cognitive mobilization. Utilizing a diverse collection of cross-sectional and longitudinal data from a variety of countries, it is shown that measures of cognitive skills and access to mass media consistently predict an increase in the probability that a citizen will express an attachment to a party. What is more, this positive relationship is not diminishing over time. The essay concludes with a summary of key questions that remain about the relationship between political knowledge and party identification.","citation-key":"albrightDoesPoliticalKnowledge2009","container-title":"Electoral Studies","DOI":"10.1016/j.electstud.2009.01.001","ISSN":"0261-3794","issue":"2","journalAbbreviation":"Electoral Studies","page":"248-260","source":"ScienceDirect","title":"Does political knowledge erode party attachments?: A review of the cognitive mobilization thesis","title-short":"Does political knowledge erode party attachments?","volume":"28","author":[{"family":"Albright","given":"Jeremy J."}],"issued":{"date-parts":[["2009",6,1]]}}},{"id":486,"uris":["http://zotero.org/users/6825464/items/79NVQ2WG"],"itemData":{"id":486,"type":"article-journal","abstract":"In the run-up to elections in a large Indian city, we provided residents in a random sample of slums with newspapers containing report cards. The report cards presented information, obtained under India’s disclosure laws, on performance of the incumbent legislator and qualiﬁcations of the incumbent and two main challengers. Relative to the control slums, treatment slums saw higher turnout, reduced vote buying and higher voteshare for better performing incumbents. Voters exhibited sophistication in their use of information – they used heuristics on public good location to evaluate public good spending by the incumbent and used challenger qualiﬁcations as a yardstick to judge incumbents. These ﬁndings suggest a political environment in which (atleast some) voters seek to elect the most competent candidate but face voting costs.","citation-key":"banerjeeInformedVotersMake2011","language":"en","page":"42","source":"Zotero","title":"Do Informed Voters Make Better Choices? Experimental Evidence from Urban India","author":[{"family":"Banerjee","given":"Abhijit V"},{"family":"Kumar","given":"Selvan"},{"family":"Pande","given":"Rohini"},{"family":"Su","given":"Felix"}],"issued":{"date-parts":[["2011"]]}}},{"id":1504,"uris":["http://zotero.org/users/6825464/items/MAX6GIB9"],"itemData":{"id":1504,"type":"article-journal","abstract":"Recent studies document that voters infer parties' left-right positions from governing coalition arrangements. We show that citizens extend this coalition-based heuristic to the European integration dimension and, furthermore, that citizens' coalition-based inferences on this issue conflict with alternative measures of party positions derived from election manifestos and expert placements. We also show that citizens' perceptions of party positions on Europe matter, in that they drive substantial partisan sorting in the electorate. Our findings have implications for parties' election strategies and for mass-elite policy linkages. [ABSTRACT FROM AUTHOR]","citation-key":"adamsCompanyYouKeep2016","container-title":"American Journal of Political Science","DOI":"10.1111/ajps.12231","issue":"4","note":"DOI: 10.1111/ajps.12231\nMAG ID: 2175683600","page":"811-823","title":"The Company You Keep: How Voters Infer Party Positions on European Integration from Governing Coalition Arrangements","volume":"60","author":[{"family":"Adams","given":"James"},{"family":"Ezrow","given":"Lawrence"},{"family":"Wlezien","given":"Christopher"}],"issued":{"date-parts":[["2016",10,1]]}}},{"id":1179,"uris":["http://zotero.org/users/6825464/items/MMU7NXGA"],"itemData":{"id":1179,"type":"article-journal","citation-key":"lauAdvantagesDisadvantagesCognitive2001","container-title":"American journal of political science","page":"951–971","publisher":"JSTOR","source":"Google Scholar","title":"Advantages and disadvantages of cognitive heuristics in political decision making","author":[{"family":"Lau","given":"Richard R."},{"family":"Redlawsk","given":"David P."}],"issued":{"date-parts":[["2001"]]}}}],"schema":"https://github.com/citation-style-language/schema/raw/master/csl-citation.json"} </w:instrText>
      </w:r>
      <w:r>
        <w:fldChar w:fldCharType="separate"/>
      </w:r>
      <w:r w:rsidRPr="00CD1D59">
        <w:t>(Adams et al., 2016; Albright, 2009; Banerjee et al., 2011; Lau &amp; Redlawsk, 2001)</w:t>
      </w:r>
      <w:r>
        <w:fldChar w:fldCharType="end"/>
      </w:r>
      <w:r>
        <w:rPr>
          <w:rFonts w:hint="eastAsia"/>
        </w:rPr>
        <w:t xml:space="preserve">, from what information to look for </w:t>
      </w:r>
      <w:r>
        <w:fldChar w:fldCharType="begin"/>
      </w:r>
      <w:r>
        <w:instrText xml:space="preserve"> ADDIN ZOTERO_ITEM CSL_CITATION {"citationID":"8mz2P7aK","properties":{"unsorted":false,"formattedCitation":"(Dancey &amp; Goren, 2010)","plainCitation":"(Dancey &amp; Goren, 2010)","noteIndex":0},"citationItems":[{"id":55,"uris":["http://zotero.org/users/6825464/items/QMP35BIZ"],"itemData":{"id":55,"type":"article-journal","abstract":"This article investigates whether media coverage of elite debate surrounding an issue moderates the relationship between individual-level partisan identities and issue preferences. We posit that when the news media cover debate among partisan elites on a given issue, citizens update their party identities and issue attitudes. We test this proposition for a quartet of prominent issues debated during the first Clinton term: health care reform, welfare reform, gay rights, and affirmative action. Drawing on data from the Vanderbilt Television News Archives and the 1992-93-94-96 NES panel, we demonstrate that when partisan debate on an important issue receives extensive media coverage, partisanship systematically affects—and is affected by—issue attitudes. When the issue is not being contested, dynamic updating between party ties and issue attitudes ceases.","citation-key":"danceyPartyIdentificationIssue2010","container-title":"American Journal of Political Science","DOI":"10.1111/j.1540-5907.2010.00454.x","ISSN":"1540-5907","issue":"3","language":"en","license":"©2010, Midwest Political Science Association","page":"686-699","source":"Wiley Online Library","title":"Party Identification, Issue Attitudes, and the Dynamics of Political Debate","volume":"54","author":[{"family":"Dancey","given":"Logan"},{"family":"Goren","given":"Paul"}],"issued":{"date-parts":[["2010"]]}}}],"schema":"https://github.com/citation-style-language/schema/raw/master/csl-citation.json"} </w:instrText>
      </w:r>
      <w:r>
        <w:fldChar w:fldCharType="separate"/>
      </w:r>
      <w:r w:rsidRPr="00863632">
        <w:t>(Dancey &amp; Goren, 2010)</w:t>
      </w:r>
      <w:r>
        <w:fldChar w:fldCharType="end"/>
      </w:r>
      <w:r>
        <w:rPr>
          <w:rFonts w:hint="eastAsia"/>
        </w:rPr>
        <w:t xml:space="preserve"> to which candidate to vote for </w:t>
      </w:r>
      <w:r>
        <w:fldChar w:fldCharType="begin"/>
      </w:r>
      <w:r>
        <w:instrText xml:space="preserve"> ADDIN ZOTERO_ITEM CSL_CITATION {"citationID":"BTQirZJ0","properties":{"unsorted":false,"formattedCitation":"(Downs, 1957)","plainCitation":"(Downs, 1957)","noteIndex":0},"citationItems":[{"id":8378,"uris":["http://zotero.org/users/6825464/items/3V5P4DZI"],"itemData":{"id":8378,"type":"article-journal","citation-key":"downsEconomicTheoryPolitical1957","container-title":"Journal of Political Economy","DOI":"10.1086/257897","ISSN":"0022-3808, 1537-534X","issue":"2","journalAbbreviation":"Journal of Political Economy","language":"en","page":"135-150","source":"DOI.org (Crossref)","title":"An Economic Theory of Political Action in a Democracy","volume":"65","author":[{"family":"Downs","given":"Anthony"}],"issued":{"date-parts":[["1957",4]]}}}],"schema":"https://github.com/citation-style-language/schema/raw/master/csl-citation.json"} </w:instrText>
      </w:r>
      <w:r>
        <w:fldChar w:fldCharType="separate"/>
      </w:r>
      <w:r w:rsidRPr="00B2441C">
        <w:t>(Downs, 1957)</w:t>
      </w:r>
      <w:r>
        <w:fldChar w:fldCharType="end"/>
      </w:r>
      <w:r>
        <w:rPr>
          <w:rFonts w:hint="eastAsia"/>
        </w:rPr>
        <w:t xml:space="preserve">. In fact, being more </w:t>
      </w:r>
      <w:r>
        <w:t>politically</w:t>
      </w:r>
      <w:r>
        <w:rPr>
          <w:rFonts w:hint="eastAsia"/>
        </w:rPr>
        <w:t xml:space="preserve"> sophisticated or informed does not </w:t>
      </w:r>
      <w:r>
        <w:t>guarantee</w:t>
      </w:r>
      <w:r>
        <w:rPr>
          <w:rFonts w:hint="eastAsia"/>
        </w:rPr>
        <w:t xml:space="preserve"> better normative political decisions than simply relying on heuristics cues such as party brands,</w:t>
      </w:r>
      <w:r w:rsidRPr="001D38D4">
        <w:t xml:space="preserve"> yet it can exponentially increase</w:t>
      </w:r>
      <w:r>
        <w:rPr>
          <w:rFonts w:hint="eastAsia"/>
        </w:rPr>
        <w:t xml:space="preserve"> </w:t>
      </w:r>
      <w:r>
        <w:t>cognitive</w:t>
      </w:r>
      <w:r>
        <w:rPr>
          <w:rFonts w:hint="eastAsia"/>
        </w:rPr>
        <w:t xml:space="preserve"> costs in a market that enables </w:t>
      </w:r>
      <w:r w:rsidRPr="009217D3">
        <w:t>parties to profit from</w:t>
      </w:r>
      <w:r>
        <w:rPr>
          <w:rFonts w:hint="eastAsia"/>
        </w:rPr>
        <w:t xml:space="preserve"> increasing competition and information </w:t>
      </w:r>
      <w:r>
        <w:fldChar w:fldCharType="begin"/>
      </w:r>
      <w:r>
        <w:instrText xml:space="preserve"> ADDIN ZOTERO_ITEM CSL_CITATION {"citationID":"8F7kfdhh","properties":{"unsorted":false,"formattedCitation":"(Banerjee et al., 2011; Lau &amp; Redlawsk, 2001)","plainCitation":"(Banerjee et al., 2011; Lau &amp; Redlawsk, 2001)","noteIndex":0},"citationItems":[{"id":486,"uris":["http://zotero.org/users/6825464/items/79NVQ2WG"],"itemData":{"id":486,"type":"article-journal","abstract":"In the run-up to elections in a large Indian city, we provided residents in a random sample of slums with newspapers containing report cards. The report cards presented information, obtained under India’s disclosure laws, on performance of the incumbent legislator and qualiﬁcations of the incumbent and two main challengers. Relative to the control slums, treatment slums saw higher turnout, reduced vote buying and higher voteshare for better performing incumbents. Voters exhibited sophistication in their use of information – they used heuristics on public good location to evaluate public good spending by the incumbent and used challenger qualiﬁcations as a yardstick to judge incumbents. These ﬁndings suggest a political environment in which (atleast some) voters seek to elect the most competent candidate but face voting costs.","citation-key":"banerjeeInformedVotersMake2011","language":"en","page":"42","source":"Zotero","title":"Do Informed Voters Make Better Choices? Experimental Evidence from Urban India","author":[{"family":"Banerjee","given":"Abhijit V"},{"family":"Kumar","given":"Selvan"},{"family":"Pande","given":"Rohini"},{"family":"Su","given":"Felix"}],"issued":{"date-parts":[["2011"]]}}},{"id":1179,"uris":["http://zotero.org/users/6825464/items/MMU7NXGA"],"itemData":{"id":1179,"type":"article-journal","citation-key":"lauAdvantagesDisadvantagesCognitive2001","container-title":"American journal of political science","page":"951–971","publisher":"JSTOR","source":"Google Scholar","title":"Advantages and disadvantages of cognitive heuristics in political decision making","author":[{"family":"Lau","given":"Richard R."},{"family":"Redlawsk","given":"David P."}],"issued":{"date-parts":[["2001"]]}}}],"schema":"https://github.com/citation-style-language/schema/raw/master/csl-citation.json"} </w:instrText>
      </w:r>
      <w:r>
        <w:fldChar w:fldCharType="separate"/>
      </w:r>
      <w:r w:rsidRPr="00925495">
        <w:t>(Banerjee et al., 2011; Lau &amp; Redlawsk, 2001)</w:t>
      </w:r>
      <w:r>
        <w:fldChar w:fldCharType="end"/>
      </w:r>
      <w:r>
        <w:rPr>
          <w:rFonts w:hint="eastAsia"/>
        </w:rPr>
        <w:t xml:space="preserve">. </w:t>
      </w:r>
      <w:r w:rsidRPr="00BD3DD8">
        <w:rPr>
          <w:rFonts w:hint="eastAsia"/>
          <w:highlight w:val="yellow"/>
        </w:rPr>
        <w:t>Nevertheless, the effect of party cues are</w:t>
      </w:r>
      <w:r w:rsidRPr="00BD3DD8">
        <w:rPr>
          <w:color w:val="1F1F1F"/>
          <w:highlight w:val="yellow"/>
        </w:rPr>
        <w:t xml:space="preserve"> </w:t>
      </w:r>
      <w:r w:rsidRPr="00BD3DD8">
        <w:rPr>
          <w:highlight w:val="yellow"/>
        </w:rPr>
        <w:t>constrained</w:t>
      </w:r>
      <w:r w:rsidRPr="00BD3DD8">
        <w:rPr>
          <w:color w:val="1F1F1F"/>
          <w:highlight w:val="yellow"/>
        </w:rPr>
        <w:t xml:space="preserve"> </w:t>
      </w:r>
      <w:r w:rsidRPr="00BD3DD8">
        <w:rPr>
          <w:highlight w:val="yellow"/>
        </w:rPr>
        <w:t>by</w:t>
      </w:r>
      <w:r w:rsidRPr="00BD3DD8">
        <w:rPr>
          <w:color w:val="1F1F1F"/>
          <w:highlight w:val="yellow"/>
        </w:rPr>
        <w:t xml:space="preserve"> </w:t>
      </w:r>
      <w:r w:rsidRPr="00BD3DD8">
        <w:rPr>
          <w:highlight w:val="yellow"/>
        </w:rPr>
        <w:t>competing</w:t>
      </w:r>
      <w:r w:rsidRPr="00BD3DD8">
        <w:rPr>
          <w:color w:val="1F1F1F"/>
          <w:highlight w:val="yellow"/>
        </w:rPr>
        <w:t xml:space="preserve"> </w:t>
      </w:r>
      <w:r w:rsidRPr="00BD3DD8">
        <w:rPr>
          <w:highlight w:val="yellow"/>
        </w:rPr>
        <w:t>identities,</w:t>
      </w:r>
      <w:r w:rsidRPr="00BD3DD8">
        <w:rPr>
          <w:color w:val="1F1F1F"/>
          <w:highlight w:val="yellow"/>
        </w:rPr>
        <w:t xml:space="preserve"> </w:t>
      </w:r>
      <w:r w:rsidRPr="00BD3DD8">
        <w:rPr>
          <w:highlight w:val="yellow"/>
        </w:rPr>
        <w:t>accuracy</w:t>
      </w:r>
      <w:r w:rsidRPr="00BD3DD8">
        <w:rPr>
          <w:color w:val="1F1F1F"/>
          <w:highlight w:val="yellow"/>
        </w:rPr>
        <w:t xml:space="preserve"> </w:t>
      </w:r>
      <w:r w:rsidRPr="00BD3DD8">
        <w:rPr>
          <w:highlight w:val="yellow"/>
        </w:rPr>
        <w:t>goals,</w:t>
      </w:r>
      <w:r w:rsidRPr="00BD3DD8">
        <w:rPr>
          <w:color w:val="1F1F1F"/>
          <w:highlight w:val="yellow"/>
        </w:rPr>
        <w:t xml:space="preserve"> </w:t>
      </w:r>
      <w:r w:rsidRPr="00BD3DD8">
        <w:rPr>
          <w:highlight w:val="yellow"/>
        </w:rPr>
        <w:t>ambivalence,</w:t>
      </w:r>
      <w:r w:rsidRPr="00BD3DD8">
        <w:rPr>
          <w:color w:val="1F1F1F"/>
          <w:highlight w:val="yellow"/>
        </w:rPr>
        <w:t xml:space="preserve"> </w:t>
      </w:r>
      <w:r w:rsidRPr="00BD3DD8">
        <w:rPr>
          <w:highlight w:val="yellow"/>
        </w:rPr>
        <w:t>contradictory</w:t>
      </w:r>
      <w:r w:rsidRPr="00BD3DD8">
        <w:rPr>
          <w:color w:val="1F1F1F"/>
          <w:highlight w:val="yellow"/>
        </w:rPr>
        <w:t xml:space="preserve"> </w:t>
      </w:r>
      <w:r w:rsidRPr="00BD3DD8">
        <w:rPr>
          <w:highlight w:val="yellow"/>
        </w:rPr>
        <w:t>information,</w:t>
      </w:r>
      <w:r w:rsidRPr="00BD3DD8">
        <w:rPr>
          <w:color w:val="1F1F1F"/>
          <w:highlight w:val="yellow"/>
        </w:rPr>
        <w:t xml:space="preserve"> </w:t>
      </w:r>
      <w:r w:rsidRPr="00BD3DD8">
        <w:rPr>
          <w:highlight w:val="yellow"/>
        </w:rPr>
        <w:t>and</w:t>
      </w:r>
      <w:r w:rsidRPr="00BD3DD8">
        <w:rPr>
          <w:color w:val="1F1F1F"/>
          <w:highlight w:val="yellow"/>
        </w:rPr>
        <w:t xml:space="preserve"> </w:t>
      </w:r>
      <w:r w:rsidRPr="00BD3DD8">
        <w:rPr>
          <w:highlight w:val="yellow"/>
        </w:rPr>
        <w:t>reality</w:t>
      </w:r>
      <w:r w:rsidRPr="00BD3DD8">
        <w:rPr>
          <w:color w:val="1F1F1F"/>
          <w:highlight w:val="yellow"/>
        </w:rPr>
        <w:t xml:space="preserve"> </w:t>
      </w:r>
      <w:r w:rsidRPr="00BD3DD8">
        <w:rPr>
          <w:highlight w:val="yellow"/>
        </w:rPr>
        <w:t>constraints</w:t>
      </w:r>
      <w:r w:rsidRPr="00BD3DD8">
        <w:rPr>
          <w:color w:val="1F1F1F"/>
          <w:highlight w:val="yellow"/>
        </w:rPr>
        <w:t xml:space="preserve"> </w:t>
      </w:r>
      <w:r w:rsidRPr="00BD3DD8">
        <w:rPr>
          <w:color w:val="1F1F1F"/>
          <w:highlight w:val="yellow"/>
        </w:rPr>
        <w:fldChar w:fldCharType="begin"/>
      </w:r>
      <w:r w:rsidRPr="00BD3DD8">
        <w:rPr>
          <w:color w:val="1F1F1F"/>
          <w:highlight w:val="yellow"/>
        </w:rPr>
        <w:instrText xml:space="preserve"> ADDIN ZOTERO_ITEM CSL_CITATION {"citationID":"lL6qd9xn","properties":{"unsorted":false,"formattedCitation":"(Leeper &amp; Slothuus, 2014)","plainCitation":"(Leeper &amp; Slothuus, 2014)","noteIndex":0},"citationItems":[{"id":63,"uris":["http://zotero.org/users/6825464/items/DWCRFD5U"],"itemData":{"id":63,"type":"article-journal","abstract":"A key characteristic of democratic politics is competition between groups, first of all political parties. Yet, the unavoidably partisan nature of political conflict has had too little influence on scholarship on political psychology. Despite more than 50 years of research on political parties and citizens, we continue to lack a systematic understanding of when and how political parties influence public opinion. We suggest that alternative approaches to political parties and public opinion can be best reconciled and examined through a richer theoretical perspective grounded in motivated reasoning theory. Clearly, parties shape citizens' opinions by mobilizing, influencing, and structuring choices among political alternatives. But the answer to\n              when\n              and\n              how\n              parties influence citizens' reasoning and political opinions depends on an interaction between citizens' motivations, effort, and information generated from the political environment (particularly through competition between parties). The contribution of motivated reasoning, as we describe it, is to provide a coherent theoretical framework for understanding partisa</w:instrText>
      </w:r>
      <w:r w:rsidRPr="00BD3DD8">
        <w:rPr>
          <w:rFonts w:hint="eastAsia"/>
          <w:color w:val="1F1F1F"/>
          <w:highlight w:val="yellow"/>
        </w:rPr>
        <w:instrText>n influence on citizens' political opinions. We review recent empirical work consistent with this framework. We also point out puzzles ripe for future research and discuss how partisan</w:instrText>
      </w:r>
      <w:r w:rsidRPr="00BD3DD8">
        <w:rPr>
          <w:rFonts w:hint="eastAsia"/>
          <w:color w:val="1F1F1F"/>
          <w:highlight w:val="yellow"/>
        </w:rPr>
        <w:instrText>‐</w:instrText>
      </w:r>
      <w:r w:rsidRPr="00BD3DD8">
        <w:rPr>
          <w:rFonts w:hint="eastAsia"/>
          <w:color w:val="1F1F1F"/>
          <w:highlight w:val="yellow"/>
        </w:rPr>
        <w:instrText>motivated reasoning provides a useful point of departure for such work</w:instrText>
      </w:r>
      <w:r w:rsidRPr="00BD3DD8">
        <w:rPr>
          <w:color w:val="1F1F1F"/>
          <w:highlight w:val="yellow"/>
        </w:rPr>
        <w:instrText xml:space="preserve">.","citation-key":"leeperPoliticalPartiesMotivated2014","container-title":"Political Psychology","DOI":"10.1111/pops.12164","ISSN":"0162-895X, 1467-9221","issue":"S1","journalAbbreviation":"Political Psychology","language":"en","page":"129-156","source":"DOI.org (Crossref)","title":"Political Parties, Motivated Reasoning, and Public Opinion Formation","volume":"35","author":[{"family":"Leeper","given":"Thomas J."},{"family":"Slothuus","given":"Rune"}],"issued":{"date-parts":[["2014",2]]}}}],"schema":"https://github.com/citation-style-language/schema/raw/master/csl-citation.json"} </w:instrText>
      </w:r>
      <w:r w:rsidRPr="00BD3DD8">
        <w:rPr>
          <w:color w:val="1F1F1F"/>
          <w:highlight w:val="yellow"/>
        </w:rPr>
        <w:fldChar w:fldCharType="separate"/>
      </w:r>
      <w:r w:rsidRPr="00BD3DD8">
        <w:rPr>
          <w:noProof/>
          <w:color w:val="1F1F1F"/>
          <w:highlight w:val="yellow"/>
        </w:rPr>
        <w:t>(Leeper &amp; Slothuus, 2014)</w:t>
      </w:r>
      <w:r w:rsidRPr="00BD3DD8">
        <w:rPr>
          <w:color w:val="1F1F1F"/>
          <w:highlight w:val="yellow"/>
        </w:rPr>
        <w:fldChar w:fldCharType="end"/>
      </w:r>
      <w:r w:rsidRPr="00BD3DD8">
        <w:rPr>
          <w:highlight w:val="yellow"/>
        </w:rPr>
        <w:t>. Across</w:t>
      </w:r>
      <w:r w:rsidRPr="00BD3DD8">
        <w:rPr>
          <w:color w:val="1F1F1F"/>
          <w:highlight w:val="yellow"/>
        </w:rPr>
        <w:t xml:space="preserve"> </w:t>
      </w:r>
      <w:r w:rsidRPr="00BD3DD8">
        <w:rPr>
          <w:highlight w:val="yellow"/>
        </w:rPr>
        <w:t>nine</w:t>
      </w:r>
      <w:r w:rsidRPr="00BD3DD8">
        <w:rPr>
          <w:color w:val="1F1F1F"/>
          <w:highlight w:val="yellow"/>
        </w:rPr>
        <w:t xml:space="preserve"> </w:t>
      </w:r>
      <w:r w:rsidRPr="00BD3DD8">
        <w:rPr>
          <w:highlight w:val="yellow"/>
        </w:rPr>
        <w:t>United</w:t>
      </w:r>
      <w:r w:rsidRPr="00BD3DD8">
        <w:rPr>
          <w:color w:val="1F1F1F"/>
          <w:highlight w:val="yellow"/>
        </w:rPr>
        <w:t xml:space="preserve"> </w:t>
      </w:r>
      <w:r w:rsidRPr="00BD3DD8">
        <w:rPr>
          <w:highlight w:val="yellow"/>
        </w:rPr>
        <w:t>States</w:t>
      </w:r>
      <w:r w:rsidRPr="00BD3DD8">
        <w:rPr>
          <w:color w:val="1F1F1F"/>
          <w:highlight w:val="yellow"/>
        </w:rPr>
        <w:t xml:space="preserve"> </w:t>
      </w:r>
      <w:r w:rsidRPr="00BD3DD8">
        <w:rPr>
          <w:highlight w:val="yellow"/>
        </w:rPr>
        <w:t>foreign-policy</w:t>
      </w:r>
      <w:r w:rsidRPr="00BD3DD8">
        <w:rPr>
          <w:color w:val="1F1F1F"/>
          <w:highlight w:val="yellow"/>
        </w:rPr>
        <w:t xml:space="preserve"> </w:t>
      </w:r>
      <w:r w:rsidRPr="00BD3DD8">
        <w:rPr>
          <w:highlight w:val="yellow"/>
        </w:rPr>
        <w:t>experiments</w:t>
      </w:r>
      <w:r w:rsidRPr="00BD3DD8">
        <w:rPr>
          <w:color w:val="1F1F1F"/>
          <w:highlight w:val="yellow"/>
        </w:rPr>
        <w:t xml:space="preserve"> </w:t>
      </w:r>
      <w:r w:rsidRPr="00BD3DD8">
        <w:rPr>
          <w:highlight w:val="yellow"/>
        </w:rPr>
        <w:t>that</w:t>
      </w:r>
      <w:r w:rsidRPr="00BD3DD8">
        <w:rPr>
          <w:color w:val="1F1F1F"/>
          <w:highlight w:val="yellow"/>
        </w:rPr>
        <w:t xml:space="preserve"> </w:t>
      </w:r>
      <w:r w:rsidRPr="00BD3DD8">
        <w:rPr>
          <w:highlight w:val="yellow"/>
        </w:rPr>
        <w:t>held</w:t>
      </w:r>
      <w:r w:rsidRPr="00BD3DD8">
        <w:rPr>
          <w:color w:val="1F1F1F"/>
          <w:highlight w:val="yellow"/>
        </w:rPr>
        <w:t xml:space="preserve"> </w:t>
      </w:r>
      <w:r w:rsidRPr="00BD3DD8">
        <w:rPr>
          <w:highlight w:val="yellow"/>
        </w:rPr>
        <w:t>substantive</w:t>
      </w:r>
      <w:r w:rsidRPr="00BD3DD8">
        <w:rPr>
          <w:color w:val="1F1F1F"/>
          <w:highlight w:val="yellow"/>
        </w:rPr>
        <w:t xml:space="preserve"> </w:t>
      </w:r>
      <w:r w:rsidRPr="00BD3DD8">
        <w:rPr>
          <w:highlight w:val="yellow"/>
        </w:rPr>
        <w:t>information</w:t>
      </w:r>
      <w:r w:rsidRPr="00BD3DD8">
        <w:rPr>
          <w:color w:val="1F1F1F"/>
          <w:highlight w:val="yellow"/>
        </w:rPr>
        <w:t xml:space="preserve"> </w:t>
      </w:r>
      <w:r w:rsidRPr="00BD3DD8">
        <w:rPr>
          <w:highlight w:val="yellow"/>
        </w:rPr>
        <w:t>constant</w:t>
      </w:r>
      <w:r w:rsidRPr="00BD3DD8">
        <w:rPr>
          <w:color w:val="1F1F1F"/>
          <w:highlight w:val="yellow"/>
        </w:rPr>
        <w:t xml:space="preserve"> </w:t>
      </w:r>
      <w:r w:rsidRPr="00BD3DD8">
        <w:rPr>
          <w:highlight w:val="yellow"/>
        </w:rPr>
        <w:t>while</w:t>
      </w:r>
      <w:r w:rsidRPr="00BD3DD8">
        <w:rPr>
          <w:color w:val="1F1F1F"/>
          <w:highlight w:val="yellow"/>
        </w:rPr>
        <w:t xml:space="preserve"> </w:t>
      </w:r>
      <w:r w:rsidRPr="00BD3DD8">
        <w:rPr>
          <w:highlight w:val="yellow"/>
        </w:rPr>
        <w:t>varying</w:t>
      </w:r>
      <w:r w:rsidRPr="00BD3DD8">
        <w:rPr>
          <w:color w:val="1F1F1F"/>
          <w:highlight w:val="yellow"/>
        </w:rPr>
        <w:t xml:space="preserve"> </w:t>
      </w:r>
      <w:r w:rsidRPr="00BD3DD8">
        <w:rPr>
          <w:highlight w:val="yellow"/>
        </w:rPr>
        <w:t>its</w:t>
      </w:r>
      <w:r w:rsidRPr="00BD3DD8">
        <w:rPr>
          <w:color w:val="1F1F1F"/>
          <w:highlight w:val="yellow"/>
        </w:rPr>
        <w:t xml:space="preserve"> </w:t>
      </w:r>
      <w:r w:rsidRPr="00BD3DD8">
        <w:rPr>
          <w:highlight w:val="yellow"/>
        </w:rPr>
        <w:t>generic,</w:t>
      </w:r>
      <w:r w:rsidRPr="00BD3DD8">
        <w:rPr>
          <w:color w:val="1F1F1F"/>
          <w:highlight w:val="yellow"/>
        </w:rPr>
        <w:t xml:space="preserve"> </w:t>
      </w:r>
      <w:r w:rsidRPr="00BD3DD8">
        <w:rPr>
          <w:highlight w:val="yellow"/>
        </w:rPr>
        <w:t>Democratic,</w:t>
      </w:r>
      <w:r w:rsidRPr="00BD3DD8">
        <w:rPr>
          <w:color w:val="1F1F1F"/>
          <w:highlight w:val="yellow"/>
        </w:rPr>
        <w:t xml:space="preserve"> </w:t>
      </w:r>
      <w:r w:rsidRPr="00BD3DD8">
        <w:rPr>
          <w:highlight w:val="yellow"/>
        </w:rPr>
        <w:t>or</w:t>
      </w:r>
      <w:r w:rsidRPr="00BD3DD8">
        <w:rPr>
          <w:color w:val="1F1F1F"/>
          <w:highlight w:val="yellow"/>
        </w:rPr>
        <w:t xml:space="preserve"> </w:t>
      </w:r>
      <w:r w:rsidRPr="00BD3DD8">
        <w:rPr>
          <w:highlight w:val="yellow"/>
        </w:rPr>
        <w:t>Republican</w:t>
      </w:r>
      <w:r w:rsidRPr="00BD3DD8">
        <w:rPr>
          <w:color w:val="1F1F1F"/>
          <w:highlight w:val="yellow"/>
        </w:rPr>
        <w:t xml:space="preserve"> </w:t>
      </w:r>
      <w:r w:rsidRPr="00BD3DD8">
        <w:rPr>
          <w:highlight w:val="yellow"/>
        </w:rPr>
        <w:t>attribution,</w:t>
      </w:r>
      <w:r w:rsidRPr="00BD3DD8">
        <w:rPr>
          <w:color w:val="1F1F1F"/>
          <w:highlight w:val="yellow"/>
        </w:rPr>
        <w:t xml:space="preserve"> </w:t>
      </w:r>
      <w:r w:rsidRPr="00BD3DD8">
        <w:rPr>
          <w:highlight w:val="yellow"/>
        </w:rPr>
        <w:t>cue</w:t>
      </w:r>
      <w:r w:rsidRPr="00BD3DD8">
        <w:rPr>
          <w:color w:val="1F1F1F"/>
          <w:highlight w:val="yellow"/>
        </w:rPr>
        <w:t xml:space="preserve"> </w:t>
      </w:r>
      <w:r w:rsidRPr="00BD3DD8">
        <w:rPr>
          <w:highlight w:val="yellow"/>
        </w:rPr>
        <w:t>effects</w:t>
      </w:r>
      <w:r w:rsidRPr="00BD3DD8">
        <w:rPr>
          <w:color w:val="1F1F1F"/>
          <w:highlight w:val="yellow"/>
        </w:rPr>
        <w:t xml:space="preserve"> </w:t>
      </w:r>
      <w:r w:rsidRPr="00BD3DD8">
        <w:rPr>
          <w:highlight w:val="yellow"/>
        </w:rPr>
        <w:t>differed</w:t>
      </w:r>
      <w:r w:rsidRPr="00BD3DD8">
        <w:rPr>
          <w:color w:val="1F1F1F"/>
          <w:highlight w:val="yellow"/>
        </w:rPr>
        <w:t xml:space="preserve"> </w:t>
      </w:r>
      <w:r w:rsidRPr="00BD3DD8">
        <w:rPr>
          <w:highlight w:val="yellow"/>
        </w:rPr>
        <w:t>with</w:t>
      </w:r>
      <w:r w:rsidRPr="00BD3DD8">
        <w:rPr>
          <w:color w:val="1F1F1F"/>
          <w:highlight w:val="yellow"/>
        </w:rPr>
        <w:t xml:space="preserve"> </w:t>
      </w:r>
      <w:r w:rsidRPr="00BD3DD8">
        <w:rPr>
          <w:highlight w:val="yellow"/>
        </w:rPr>
        <w:t>baseline</w:t>
      </w:r>
      <w:r w:rsidRPr="00BD3DD8">
        <w:rPr>
          <w:color w:val="1F1F1F"/>
          <w:highlight w:val="yellow"/>
        </w:rPr>
        <w:t xml:space="preserve"> </w:t>
      </w:r>
      <w:r w:rsidRPr="00BD3DD8">
        <w:rPr>
          <w:highlight w:val="yellow"/>
        </w:rPr>
        <w:t>disagreement</w:t>
      </w:r>
      <w:r w:rsidRPr="00BD3DD8">
        <w:rPr>
          <w:color w:val="1F1F1F"/>
          <w:highlight w:val="yellow"/>
        </w:rPr>
        <w:t xml:space="preserve"> </w:t>
      </w:r>
      <w:r w:rsidRPr="00BD3DD8">
        <w:rPr>
          <w:highlight w:val="yellow"/>
        </w:rPr>
        <w:t>and</w:t>
      </w:r>
      <w:r w:rsidRPr="00BD3DD8">
        <w:rPr>
          <w:color w:val="1F1F1F"/>
          <w:highlight w:val="yellow"/>
        </w:rPr>
        <w:t xml:space="preserve"> </w:t>
      </w:r>
      <w:r w:rsidRPr="00BD3DD8">
        <w:rPr>
          <w:highlight w:val="yellow"/>
        </w:rPr>
        <w:t>partisan</w:t>
      </w:r>
      <w:r w:rsidRPr="00BD3DD8">
        <w:rPr>
          <w:color w:val="1F1F1F"/>
          <w:highlight w:val="yellow"/>
        </w:rPr>
        <w:t xml:space="preserve"> </w:t>
      </w:r>
      <w:r w:rsidRPr="00BD3DD8">
        <w:rPr>
          <w:highlight w:val="yellow"/>
        </w:rPr>
        <w:t>polarization</w:t>
      </w:r>
      <w:r w:rsidRPr="00BD3DD8">
        <w:rPr>
          <w:color w:val="1F1F1F"/>
          <w:highlight w:val="yellow"/>
        </w:rPr>
        <w:t xml:space="preserve"> </w:t>
      </w:r>
      <w:r w:rsidRPr="00BD3DD8">
        <w:rPr>
          <w:highlight w:val="yellow"/>
        </w:rPr>
        <w:t>across</w:t>
      </w:r>
      <w:r w:rsidRPr="00BD3DD8">
        <w:rPr>
          <w:color w:val="1F1F1F"/>
          <w:highlight w:val="yellow"/>
        </w:rPr>
        <w:t xml:space="preserve"> </w:t>
      </w:r>
      <w:r w:rsidRPr="00BD3DD8">
        <w:rPr>
          <w:highlight w:val="yellow"/>
        </w:rPr>
        <w:t>issues</w:t>
      </w:r>
      <w:r w:rsidRPr="00BD3DD8">
        <w:rPr>
          <w:rFonts w:hint="eastAsia"/>
          <w:highlight w:val="yellow"/>
        </w:rPr>
        <w:t xml:space="preserve"> </w:t>
      </w:r>
      <w:r w:rsidRPr="00BD3DD8">
        <w:rPr>
          <w:highlight w:val="yellow"/>
        </w:rPr>
        <w:fldChar w:fldCharType="begin"/>
      </w:r>
      <w:r w:rsidRPr="00BD3DD8">
        <w:rPr>
          <w:highlight w:val="yellow"/>
        </w:rPr>
        <w:instrText xml:space="preserve"> ADDIN ZOTERO_ITEM CSL_CITATION {"citationID":"jJSAi8N0","properties":{"unsorted":false,"formattedCitation":"(Guisinger &amp; Saunders, 2017)","plainCitation":"(Guisinger &amp; Saunders, 2017)","noteIndex":0},"citationItems":[{"id":8371,"uris":["http://zotero.org/users/6825464/items/9KVRNHMR"],"itemData":{"id":8371,"type":"article-journal","abstract":"When and how do elite messages shape mass opinion on international issues? Do informational or partisan components of elite cues dominate? Recent survey ex","citation-key":"guisingerMappingBoundariesElite2017","container-title":"International Studies Quarterly","DOI":"10.1093/isq/sqx022","ISSN":"0020-8833","issue":"2","journalAbbreviation":"Int Stud Q","language":"en","page":"425-441","publisher":"Oxford Academic","source":"academic.oup.com","title":"Mapping the Boundaries of Elite Cues: How Elites Shape Mass Opinion across International Issues","title-short":"Mapping the Boundaries of Elite Cues","volume":"61","author":[{"family":"Guisinger","given":"Alexandra"},{"family":"Saunders","given":"Elizabeth N."}],"issued":{"date-parts":[["2017",6,1]]}}}],"schema":"https://github.com/citation-style-language/schema/raw/master/csl-citation.json"} </w:instrText>
      </w:r>
      <w:r w:rsidRPr="00BD3DD8">
        <w:rPr>
          <w:highlight w:val="yellow"/>
        </w:rPr>
        <w:fldChar w:fldCharType="separate"/>
      </w:r>
      <w:r w:rsidRPr="00BD3DD8">
        <w:rPr>
          <w:noProof/>
          <w:highlight w:val="yellow"/>
        </w:rPr>
        <w:t>(Guisinger &amp; Saunders, 2017)</w:t>
      </w:r>
      <w:r w:rsidRPr="00BD3DD8">
        <w:rPr>
          <w:highlight w:val="yellow"/>
        </w:rPr>
        <w:fldChar w:fldCharType="end"/>
      </w:r>
      <w:r w:rsidRPr="00BD3DD8">
        <w:rPr>
          <w:rFonts w:hint="eastAsia"/>
          <w:highlight w:val="yellow"/>
        </w:rPr>
        <w:t>.</w:t>
      </w:r>
      <w:r w:rsidRPr="00BD3DD8">
        <w:rPr>
          <w:rFonts w:hint="eastAsia"/>
          <w:color w:val="1F1F1F"/>
          <w:highlight w:val="yellow"/>
        </w:rPr>
        <w:t xml:space="preserve"> </w:t>
      </w:r>
      <w:r w:rsidRPr="00BD3DD8">
        <w:rPr>
          <w:highlight w:val="yellow"/>
        </w:rPr>
        <w:t>Elites therefore have reason to politicize and polarize policies to sharpen party brands, even though the direction in which voters respond to those brands varies across issues and contexts.</w:t>
      </w:r>
    </w:p>
    <w:p w14:paraId="79ACBFD7" w14:textId="77777777" w:rsidR="00EE60D6" w:rsidRDefault="00EE60D6" w:rsidP="00EE60D6"/>
    <w:p w14:paraId="734897A2" w14:textId="77777777" w:rsidR="00EE60D6" w:rsidRDefault="00EE60D6" w:rsidP="00EE60D6">
      <w:r w:rsidRPr="001C2B54">
        <w:t>Furthermore, brands do not derive solely from direct party communications (e.g., speeches, platforms, and social media). They are also shaped by the perceived image created through indirect communications, such as media coverage of votes, summaries of party platforms, and secondary reports, which combine what political elites say with how journalists contextualize, amplify, or challenge those messages</w:t>
      </w:r>
      <w:r>
        <w:rPr>
          <w:rFonts w:hint="eastAsia"/>
        </w:rPr>
        <w:t xml:space="preserve"> </w:t>
      </w:r>
      <w:r>
        <w:fldChar w:fldCharType="begin"/>
      </w:r>
      <w:r>
        <w:instrText xml:space="preserve"> ADDIN ZOTERO_ITEM CSL_CITATION {"citationID":"GoO5BiPQ","properties":{"unsorted":false,"formattedCitation":"(Karlberg, 2002)","plainCitation":"(Karlberg, 2002)","noteIndex":0},"citationItems":[{"id":8412,"uris":["http://zotero.org/users/6825464/items/N8QCNFD5"],"itemData":{"id":8412,"type":"article-journal","citation-key":"karlbergPartisanBrandingMedia2002","container-title":"Democratic Communique","page":"1–18","source":"Google Scholar","title":"Partisan branding and media spectacle: Implications for democratic communication","title-short":"Partisan branding and media spectacle","volume":"18","author":[{"family":"Karlberg","given":"Michael"}],"issued":{"date-parts":[["2002"]]}}}],"schema":"https://github.com/citation-style-language/schema/raw/master/csl-citation.json"} </w:instrText>
      </w:r>
      <w:r>
        <w:fldChar w:fldCharType="separate"/>
      </w:r>
      <w:r w:rsidRPr="00166392">
        <w:t>(Karlberg, 2002)</w:t>
      </w:r>
      <w:r>
        <w:fldChar w:fldCharType="end"/>
      </w:r>
      <w:r w:rsidRPr="00A36CD8">
        <w:t>.</w:t>
      </w:r>
      <w:r>
        <w:rPr>
          <w:rFonts w:hint="eastAsia"/>
        </w:rPr>
        <w:t xml:space="preserve"> </w:t>
      </w:r>
      <w:r>
        <w:t xml:space="preserve">Using Liverpool’s boycott of </w:t>
      </w:r>
      <w:r w:rsidRPr="001619D6">
        <w:rPr>
          <w:i/>
          <w:iCs/>
        </w:rPr>
        <w:t>The Sun</w:t>
      </w:r>
      <w:r>
        <w:t xml:space="preserve"> after the 1989 Hillsborough Disaster as a quasi-experiment, </w:t>
      </w:r>
      <w:r>
        <w:fldChar w:fldCharType="begin"/>
      </w:r>
      <w:r>
        <w:instrText xml:space="preserve"> ADDIN ZOTERO_ITEM CSL_CITATION {"citationID":"6Rm1y27Y","properties":{"unsorted":false,"formattedCitation":"(da Silva, 2026)","plainCitation":"(da Silva, 2026)","dontUpdate":true,"noteIndex":0},"citationItems":[{"id":9640,"uris":["http://zotero.org/users/6825464/items/WC46Q26P"],"itemData":{"id":9640,"type":"article-journal","abstract":"If media outlets influence voters, media elites could hold disproportionate sway over elections. However, little is known about the paths through which these outlets influence voting behavior. Based on spatial voting theory, I argue that ideological media exposure alters two key mediators — ideological positions and perceptions of party positions — to influence voting behavior. The literature on media effects often assumes that the former is the mediator and ignores the latter. This study examines the effects of ideological media exposure on these two potential mediators and on voting behavior. However, it is difficult to study these relationships because audiences usually select like-minded media content, which introduces reverse causality. To address this endogeneity, I use a quasi-experiment: Liverpool’s longstanding boycott of the popular right-wing British tabloid newspaper, The Sun. This was an exogenous boycott that was not caused by political factors. Rather, it was due to The Sun falsely blaming the 1989 Hillsborough Disaster on Liverpool Football Club supporters. I estimate triple differences for the effect of this boycott on lower working-class respondents (who complied with the boycott much more than others) in Liverpool. The results indicate that media outlets influence ideological positions, perceptions of party positions, and, ultimately, voting behavior. The effect of media on perceived party positions appears to be particularly powerful and may indicate that it is an important mediator. Thus, this study provides timely and relevant insights about the specific ways in which media outlets influence elections.","container-title":"Political Behavior","DOI":"10.1007/s11109-025-10031-9","ISSN":"1573-6687","issue":"1","journalAbbreviation":"Polit Behav","language":"en","page":"299-324","source":"Springer Link","title":"Media Influence and Spatial Voting: The Role of Perceived Party Positions","title-short":"Media Influence and Spatial Voting","volume":"48","author":[{"family":"Silva","given":"Lucas Paulo","non-dropping-particle":"da"}],"issued":{"date-parts":[["2026",3,1]]}}}],"schema":"https://github.com/citation-style-language/schema/raw/master/csl-citation.json"} </w:instrText>
      </w:r>
      <w:r>
        <w:fldChar w:fldCharType="separate"/>
      </w:r>
      <w:r>
        <w:rPr>
          <w:noProof/>
        </w:rPr>
        <w:t>da Silva (2026)</w:t>
      </w:r>
      <w:r>
        <w:fldChar w:fldCharType="end"/>
      </w:r>
      <w:r>
        <w:t xml:space="preserve"> found that reduced exposure to ideological media altered both perceived party positions and voting behavior, with the effect on perceived party positions appearing the stronger of </w:t>
      </w:r>
      <w:r>
        <w:lastRenderedPageBreak/>
        <w:t xml:space="preserve">the two. </w:t>
      </w:r>
      <w:r>
        <w:rPr>
          <w:rFonts w:hint="eastAsia"/>
        </w:rPr>
        <w:t>Similarly, i</w:t>
      </w:r>
      <w:r w:rsidRPr="003113AD">
        <w:t xml:space="preserve">n the United States, a bundled news treatment changed perceived distances between typical Democratic and Republican voters, demonstrating perceptual updating </w:t>
      </w:r>
      <w:r>
        <w:rPr>
          <w:rFonts w:hint="eastAsia"/>
        </w:rPr>
        <w:t xml:space="preserve">through indirect communication of party position </w:t>
      </w:r>
      <w:r>
        <w:fldChar w:fldCharType="begin"/>
      </w:r>
      <w:r>
        <w:instrText xml:space="preserve"> ADDIN ZOTERO_ITEM CSL_CITATION {"citationID":"XCBOiqls","properties":{"unsorted":false,"formattedCitation":"(Levendusky &amp; Malhotra, 2016)","plainCitation":"(Levendusky &amp; Malhotra, 2016)","noteIndex":0},"citationItems":[{"id":9642,"uris":["http://zotero.org/users/6825464/items/UM8VHH6Z"],"itemData":{"id":9642,"type":"article-journal","abstract":"The past decade has witnessed an explosion of interest in the partisan polarization of the American electorate. Scholarly investigation of this topic has coincided with the media’s portrayal of a polity deeply divided along partisan lines. Yet little research so far has considered the consequences of the media’s coverage of political polarization. We show that media coverage of polarization increases citizens’ beliefs that the electorate is polarized. Furthermore, the media’s depiction of a polarized electorate causes voters to moderate their own issue positions but increases their dislike of the opposing party. These empirical patterns are consistent with our theoretical argument that polarized exemplars in journalistic coverage serve as anti-cues to media consumers. Our findings have important implications for understanding current and future trends in political polarization.","container-title":"Political Communication","DOI":"10.1080/10584609.2015.1038455","ISSN":"1058-4609","issue":"2","page":"283-301","publisher":"Routledge","source":"Taylor and Francis+NEJM","title":"Does Media Coverage of Partisan Polarization Affect Political Attitudes?","volume":"33","author":[{"family":"Levendusky","given":"Matthew"},{"family":"Malhotra","given":"Neil"}],"issued":{"date-parts":[["2016",4,2]]}}}],"schema":"https://github.com/citation-style-language/schema/raw/master/csl-citation.json"} </w:instrText>
      </w:r>
      <w:r>
        <w:fldChar w:fldCharType="separate"/>
      </w:r>
      <w:r>
        <w:rPr>
          <w:noProof/>
        </w:rPr>
        <w:t>(Levendusky &amp; Malhotra, 2016)</w:t>
      </w:r>
      <w:r>
        <w:fldChar w:fldCharType="end"/>
      </w:r>
      <w:r>
        <w:rPr>
          <w:rFonts w:hint="eastAsia"/>
        </w:rPr>
        <w:t xml:space="preserve">. </w:t>
      </w:r>
    </w:p>
    <w:p w14:paraId="42EE1DB5" w14:textId="77777777" w:rsidR="00EE60D6" w:rsidRDefault="00EE60D6" w:rsidP="00EE60D6"/>
    <w:p w14:paraId="43F68C55" w14:textId="77777777" w:rsidR="00EE60D6" w:rsidRPr="00172BBB" w:rsidRDefault="00EE60D6" w:rsidP="00EE60D6">
      <w:r>
        <w:rPr>
          <w:rFonts w:hint="eastAsia"/>
        </w:rPr>
        <w:t>However, limited research on party brands ha</w:t>
      </w:r>
      <w:r>
        <w:t>s engaged</w:t>
      </w:r>
      <w:r>
        <w:rPr>
          <w:rFonts w:hint="eastAsia"/>
        </w:rPr>
        <w:t xml:space="preserve"> with the notion of indirect </w:t>
      </w:r>
      <w:r>
        <w:t xml:space="preserve">forms of </w:t>
      </w:r>
      <w:r>
        <w:rPr>
          <w:rFonts w:hint="eastAsia"/>
        </w:rPr>
        <w:t>communications</w:t>
      </w:r>
      <w:r>
        <w:t xml:space="preserve"> (e.g., </w:t>
      </w:r>
      <w:r>
        <w:rPr>
          <w:rFonts w:hint="eastAsia"/>
        </w:rPr>
        <w:t>media coverage of politicized issues</w:t>
      </w:r>
      <w:r>
        <w:t>)</w:t>
      </w:r>
      <w:r>
        <w:rPr>
          <w:rFonts w:hint="eastAsia"/>
        </w:rPr>
        <w:t xml:space="preserve"> as the </w:t>
      </w:r>
      <w:r>
        <w:t>primary</w:t>
      </w:r>
      <w:r>
        <w:rPr>
          <w:rFonts w:hint="eastAsia"/>
        </w:rPr>
        <w:t xml:space="preserve"> source of </w:t>
      </w:r>
      <w:r w:rsidRPr="00064938">
        <w:rPr>
          <w:rFonts w:hint="eastAsia"/>
          <w:i/>
          <w:iCs/>
        </w:rPr>
        <w:t>perceived</w:t>
      </w:r>
      <w:r>
        <w:rPr>
          <w:rFonts w:hint="eastAsia"/>
        </w:rPr>
        <w:t xml:space="preserve"> </w:t>
      </w:r>
      <w:r>
        <w:t xml:space="preserve">party </w:t>
      </w:r>
      <w:r>
        <w:rPr>
          <w:rFonts w:hint="eastAsia"/>
        </w:rPr>
        <w:t xml:space="preserve">brands. </w:t>
      </w:r>
      <w:r w:rsidRPr="003318E4">
        <w:t xml:space="preserve">Elite speech analysis using roll-call votes and floor speeches captures official positions but misses how those positions are communicated to publics through media </w:t>
      </w:r>
      <w:r w:rsidRPr="003318E4">
        <w:fldChar w:fldCharType="begin"/>
      </w:r>
      <w:r>
        <w:instrText xml:space="preserve"> ADDIN ZOTERO_ITEM CSL_CITATION {"citationID":"6ZJMI9ZW","properties":{"unsorted":false,"formattedCitation":"(Grimmer &amp; Stewart, 2013)","plainCitation":"(Grimmer &amp; Stewart, 2013)","noteIndex":0},"citationItems":[{"id":8347,"uris":["http://zotero.org/users/6825464/items/6MMNA48Y"],"itemData":{"id":8347,"type":"article-journal","abstract":"Politics and political conflict often occur in the written and spoken word. Scholars have long recognized this, but the massive costs of analyzing even moderately sized collections of texts have hindered their use in political science research. Here lies the promise of automated text analysis: it substantially reduces the costs of analyzing large collections of text. We provide a guide to this exciting new area of research and show how, in many instances, the methods have already obtained part of their promise. But there are pitfalls to using automated methods—they are no substitute for careful thought and close reading and require extensive and problem-specific validation. We survey a wide range of new methods, provide guidance on how to validate the output of the models, and clarify misconceptions and errors in the literature. To conclude, we argue that for automated text methods to become a standard tool for political scientists, methodologists must contribute new methods and new methods of validation.","citation-key":"grimmerTextDataPromise2013","container-title":"Political Analysis","DOI":"10.1093/pan/mps028","ISSN":"1047-1987, 1476-4989","issue":"3","language":"en","page":"267-297","source":"Cambridge University Press","title":"Text as Data: The Promise and Pitfalls of Automatic Content Analysis Methods for Political Texts","title-short":"Text as Data","volume":"21","author":[{"family":"Grimmer","given":"Justin"},{"family":"Stewart","given":"Brandon M."}],"issued":{"date-parts":[["2013",7]]}}}],"schema":"https://github.com/citation-style-language/schema/raw/master/csl-citation.json"} </w:instrText>
      </w:r>
      <w:r w:rsidRPr="003318E4">
        <w:fldChar w:fldCharType="separate"/>
      </w:r>
      <w:r w:rsidRPr="003318E4">
        <w:t>(Grimmer &amp; Stewart, 2013)</w:t>
      </w:r>
      <w:r w:rsidRPr="003318E4">
        <w:fldChar w:fldCharType="end"/>
      </w:r>
      <w:r w:rsidRPr="003318E4">
        <w:t>. Media coverage, by contrast, captures the discursive environment in which public opinion forms, reflecting both elite cues and journalistic interpretation.</w:t>
      </w:r>
      <w:r w:rsidRPr="003318E4">
        <w:rPr>
          <w:rFonts w:hint="eastAsia"/>
        </w:rPr>
        <w:t xml:space="preserve"> </w:t>
      </w:r>
      <w:r>
        <w:t xml:space="preserve">Work that does analyze media coverage of political conflict has largely asked how parties of the direct conflict are portrayed rather than how domestic parties are. </w:t>
      </w:r>
      <w:r>
        <w:fldChar w:fldCharType="begin"/>
      </w:r>
      <w:r>
        <w:instrText xml:space="preserve"> ADDIN ZOTERO_ITEM CSL_CITATION {"citationID":"9z3g0C6m","properties":{"unsorted":false,"formattedCitation":"(Pavlichenko, 2022)","plainCitation":"(Pavlichenko, 2022)","dontUpdate":true,"noteIndex":0},"citationItems":[{"id":8372,"uris":["http://zotero.org/users/6825464/items/43E2T88P"],"itemData":{"id":8372,"type":"article-journal","citation-key":"pavlichenkoPolarizationMediaPolitical2022","container-title":"Alfred Nobel University Journal of Philology","issue":"24","page":"214–223","source":"Google Scholar","title":"Polarization in media political discourse on the war in Ukraine: critical discourse analysis","title-short":"Polarization in media political discourse on the war in Ukraine","volume":"2","author":[{"family":"Pavlichenko","given":"L."}],"issued":{"date-parts":[["2022"]]}}}],"schema":"https://github.com/citation-style-language/schema/raw/master/csl-citation.json"} </w:instrText>
      </w:r>
      <w:r>
        <w:fldChar w:fldCharType="separate"/>
      </w:r>
      <w:r>
        <w:rPr>
          <w:noProof/>
        </w:rPr>
        <w:t>Pavlichenko (2022)</w:t>
      </w:r>
      <w:r>
        <w:fldChar w:fldCharType="end"/>
      </w:r>
      <w:r>
        <w:t xml:space="preserve">, for instance, examined how British and American outlets constructed Ukraine and Russia as geopolitical actors. That question is distinct from ours, which concerns how the two United States parties were positioned relative to one another within the same coverage. </w:t>
      </w:r>
      <w:r>
        <w:rPr>
          <w:rFonts w:hint="eastAsia"/>
        </w:rPr>
        <w:t>To address this gap, the present</w:t>
      </w:r>
      <w:r w:rsidRPr="003318E4">
        <w:t xml:space="preserve"> study uses media coverage as the primary data source for tracking perceived party brands on Ukraine aid</w:t>
      </w:r>
      <w:r w:rsidRPr="003318E4">
        <w:rPr>
          <w:rFonts w:hint="eastAsia"/>
        </w:rPr>
        <w:t>.</w:t>
      </w:r>
      <w:r>
        <w:rPr>
          <w:rFonts w:hint="eastAsia"/>
        </w:rPr>
        <w:t xml:space="preserve"> </w:t>
      </w:r>
    </w:p>
    <w:p w14:paraId="64728214" w14:textId="77777777" w:rsidR="00EE60D6" w:rsidRDefault="00EE60D6" w:rsidP="00EE60D6">
      <w:pPr>
        <w:pStyle w:val="2"/>
      </w:pPr>
      <w:r w:rsidRPr="00905251">
        <w:t>Ukraine Aid and Foreign Policy Polarization</w:t>
      </w:r>
    </w:p>
    <w:p w14:paraId="17F51402" w14:textId="77777777" w:rsidR="00EE60D6" w:rsidRDefault="00EE60D6" w:rsidP="00EE60D6">
      <w:pPr>
        <w:shd w:val="clear" w:color="auto" w:fill="FFFFFF"/>
        <w:spacing w:line="315" w:lineRule="atLeast"/>
      </w:pPr>
      <w:r w:rsidRPr="0065094F">
        <w:t xml:space="preserve">Having established why media coverage serves as a critical site for tracking party brand formation, </w:t>
      </w:r>
      <w:r>
        <w:t>we now turn to foreign policy, where the extent of partisan polarization remains contested.</w:t>
      </w:r>
    </w:p>
    <w:p w14:paraId="300D42EE" w14:textId="77777777" w:rsidR="00EE60D6" w:rsidRPr="005B3C2A" w:rsidRDefault="00EE60D6" w:rsidP="00EE60D6">
      <w:pPr>
        <w:shd w:val="clear" w:color="auto" w:fill="FFFFFF"/>
        <w:spacing w:line="315" w:lineRule="atLeast"/>
      </w:pPr>
    </w:p>
    <w:p w14:paraId="07CD72C4" w14:textId="77777777" w:rsidR="00EE60D6" w:rsidRDefault="00EE60D6" w:rsidP="00EE60D6">
      <w:pPr>
        <w:pStyle w:val="3"/>
      </w:pPr>
      <w:r w:rsidRPr="001345D8">
        <w:t>Foreign Policy Polarization: Evidence and Debates</w:t>
      </w:r>
    </w:p>
    <w:p w14:paraId="6FB8758F" w14:textId="77777777" w:rsidR="00EE60D6" w:rsidRDefault="00EE60D6" w:rsidP="00EE60D6">
      <w:pPr>
        <w:rPr>
          <w:color w:val="1F1F1F"/>
        </w:rPr>
      </w:pPr>
      <w:r w:rsidRPr="00E647EF">
        <w:t>The</w:t>
      </w:r>
      <w:r w:rsidRPr="00E647EF">
        <w:rPr>
          <w:color w:val="1F1F1F"/>
        </w:rPr>
        <w:t xml:space="preserve"> </w:t>
      </w:r>
      <w:r w:rsidRPr="00E647EF">
        <w:t>claim</w:t>
      </w:r>
      <w:r w:rsidRPr="00E647EF">
        <w:rPr>
          <w:color w:val="1F1F1F"/>
        </w:rPr>
        <w:t xml:space="preserve"> </w:t>
      </w:r>
      <w:r w:rsidRPr="00E647EF">
        <w:t>that</w:t>
      </w:r>
      <w:r w:rsidRPr="00E647EF">
        <w:rPr>
          <w:color w:val="1F1F1F"/>
        </w:rPr>
        <w:t xml:space="preserve"> </w:t>
      </w:r>
      <w:r w:rsidRPr="00E647EF">
        <w:t>politics</w:t>
      </w:r>
      <w:r w:rsidRPr="00E647EF">
        <w:rPr>
          <w:color w:val="1F1F1F"/>
        </w:rPr>
        <w:t xml:space="preserve"> </w:t>
      </w:r>
      <w:r w:rsidRPr="00E647EF">
        <w:t>stops</w:t>
      </w:r>
      <w:r w:rsidRPr="00E647EF">
        <w:rPr>
          <w:color w:val="1F1F1F"/>
        </w:rPr>
        <w:t xml:space="preserve"> </w:t>
      </w:r>
      <w:r w:rsidRPr="00E647EF">
        <w:t>at</w:t>
      </w:r>
      <w:r w:rsidRPr="00E647EF">
        <w:rPr>
          <w:color w:val="1F1F1F"/>
        </w:rPr>
        <w:t xml:space="preserve"> </w:t>
      </w:r>
      <w:r w:rsidRPr="00E647EF">
        <w:t>the</w:t>
      </w:r>
      <w:r w:rsidRPr="00E647EF">
        <w:rPr>
          <w:color w:val="1F1F1F"/>
        </w:rPr>
        <w:t xml:space="preserve"> </w:t>
      </w:r>
      <w:r w:rsidRPr="00E647EF">
        <w:t>water</w:t>
      </w:r>
      <w:r>
        <w:t>’</w:t>
      </w:r>
      <w:r w:rsidRPr="00E647EF">
        <w:t>s</w:t>
      </w:r>
      <w:r w:rsidRPr="00E647EF">
        <w:rPr>
          <w:color w:val="1F1F1F"/>
        </w:rPr>
        <w:t xml:space="preserve"> </w:t>
      </w:r>
      <w:r w:rsidRPr="00E647EF">
        <w:t>edge</w:t>
      </w:r>
      <w:r w:rsidRPr="00E647EF">
        <w:rPr>
          <w:color w:val="1F1F1F"/>
        </w:rPr>
        <w:t xml:space="preserve"> </w:t>
      </w:r>
      <w:r w:rsidRPr="00E647EF">
        <w:t>has</w:t>
      </w:r>
      <w:r w:rsidRPr="00E647EF">
        <w:rPr>
          <w:color w:val="1F1F1F"/>
        </w:rPr>
        <w:t xml:space="preserve"> </w:t>
      </w:r>
      <w:r w:rsidRPr="00E647EF">
        <w:t>long</w:t>
      </w:r>
      <w:r w:rsidRPr="00E647EF">
        <w:rPr>
          <w:color w:val="1F1F1F"/>
        </w:rPr>
        <w:t xml:space="preserve"> </w:t>
      </w:r>
      <w:r w:rsidRPr="00E647EF">
        <w:t>organized</w:t>
      </w:r>
      <w:r w:rsidRPr="00E647EF">
        <w:rPr>
          <w:color w:val="1F1F1F"/>
        </w:rPr>
        <w:t xml:space="preserve"> </w:t>
      </w:r>
      <w:r w:rsidRPr="00E647EF">
        <w:t>debate</w:t>
      </w:r>
      <w:r w:rsidRPr="00E647EF">
        <w:rPr>
          <w:color w:val="1F1F1F"/>
        </w:rPr>
        <w:t xml:space="preserve"> </w:t>
      </w:r>
      <w:r w:rsidRPr="00E647EF">
        <w:t>over</w:t>
      </w:r>
      <w:r w:rsidRPr="00E647EF">
        <w:rPr>
          <w:color w:val="1F1F1F"/>
        </w:rPr>
        <w:t xml:space="preserve"> </w:t>
      </w:r>
      <w:r w:rsidRPr="00E647EF">
        <w:t>whether</w:t>
      </w:r>
      <w:r w:rsidRPr="00E647EF">
        <w:rPr>
          <w:color w:val="1F1F1F"/>
        </w:rPr>
        <w:t xml:space="preserve"> </w:t>
      </w:r>
      <w:r w:rsidRPr="00E647EF">
        <w:t>foreign</w:t>
      </w:r>
      <w:r w:rsidRPr="00E647EF">
        <w:rPr>
          <w:color w:val="1F1F1F"/>
        </w:rPr>
        <w:t xml:space="preserve"> </w:t>
      </w:r>
      <w:r w:rsidRPr="00E647EF">
        <w:t>policy</w:t>
      </w:r>
      <w:r w:rsidRPr="00E647EF">
        <w:rPr>
          <w:color w:val="1F1F1F"/>
        </w:rPr>
        <w:t xml:space="preserve"> </w:t>
      </w:r>
      <w:r w:rsidRPr="00E647EF">
        <w:t>is</w:t>
      </w:r>
      <w:r w:rsidRPr="00E647EF">
        <w:rPr>
          <w:color w:val="1F1F1F"/>
        </w:rPr>
        <w:t xml:space="preserve"> </w:t>
      </w:r>
      <w:r w:rsidRPr="00E647EF">
        <w:t>insulated</w:t>
      </w:r>
      <w:r w:rsidRPr="00E647EF">
        <w:rPr>
          <w:color w:val="1F1F1F"/>
        </w:rPr>
        <w:t xml:space="preserve"> </w:t>
      </w:r>
      <w:r w:rsidRPr="00E647EF">
        <w:t>from</w:t>
      </w:r>
      <w:r w:rsidRPr="00E647EF">
        <w:rPr>
          <w:color w:val="1F1F1F"/>
        </w:rPr>
        <w:t xml:space="preserve"> </w:t>
      </w:r>
      <w:r w:rsidRPr="00E647EF">
        <w:t>domestic</w:t>
      </w:r>
      <w:r w:rsidRPr="00E647EF">
        <w:rPr>
          <w:color w:val="1F1F1F"/>
        </w:rPr>
        <w:t xml:space="preserve"> </w:t>
      </w:r>
      <w:r w:rsidRPr="00E647EF">
        <w:t>partisan</w:t>
      </w:r>
      <w:r w:rsidRPr="00E647EF">
        <w:rPr>
          <w:color w:val="1F1F1F"/>
        </w:rPr>
        <w:t xml:space="preserve"> </w:t>
      </w:r>
      <w:r w:rsidRPr="00E647EF">
        <w:t>conflict</w:t>
      </w:r>
      <w:r>
        <w:rPr>
          <w:rFonts w:hint="eastAsia"/>
        </w:rPr>
        <w:t xml:space="preserve"> </w:t>
      </w:r>
      <w:r>
        <w:fldChar w:fldCharType="begin"/>
      </w:r>
      <w:r>
        <w:instrText xml:space="preserve"> ADDIN ZOTERO_ITEM CSL_CITATION {"citationID":"68ejJZmi","properties":{"unsorted":false,"formattedCitation":"(Kupchan &amp; Trubowitz, 2007)","plainCitation":"(Kupchan &amp; Trubowitz, 2007)","noteIndex":0},"citationItems":[{"id":8388,"uris":["http://zotero.org/users/6825464/items/DFHJ8MGY"],"itemData":{"id":8388,"type":"article-journal","citation-key":"kupchanDeadCenterDemise2007","container-title":"International Security","issue":"2","page":"7–44","publisher":"MIT Press One Rogers Street, Cambridge, MA 02142-1209, USA journals-info …","source":"Google Scholar","title":"Dead center: The demise of liberal internationalism in the United States","title-short":"Dead center","volume":"32","author":[{"family":"Kupchan","given":"Charles A."},{"family":"Trubowitz","given":"Peter L."}],"issued":{"date-parts":[["2007"]]}}}],"schema":"https://github.com/citation-style-language/schema/raw/master/csl-citation.json"} </w:instrText>
      </w:r>
      <w:r>
        <w:fldChar w:fldCharType="separate"/>
      </w:r>
      <w:r w:rsidRPr="00F74801">
        <w:t>(Kupchan &amp; Trubowitz, 2007)</w:t>
      </w:r>
      <w:r>
        <w:fldChar w:fldCharType="end"/>
      </w:r>
      <w:r w:rsidRPr="001B34E9">
        <w:t>.</w:t>
      </w:r>
      <w:r w:rsidRPr="00694972">
        <w:t xml:space="preserve"> </w:t>
      </w:r>
      <w:r>
        <w:rPr>
          <w:rFonts w:hint="eastAsia"/>
        </w:rPr>
        <w:t>On one hand, f</w:t>
      </w:r>
      <w:r w:rsidRPr="00061460">
        <w:t xml:space="preserve">or much of the post-World War II era, </w:t>
      </w:r>
      <w:r>
        <w:rPr>
          <w:rFonts w:hint="eastAsia"/>
        </w:rPr>
        <w:t xml:space="preserve">the Republican and Democratic </w:t>
      </w:r>
      <w:r w:rsidRPr="00061460">
        <w:t>leadership shared fundamental assumptions about American international engagement, even when disagreeing on specific policies</w:t>
      </w:r>
      <w:r>
        <w:rPr>
          <w:rFonts w:hint="eastAsia"/>
        </w:rPr>
        <w:t xml:space="preserve"> </w:t>
      </w:r>
      <w:r>
        <w:fldChar w:fldCharType="begin"/>
      </w:r>
      <w:r>
        <w:instrText xml:space="preserve"> ADDIN ZOTERO_ITEM CSL_CITATION {"citationID":"NFSxGKnd","properties":{"unsorted":false,"formattedCitation":"(Smeltz, 2022)","plainCitation":"(Smeltz, 2022)","noteIndex":0},"citationItems":[{"id":8556,"uris":["http://zotero.org/users/6825464/items/3K5UZ8NJ"],"itemData":{"id":8556,"type":"article-journal","abstract":"Several empirical measures of congressional voting prove that partisanship has reached new heights at some point during the past 5 years. Public opinion surveys can help to show whether this political division has seeped into the public zeitgeist. While Republicans and Democrats generally agree on the general outlines and goals of US foreign policy, in recent years their longstanding differences on the importance of working within a multilateral framework and the threats posed by immigration and climate change have accelerated. There are also new cracks in previously shared opinion toward China, Russia, and Israel. And recent polls show that assessments of the US administration’s handling of the coronavirus outbreak also breaks along partisan lines. The outcome of the 2020 election is not likely to help bridge these divides nor neutralize the risks of continuing polarization.","citation-key":"smeltzAreWeDrowning2022","container-title":"International Politics (Hague, Netherlands)","DOI":"10.1057/s41311-022-00376-x","ISSN":"1384-5748","issue":"5","journalAbbreviation":"Int Polit (Hague)","page":"786-801","PMID":"40477912","PMCID":"PMC8914448","source":"PubMed Central","title":"Are we drowning at the water’s edge? Foreign policy polarization among the US Public","title-short":"Are we drowning at the water’s edge?","volume":"59","author":[{"family":"Smeltz","given":"Dina"}],"issued":{"date-parts":[["2022"]]}}}],"schema":"https://github.com/citation-style-language/schema/raw/master/csl-citation.json"} </w:instrText>
      </w:r>
      <w:r>
        <w:fldChar w:fldCharType="separate"/>
      </w:r>
      <w:r w:rsidRPr="00F80714">
        <w:t>(Smeltz, 2022)</w:t>
      </w:r>
      <w:r>
        <w:fldChar w:fldCharType="end"/>
      </w:r>
      <w:r w:rsidRPr="00D0386C">
        <w:t xml:space="preserve">. </w:t>
      </w:r>
      <w:r>
        <w:rPr>
          <w:rFonts w:hint="eastAsia"/>
        </w:rPr>
        <w:t>On the other hand</w:t>
      </w:r>
      <w:r w:rsidRPr="00D0386C">
        <w:t>, a growing body of research documents increasing partisan division on international issues. Studies focusing primarily on congressional behavior and public attitudes find that Democrats and Republicans have grown further apart on foreign policy, mirroring patterns observed in domestic politics</w:t>
      </w:r>
      <w:r>
        <w:rPr>
          <w:rFonts w:hint="eastAsia"/>
        </w:rPr>
        <w:t xml:space="preserve"> </w:t>
      </w:r>
      <w:r>
        <w:fldChar w:fldCharType="begin"/>
      </w:r>
      <w:r>
        <w:instrText xml:space="preserve"> ADDIN ZOTERO_ITEM CSL_CITATION {"citationID":"Z9My8nuU","properties":{"unsorted":false,"formattedCitation":"(Delaet &amp; Scott, 2006; Jeong &amp; Quirk, 2019; Kupchan &amp; Trubowitz, 2007; Schultz, 2017; Smeltz, 2022; Snyder et al., 2009)","plainCitation":"(Delaet &amp; Scott, 2006; Jeong &amp; Quirk, 2019; Kupchan &amp; Trubowitz, 2007; Schultz, 2017; Smeltz, 2022; Snyder et al., 2009)","noteIndex":0},"citationItems":[{"id":8395,"uris":["http://zotero.org/users/6825464/items/IS3XZ4VE"],"itemData":{"id":8395,"type":"article-journal","abstract":"Because the impact of domestic politics and institutions is increasingly important to understanding foreign policy, the motivations and interests of individual members of Congress are even more important for understanding American foreign policy. Contrasting the well-known thesis that “politics stops at the water's edge” with a “politics past the edge” thesis, we examine an issue arena typically considered immune from the intrusion of domestic politics. Set against the context of previous studies concluding that partisanship exerts a growing impact of congressional behavior in foreign policy, this paper extends current studies to examine the impact of partisanship and other variables on Senate voting on arms control treaties on weapons of mass destruction. With a data set of votes that spans the 1960–2001 period, we employ logit regression to gauge the relative importance of three determinants of congressional voting emphasized in theory and roll call vote analyses—partisanship, ideology, and electoral concerns—while also controlling for a variety of other factors. Our results indicate that partisanship becomes an increasingly important factor in Senate votes on arms control treaties in the post-Vietnam and post-Cold War eras.","citation-key":"delaetTreatyMakingPartisanPolitics2006","container-title":"Foreign Policy Analysis","DOI":"10.1111/j.1743-8594.2006.00026.x","ISSN":"1743-8586","issue":"2","journalAbbreviation":"Foreign Policy Anal","page":"177-200","source":"Silverchair","title":"Treaty-Making and Partisan Politics: Arms Control and the U.S. Senate, 1960–2001","title-short":"Treaty-Making and Partisan Politics","volume":"2","author":[{"family":"Delaet","given":"C. James"},{"family":"Scott","given":"James M."}],"issued":{"date-parts":[["2006",4,1]]}}},{"id":8353,"uris":["http://zotero.org/users/6825464/items/8CB74SPA"],"itemData":{"id":8353,"type":"article-journal","abstract":"Severe party conflict, not a high-minded suspension of politics, now prevails “at the water’s edge.” Democrats and Republicans fight pitched battles over foreign affairs. But are the two parties polarized in their substantive preferences on foreign policy, or mainly jockeying for partisan advantage? Are they polarized on foreign policy less sharply than on domestic policy? What are the sources of party polarization over foreign policy? Using a new measure of senatorial foreign-policy preferences from 1945-2010, we explore party polarization over foreign policy. We find that foreign-policy preferences have had varying relationships with party politics and general ideology. Since the 1960s, however, the parties have become increasingly polarized on foreign policy. Using a multilevel analysis, we show that foreign-policy polarization has developed in response to partisan electoral rivalry, foreign-policy events, and general ideological polarization. The analysis indicates an increasing influence of domestic politics on foreign policy.","citation-key":"jeongDivisionWatersEdge2019","container-title":"American Politics Research","DOI":"10.1177/1532673X17719721","ISSN":"1532-673X","issue":"1","language":"EN","page":"58-87","publisher":"SAGE Publications Inc","source":"SAGE Journals","title":"Division at the Water’s Edge: The Polarization of Foreign Policy","title-short":"Division at the Water’s Edge","volume":"47","author":[{"family":"Jeong","given":"Gyung-Ho"},{"family":"Quirk","given":"Paul J."}],"issued":{"date-parts":[["2019",1,1]]}}},{"id":8388,"uris":["http://zotero.org/users/6825464/items/DFHJ8MGY"],"itemData":{"id":8388,"type":"article-journal","citation-key":"kupchanDeadCenterDemise2007","container-title":"International Security","issue":"2","page":"7–44","publisher":"MIT Press One Rogers Street, Cambridge, MA 02142-1209, USA journals-info …","source":"Google Scholar","title":"Dead center: The demise of liberal internationalism in the United States","title-short":"Dead center","volume":"32","author":[{"family":"Kupchan","given":"Charles A."},{"family":"Trubowitz","given":"Peter L."}],"issued":{"date-parts":[["2007"]]}}},{"id":8421,"uris":["http://zotero.org/users/6825464/items/UG4WP9XA"],"itemData":{"id":8421,"type":"article-journal","citation-key":"schultzPerilsPolarizationUS2017","container-title":"The Washington Quarterly","DOI":"10.1080/0163660X.2017.1406705","ISSN":"0163-660X","issue":"4","note":"_eprint: https://doi.org/10.1080/0163660X.2017.1406705","page":"7-28","publisher":"Routledge","source":"Taylor and Francis+NEJM","title":"Perils of Polarization for U.S. Foreign Policy","volume":"40","author":[{"family":"Schultz","given":"Kenneth A."}],"issued":{"date-parts":[["2017",10,2]]}}},{"id":8556,"uris":["http://zotero.org/users/6825464/items/3K5UZ8NJ"],"itemData":{"id":8556,"type":"article-journal","abstract":"Several empirical measures of congressional voting prove that partisanship has reached new heights at some point during the past 5 years. Public opinion surveys can help to show whether this political division has seeped into the public zeitgeist. While Republicans and Democrats generally agree on the general outlines and goals of US foreign policy, in recent years their longstanding differences on the importance of working within a multilateral framework and the threats posed by immigration and climate change have accelerated. There are also new cracks in previously shared opinion toward China, Russia, and Israel. And recent polls show that assessments of the US administration’s handling of the coronavirus outbreak also breaks along partisan lines. The outcome of the 2020 election is not likely to help bridge these divides nor neutralize the risks of continuing polarization.","citation-key":"smeltzAreWeDrowning2022","container-title":"International Politics (Hague, Netherlands)","DOI":"10.1057/s41311-022-00376-x","ISSN":"1384-5748","issue":"5","journalAbbreviation":"Int Polit (Hague)","page":"786-801","PMID":"40477912","PMCID":"PMC8914448","source":"PubMed Central","title":"Are we drowning at the water’s edge? Foreign policy polarization among the US Public","title-short":"Are we drowning at the water’s edge?","volume":"59","author":[{"family":"Smeltz","given":"Dina"}],"issued":{"date-parts":[["2022"]]}}},{"id":8346,"uris":["http://zotero.org/users/6825464/items/5F6FLVA3"],"itemData":{"id":8346,"type":"article-journal","abstract":"Under unipolarity, the immediate costs and risks of war are more likely to seem manageable for a militarily dominant power like the U.S. This does not necessarily make the use of force cheap or wise, but it means that the costs and risks attendant on its use are comparatively indirect, long term, and thus highly subject to interpretation. Unipolarity, combined with the opportunity created by September 11, opened a space for interpretation that tempted a highly ideological foreign policy cohort to seize on international terrorism as an issue to transform the balance of power both in the international system and in American party politics. This cohort's response to the terrorist attack was grounded in ideological sincerity but also in the routine practice of wedge issue politics, which had been honed on domestic issues during three decades of partisan ideological polarization and then extended into foreign policy.","citation-key":"snyderFreeHandAbroad2009","container-title":"World Politics","ISSN":"0043-8871","issue":"1","page":"155-187","publisher":"[Cambridge University Press, Trustees of Princeton University]","source":"JSTOR","title":"Free Hand Abroad, Divide and Rule at Home","volume":"61","author":[{"family":"Snyder","given":"Jack"},{"family":"Shapiro","given":"Robert Y."},{"family":"Bloch-Elkon","given":"Yaeli"}],"issued":{"date-parts":[["2009"]]}}}],"schema":"https://github.com/citation-style-language/schema/raw/master/csl-citation.json"} </w:instrText>
      </w:r>
      <w:r>
        <w:fldChar w:fldCharType="separate"/>
      </w:r>
      <w:r w:rsidRPr="00CE144C">
        <w:t>(Delaet &amp; Scott, 2006; Jeong &amp; Quirk, 2019; Kupchan &amp; Trubowitz, 2007; Schultz, 2017; Smeltz, 2022; Snyder et al., 2009)</w:t>
      </w:r>
      <w:r>
        <w:fldChar w:fldCharType="end"/>
      </w:r>
      <w:r>
        <w:rPr>
          <w:rFonts w:hint="eastAsia"/>
        </w:rPr>
        <w:t xml:space="preserve">. </w:t>
      </w:r>
      <w:r>
        <w:t>Nonetheless, the findings are not consistent.</w:t>
      </w:r>
      <w:r w:rsidRPr="009C53AE">
        <w:t xml:space="preserve"> Other scholarship points to continuing areas of agreement or overlap between the parties on foreign policy </w:t>
      </w:r>
      <w:r w:rsidRPr="00905251">
        <w:fldChar w:fldCharType="begin"/>
      </w:r>
      <w:r>
        <w:instrText xml:space="preserve"> ADDIN ZOTERO_ITEM CSL_CITATION {"citationID":"qmmLHljs","properties":{"unsorted":false,"formattedCitation":"(Busby et al., 2020; Chaudoin et al., 2018; Scott &amp; Carter, 2014)","plainCitation":"(Busby et al., 2020; Chaudoin et al., 2018; Scott &amp; Carter, 2014)","noteIndex":0},"citationItems":[{"id":8409,"uris":["http://zotero.org/users/6825464/items/P6INK9B3"],"itemData":{"id":8409,"type":"article-journal","citation-key":"busbyComingTogetherComing2020","language":"en","publisher":"The Chicago Council on Global Affairs","source":"Zotero","title":"Coming Together or Coming Apart?","author":[{"family":"Busby","given":"Joshua"},{"family":"Kafura","given":"Craig"},{"family":"Smeltz","given":"Dina"},{"family":"Tama","given":"Jordan"},{"family":"Monten","given":"Jonathan"},{"family":"Kertzer","given":"Joshua D."},{"family":"Helm","given":"Brendan"}],"issued":{"date-parts":[["2020",3]]}}},{"id":8508,"uris":["http://zotero.org/users/6825464/items/FJXHHN49"],"itemData":{"id":8508,"type":"chapter","citation-key":"chaudoinNotOutLiberal2018","container-title":"Chaos in the Liberal Order","DOI":"10.7312/jerv18834-007","ISBN":"978-0-231-54778-9","language":"en","page":"61-97","publisher":"Columbia University Press","source":"DOI.org (Crossref)","title":"Down but Not Out: A Liberal International American Foreign Policy: A Liberal International American Foreign Policy","title-short":"6. Down but Not Out","URL":"https://www.degruyter.com/document/doi/10.7312/jerv18834-007/html","editor":[{"family":"Jervis","given":"Robert"},{"family":"Gavin","given":"Francis J."},{"family":"Rovner","given":"Joshua"},{"family":"Labrosse","given":"Diane N."}],"author":[{"family":"Chaudoin","given":"Stephen"},{"family":"Milner","given":"Helen V."},{"family":"Ringley","given":"Dustin"}],"accessed":{"date-parts":[["2026",1,30]]},"issued":{"date-parts":[["2018",12,31]]}}},{"id":8369,"uris":["http://zotero.org/users/6825464/items/9GYULB6N"],"itemData":{"id":8369,"type":"article-journal","abstract":"The conventional narrative surrounding the post-9/11 “War on Terror” tends to characterize the US Congress as a mostly inactive and compliant bystander, bowing to an aggressive assertion of unilateral presidential authority and power by the Bush administration. However, clarifying the conceptual framework used to examine legislative–executive interactions and congressional foreign policy behavior to account for varying patterns of interaction and varying avenues of influence yields an alternative explanation. While there is some truth to the conventional wisdom about a Congress rallying to support the president in time of war, applying the refined conceptual framework brings a more complex story into sharper focus. Viewed through this alternative lens, we see that members of Congress, and the institution as a whole, played a more discriminating and substantial—yet still predictable—role consistent with the context of the situation and the broad historical forces and patterns that combine to shape congressional foreign policy behavior and influence. Once the context and forces shaping congressional behavior and legislative–executive interactions are understood, congressional engagement (or lack thereof) in the War on Terror from 2001 to 2009 emerges as a relatively predictable sequence of initial compliance, (rallying) giving way first to competition and then to confrontation.","citation-key":"scottNotSoSilentPartnerPatterns2014","container-title":"International Studies Perspectives","DOI":"10.1111/insp.12001","ISSN":"1528-3577","issue":"2","journalAbbreviation":"Int Stud Perspect","page":"186-208","source":"Silverchair","title":"The Not-So-Silent Partner: Patterns of Legislative–Executive Interaction in the War on Terror, 2001–2009","title-short":"The Not-So-Silent Partner","volume":"15","author":[{"family":"Scott","given":"James M."},{"family":"Carter","given":"Ralph G."}],"issued":{"date-parts":[["2014",5,1]]}}}],"schema":"https://github.com/citation-style-language/schema/raw/master/csl-citation.json"} </w:instrText>
      </w:r>
      <w:r w:rsidRPr="00905251">
        <w:fldChar w:fldCharType="separate"/>
      </w:r>
      <w:r w:rsidRPr="00905251">
        <w:t>(Busby et al., 2020; Chaudoin et al., 2018; Scott &amp; Carter, 2014)</w:t>
      </w:r>
      <w:r w:rsidRPr="00905251">
        <w:fldChar w:fldCharType="end"/>
      </w:r>
      <w:r w:rsidRPr="009C53AE">
        <w:t xml:space="preserve">. </w:t>
      </w:r>
      <w:r>
        <w:fldChar w:fldCharType="begin"/>
      </w:r>
      <w:r>
        <w:instrText xml:space="preserve"> ADDIN ZOTERO_ITEM CSL_CITATION {"citationID":"vpWojohA","properties":{"unsorted":false,"formattedCitation":"(Bryan &amp; Tama, 2022)","plainCitation":"(Bryan &amp; Tama, 2022)","dontUpdate":true,"noteIndex":0},"citationItems":[{"id":8481,"uris":["http://zotero.org/users/6825464/items/PWIQLZ8V"],"itemData":{"id":8481,"type":"article-journal","abstract":"To what extent are U.S. elected officials polarized on foreign policy? And how do patterns of polarization and bipartisanship differ across policy areas? Using an original data set of nearly 3000 important congressional votes since the end of the Cold War, we find that severe polarization remains the exception rather than the norm in U.S. foreign policy debates and that the U.S. Congress is still less polarized on international than on domestic issues. We also show that foreign policy bipartisanship regularly takes several forms, including bipartisan agreement in support of the president’s policies, cross-partisan coalitions, and even bipartisan opposition to the president’s policies. Collectively, our findings provide a more nuanced portrait of the politics of U.S. foreign policy than many recent accounts, point to persistent differences in the political alignments associated with different policy areas, and highlight the importance of conceiving of polarization and bipartisanship as more than binary categories.","citation-key":"bryanPrevalenceBipartisanshipUS2022","container-title":"International Politics","DOI":"10.1057/s41311-021-00348-7","ISSN":"1740-3898","issue":"5","journalAbbreviation":"Int Polit","language":"en","page":"874-897","source":"Springer Link","title":"The prevalence of bipartisanship in U.S. foreign policy: an analysis of important congressional votes","title-short":"The prevalence of bipartisanship in U.S. foreign policy","volume":"59","author":[{"family":"Bryan","given":"James D."},{"family":"Tama","given":"Jordan"}],"issued":{"date-parts":[["2022",10,1]]}}}],"schema":"https://github.com/citation-style-language/schema/raw/master/csl-citation.json"} </w:instrText>
      </w:r>
      <w:r>
        <w:fldChar w:fldCharType="separate"/>
      </w:r>
      <w:r w:rsidRPr="007D7115">
        <w:t>Bryan &amp; Tama</w:t>
      </w:r>
      <w:r>
        <w:rPr>
          <w:rFonts w:hint="eastAsia"/>
        </w:rPr>
        <w:t xml:space="preserve"> (</w:t>
      </w:r>
      <w:r w:rsidRPr="007D7115">
        <w:t>2022)</w:t>
      </w:r>
      <w:r>
        <w:fldChar w:fldCharType="end"/>
      </w:r>
      <w:r>
        <w:rPr>
          <w:rFonts w:hint="eastAsia"/>
        </w:rPr>
        <w:t xml:space="preserve"> </w:t>
      </w:r>
      <w:r w:rsidRPr="00F62B93">
        <w:t xml:space="preserve">find that extreme partisan division on foreign policy </w:t>
      </w:r>
      <w:r>
        <w:rPr>
          <w:rFonts w:hint="eastAsia"/>
        </w:rPr>
        <w:t>remains the exception</w:t>
      </w:r>
      <w:r w:rsidRPr="00F62B93">
        <w:t xml:space="preserve"> and</w:t>
      </w:r>
      <w:r w:rsidRPr="004C5E36">
        <w:t xml:space="preserve"> </w:t>
      </w:r>
      <w:r w:rsidRPr="009C53AE">
        <w:t xml:space="preserve">that international </w:t>
      </w:r>
      <w:r>
        <w:rPr>
          <w:rFonts w:hint="eastAsia"/>
        </w:rPr>
        <w:t>issues are</w:t>
      </w:r>
      <w:r w:rsidRPr="009C53AE">
        <w:t xml:space="preserve"> still less polarized than domestic issues</w:t>
      </w:r>
      <w:r>
        <w:rPr>
          <w:rFonts w:hint="eastAsia"/>
        </w:rPr>
        <w:t xml:space="preserve">, at least on congressional floors. </w:t>
      </w:r>
      <w:r w:rsidRPr="0038011A">
        <w:t xml:space="preserve">Research on both elite and mass attitudes </w:t>
      </w:r>
      <w:r>
        <w:rPr>
          <w:rFonts w:hint="eastAsia"/>
        </w:rPr>
        <w:t>also suggests</w:t>
      </w:r>
      <w:r w:rsidRPr="0038011A">
        <w:t xml:space="preserve"> that the</w:t>
      </w:r>
      <w:r>
        <w:rPr>
          <w:rFonts w:hint="eastAsia"/>
        </w:rPr>
        <w:t xml:space="preserve"> </w:t>
      </w:r>
      <w:r w:rsidRPr="0038011A">
        <w:t xml:space="preserve">left-right ideological </w:t>
      </w:r>
      <w:r>
        <w:rPr>
          <w:rFonts w:hint="eastAsia"/>
        </w:rPr>
        <w:t>division</w:t>
      </w:r>
      <w:r w:rsidRPr="0038011A">
        <w:t xml:space="preserve"> predicts partisan disagreement more strongly on domestic matters than on international affairs</w:t>
      </w:r>
      <w:r>
        <w:rPr>
          <w:rFonts w:hint="eastAsia"/>
        </w:rPr>
        <w:t xml:space="preserve"> </w:t>
      </w:r>
      <w:r>
        <w:fldChar w:fldCharType="begin"/>
      </w:r>
      <w:r>
        <w:instrText xml:space="preserve"> ADDIN ZOTERO_ITEM CSL_CITATION {"citationID":"lcfyB2vA","properties":{"unsorted":false,"formattedCitation":"(Baldassarri &amp; Gelman, 2008; Noel, 2014)","plainCitation":"(Baldassarri &amp; Gelman, 2008; Noel, 2014)","noteIndex":0},"citationItems":[{"id":8433,"uris":["http://zotero.org/users/6825464/items/XF6FJUK2"],"itemData":{"id":8433,"type":"article-journal","abstract":"Public opinion polarization is here conceived as a process of alignment along multiple lines of potential disagreement and measured as growing constraint in individuals’ preferences. Using NES data from 1972 to 2004, the authors model trends in issue partisanship—the correlation of issue attitudes with party identification—and issue alignment—the correlation between pairs of issues—and find a substantive increase in issue partisanship, but little evidence of issue alignment. The findings suggest that opinion changes correspond more to a resorting of party labels among voters than to greater constraint on issue attitudes: since parties are more polarized, they are now better at sorting individuals along ideological lines. Levels of constraint vary across population subgroups: strong partisans and wealthier and politically sophisticated voters have grown more coherent in their beliefs. The authors discuss the consequences of partisan realignment and group sorting on the political process and potential deviations from the classic pluralistic account of American politics.","citation-key":"baldassarriPartisansConstraintPolitical2008a","container-title":"AJS; American journal of sociology","DOI":"10.2139/ssrn.1010098","ISSN":"0002-9602","issue":"2","journalAbbreviation":"AJS","page":"408-446","PMID":"24932012","PMCID":"PMC4056259","source":"PubMed Central","title":"Partisans without Constraint: Political Polarization and Trends in American Public Opinion","title-short":"Partisans without Constraint","volume":"114","author":[{"family":"Baldassarri","given":"Delia"},{"family":"Gelman","given":"Andrew"}],"issued":{"date-parts":[["2008",1,28]]}}},{"id":8432,"uris":["http://zotero.org/users/6825464/items/XZC9H2XP"],"itemData":{"id":8432,"type":"book","abstract":"Political Ideologies and Political Parties in America puts ideology front and center in the discussion of party coalition change. Treating ideology as neither a nuisance nor a given, the analysis describes the development of the modern liberal and conservative ideologies that form the basis of our modern political parties. Hans Noel shows that liberalism and conservatism emerged as important forces independent of existing political parties. These ideologies then reshaped parties in their own image. Modern polarization can thus be explained as the natural outcome of living in a period, perhaps the first in our history, in which two dominant ideologies have captured the two dominant political parties.","citation-key":"noelPoliticalIdeologiesPolitical2014","collection-title":"Cambridge Studies in Public Opinion and Political Psychology","DOI":"10.1017/CBO9781139814775","ISBN":"978-1-107-03831-8","publisher":"Cambridge University Press","publisher-place":"Cambridge","source":"Cambridge University Press","title":"Political Ideologies and Political Parties in America","URL":"https://www.cambridge.org/core/books/political-ideologies-and-political-parties-in-america/12FA32F3A648567C17237188DBF3F0FA","author":[{"family":"Noel","given":"Hans"}],"accessed":{"date-parts":[["2026",1,30]]},"issued":{"date-parts":[["2014"]]}}}],"schema":"https://github.com/citation-style-language/schema/raw/master/csl-citation.json"} </w:instrText>
      </w:r>
      <w:r>
        <w:fldChar w:fldCharType="separate"/>
      </w:r>
      <w:r w:rsidRPr="00DC2C9F">
        <w:t>(Baldassarri &amp; Gelman, 2008; Noel, 2014)</w:t>
      </w:r>
      <w:r>
        <w:fldChar w:fldCharType="end"/>
      </w:r>
      <w:r>
        <w:rPr>
          <w:rFonts w:hint="eastAsia"/>
        </w:rPr>
        <w:t xml:space="preserve">. </w:t>
      </w:r>
      <w:r w:rsidRPr="00A806B0">
        <w:t xml:space="preserve">Foreign policy </w:t>
      </w:r>
      <w:r>
        <w:rPr>
          <w:rFonts w:hint="eastAsia"/>
        </w:rPr>
        <w:t xml:space="preserve">debates </w:t>
      </w:r>
      <w:r w:rsidRPr="00A806B0">
        <w:t xml:space="preserve">frequently </w:t>
      </w:r>
      <w:r>
        <w:t>blur</w:t>
      </w:r>
      <w:r>
        <w:rPr>
          <w:rFonts w:hint="eastAsia"/>
        </w:rPr>
        <w:t xml:space="preserve"> partisan cleavages with </w:t>
      </w:r>
      <w:r w:rsidRPr="00A806B0">
        <w:t>divisions within parties as well as between them</w:t>
      </w:r>
      <w:r>
        <w:rPr>
          <w:rFonts w:hint="eastAsia"/>
        </w:rPr>
        <w:t xml:space="preserve"> </w:t>
      </w:r>
      <w:r>
        <w:fldChar w:fldCharType="begin"/>
      </w:r>
      <w:r>
        <w:instrText xml:space="preserve"> ADDIN ZOTERO_ITEM CSL_CITATION {"citationID":"WhRa7RqA","properties":{"unsorted":false,"formattedCitation":"(Prather, 2014; Rathbun, 2016)","plainCitation":"(Prather, 2014; Rathbun, 2016)","noteIndex":0},"citationItems":[{"id":8553,"uris":["http://zotero.org/users/6825464/items/3BQU4LQM"],"itemData":{"id":8553,"type":"article-journal","citation-key":"pratherValuesWatersEdge2014","container-title":"Unpublished manuscript, Stanford University, Stanford, CA","source":"Google Scholar","title":"Values at the water’s edge: Social welfare values and foreign aid","title-short":"Values at the water’s edge","URL":"https://developmentengagementlab.org/storage/values-at-the-waters-edge-social-welfare-values-and-foreign-aid-1581607674.pdf","author":[{"family":"Prather","given":"Lauren"}],"accessed":{"date-parts":[["2026",1,30]]},"issued":{"date-parts":[["2014"]]}}},{"id":8383,"uris":["http://zotero.org/users/6825464/items/DAVTLN42"],"itemData":{"id":8383,"type":"article-journal","citation-key":"rathbunWedgesWidgetsLiberalism2016","container-title":"Foreign Policy Analysis","issue":"1","page":"85–108","publisher":"Oxford University Press","source":"Google Scholar","title":"Wedges and widgets: liberalism, libertarianism, and the trade attitudes of the American mass public and elites","title-short":"Wedges and widgets","volume":"12","author":[{"family":"Rathbun","given":"Brian"}],"issued":{"date-parts":[["2016"]]}}}],"schema":"https://github.com/citation-style-language/schema/raw/master/csl-citation.json"} </w:instrText>
      </w:r>
      <w:r>
        <w:fldChar w:fldCharType="separate"/>
      </w:r>
      <w:r w:rsidRPr="00EB2551">
        <w:t>(Prather, 2014; Rathbun, 2016)</w:t>
      </w:r>
      <w:r>
        <w:fldChar w:fldCharType="end"/>
      </w:r>
      <w:r w:rsidRPr="009C53AE">
        <w:t xml:space="preserve">. </w:t>
      </w:r>
      <w:r>
        <w:rPr>
          <w:rFonts w:hint="eastAsia"/>
        </w:rPr>
        <w:t xml:space="preserve">Such </w:t>
      </w:r>
      <w:r w:rsidRPr="00793023">
        <w:t>distinction</w:t>
      </w:r>
      <w:r w:rsidRPr="00793023">
        <w:rPr>
          <w:color w:val="1F1F1F"/>
        </w:rPr>
        <w:t xml:space="preserve"> </w:t>
      </w:r>
      <w:r w:rsidRPr="00793023">
        <w:t>also</w:t>
      </w:r>
      <w:r w:rsidRPr="00793023">
        <w:rPr>
          <w:color w:val="1F1F1F"/>
        </w:rPr>
        <w:t xml:space="preserve"> </w:t>
      </w:r>
      <w:r w:rsidRPr="00793023">
        <w:t>changes</w:t>
      </w:r>
      <w:r w:rsidRPr="00793023">
        <w:rPr>
          <w:color w:val="1F1F1F"/>
        </w:rPr>
        <w:t xml:space="preserve"> </w:t>
      </w:r>
      <w:r w:rsidRPr="00793023">
        <w:t>how</w:t>
      </w:r>
      <w:r w:rsidRPr="00793023">
        <w:rPr>
          <w:color w:val="1F1F1F"/>
        </w:rPr>
        <w:t xml:space="preserve"> </w:t>
      </w:r>
      <w:r w:rsidRPr="00793023">
        <w:t>apparent</w:t>
      </w:r>
      <w:r w:rsidRPr="00793023">
        <w:rPr>
          <w:color w:val="1F1F1F"/>
        </w:rPr>
        <w:t xml:space="preserve"> </w:t>
      </w:r>
      <w:r w:rsidRPr="00793023">
        <w:t>consensus</w:t>
      </w:r>
      <w:r w:rsidRPr="00793023">
        <w:rPr>
          <w:color w:val="1F1F1F"/>
        </w:rPr>
        <w:t xml:space="preserve"> </w:t>
      </w:r>
      <w:r w:rsidRPr="00793023">
        <w:t>should</w:t>
      </w:r>
      <w:r w:rsidRPr="00793023">
        <w:rPr>
          <w:color w:val="1F1F1F"/>
        </w:rPr>
        <w:t xml:space="preserve"> </w:t>
      </w:r>
      <w:r w:rsidRPr="00793023">
        <w:t>be</w:t>
      </w:r>
      <w:r w:rsidRPr="00793023">
        <w:rPr>
          <w:color w:val="1F1F1F"/>
        </w:rPr>
        <w:t xml:space="preserve"> </w:t>
      </w:r>
      <w:r w:rsidRPr="00793023">
        <w:t>interpreted.</w:t>
      </w:r>
      <w:r w:rsidRPr="00793023">
        <w:rPr>
          <w:color w:val="1F1F1F"/>
        </w:rPr>
        <w:t xml:space="preserve"> </w:t>
      </w:r>
      <w:r w:rsidRPr="00793023">
        <w:t>Interparty</w:t>
      </w:r>
      <w:r w:rsidRPr="00793023">
        <w:rPr>
          <w:color w:val="1F1F1F"/>
        </w:rPr>
        <w:t xml:space="preserve"> </w:t>
      </w:r>
      <w:r w:rsidRPr="00793023">
        <w:t>agreement</w:t>
      </w:r>
      <w:r w:rsidRPr="00793023">
        <w:rPr>
          <w:color w:val="1F1F1F"/>
        </w:rPr>
        <w:t xml:space="preserve"> </w:t>
      </w:r>
      <w:r w:rsidRPr="00793023">
        <w:t>can</w:t>
      </w:r>
      <w:r w:rsidRPr="00793023">
        <w:rPr>
          <w:color w:val="1F1F1F"/>
        </w:rPr>
        <w:t xml:space="preserve"> </w:t>
      </w:r>
      <w:r w:rsidRPr="00793023">
        <w:t>coexist</w:t>
      </w:r>
      <w:r w:rsidRPr="00793023">
        <w:rPr>
          <w:color w:val="1F1F1F"/>
        </w:rPr>
        <w:t xml:space="preserve"> </w:t>
      </w:r>
      <w:r w:rsidRPr="00793023">
        <w:t>with</w:t>
      </w:r>
      <w:r w:rsidRPr="00793023">
        <w:rPr>
          <w:color w:val="1F1F1F"/>
        </w:rPr>
        <w:t xml:space="preserve"> </w:t>
      </w:r>
      <w:r w:rsidRPr="00793023">
        <w:t>intraparty</w:t>
      </w:r>
      <w:r w:rsidRPr="00793023">
        <w:rPr>
          <w:color w:val="1F1F1F"/>
        </w:rPr>
        <w:t xml:space="preserve"> </w:t>
      </w:r>
      <w:r w:rsidRPr="00793023">
        <w:t>division,</w:t>
      </w:r>
      <w:r w:rsidRPr="00793023">
        <w:rPr>
          <w:color w:val="1F1F1F"/>
        </w:rPr>
        <w:t xml:space="preserve"> </w:t>
      </w:r>
      <w:r w:rsidRPr="00793023">
        <w:t>and</w:t>
      </w:r>
      <w:r w:rsidRPr="00793023">
        <w:rPr>
          <w:color w:val="1F1F1F"/>
        </w:rPr>
        <w:t xml:space="preserve"> </w:t>
      </w:r>
      <w:r w:rsidRPr="00793023">
        <w:t>aggregate</w:t>
      </w:r>
      <w:r w:rsidRPr="00793023">
        <w:rPr>
          <w:color w:val="1F1F1F"/>
        </w:rPr>
        <w:t xml:space="preserve"> </w:t>
      </w:r>
      <w:r w:rsidRPr="00793023">
        <w:t>party</w:t>
      </w:r>
      <w:r w:rsidRPr="00793023">
        <w:rPr>
          <w:color w:val="1F1F1F"/>
        </w:rPr>
        <w:t xml:space="preserve"> </w:t>
      </w:r>
      <w:r w:rsidRPr="00793023">
        <w:t>differences</w:t>
      </w:r>
      <w:r w:rsidRPr="00793023">
        <w:rPr>
          <w:color w:val="1F1F1F"/>
        </w:rPr>
        <w:t xml:space="preserve"> </w:t>
      </w:r>
      <w:r w:rsidRPr="00793023">
        <w:t>can</w:t>
      </w:r>
      <w:r w:rsidRPr="00793023">
        <w:rPr>
          <w:color w:val="1F1F1F"/>
        </w:rPr>
        <w:t xml:space="preserve"> </w:t>
      </w:r>
      <w:r w:rsidRPr="00793023">
        <w:t>obscure</w:t>
      </w:r>
      <w:r w:rsidRPr="00793023">
        <w:rPr>
          <w:color w:val="1F1F1F"/>
        </w:rPr>
        <w:t xml:space="preserve"> </w:t>
      </w:r>
      <w:r w:rsidRPr="00793023">
        <w:t>coalitions</w:t>
      </w:r>
      <w:r w:rsidRPr="00793023">
        <w:rPr>
          <w:color w:val="1F1F1F"/>
        </w:rPr>
        <w:t xml:space="preserve"> </w:t>
      </w:r>
      <w:r w:rsidRPr="00793023">
        <w:t>that</w:t>
      </w:r>
      <w:r w:rsidRPr="00793023">
        <w:rPr>
          <w:color w:val="1F1F1F"/>
        </w:rPr>
        <w:t xml:space="preserve"> </w:t>
      </w:r>
      <w:r w:rsidRPr="00793023">
        <w:t>cut</w:t>
      </w:r>
      <w:r w:rsidRPr="00793023">
        <w:rPr>
          <w:color w:val="1F1F1F"/>
        </w:rPr>
        <w:t xml:space="preserve"> </w:t>
      </w:r>
      <w:r w:rsidRPr="00793023">
        <w:t>across</w:t>
      </w:r>
      <w:r w:rsidRPr="00793023">
        <w:rPr>
          <w:color w:val="1F1F1F"/>
        </w:rPr>
        <w:t xml:space="preserve"> </w:t>
      </w:r>
      <w:r w:rsidRPr="00793023">
        <w:t>party</w:t>
      </w:r>
      <w:r w:rsidRPr="00793023">
        <w:rPr>
          <w:color w:val="1F1F1F"/>
        </w:rPr>
        <w:t xml:space="preserve"> </w:t>
      </w:r>
      <w:r w:rsidRPr="00793023">
        <w:t>lines</w:t>
      </w:r>
      <w:r>
        <w:rPr>
          <w:rFonts w:hint="eastAsia"/>
        </w:rPr>
        <w:t xml:space="preserve"> </w:t>
      </w:r>
      <w:r>
        <w:t>without accounting for intraparty agreement and division</w:t>
      </w:r>
      <w:r>
        <w:rPr>
          <w:rFonts w:hint="eastAsia"/>
        </w:rPr>
        <w:t xml:space="preserve"> </w:t>
      </w:r>
      <w:r>
        <w:fldChar w:fldCharType="begin"/>
      </w:r>
      <w:r>
        <w:instrText xml:space="preserve"> ADDIN ZOTERO_ITEM CSL_CITATION {"citationID":"knrrMZ8K","properties":{"unsorted":false,"formattedCitation":"(Friedrichs &amp; Tama, 2022)","plainCitation":"(Friedrichs &amp; Tama, 2022)","noteIndex":0},"citationItems":[{"id":8375,"uris":["http://zotero.org/users/6825464/items/57CREI5V"],"itemData":{"id":8375,"type":"article-journal","abstract":"Polarization in the USA has been on the rise for several decades. In this context, few observers expect politics today to stop “at the water’s edge,” as the old cliché goes. But key questions about the relationship between polarization and US foreign policy remain to be fully answered. To what extent are American ideas about foreign policy now polarized along partisan lines? How is polarization changing the foreign policy behavior of the US Congress and President? And how is polarization altering the effectiveness of US foreign policy and influencing America’s role in the world? In this introductory article to our special issue “Domestic Polarization and US Foreign Policy: Ideas, Institutions, and Policy Implications,” we provide an overview of key debates and existing knowledge about these questions, highlight important new findings from the contributions to the special issue, and suggest avenues for further research on this increasingly important topic.","citation-key":"friedrichsPolarizationUSForeign2022","container-title":"International Politics (Hague, Netherlands)","DOI":"10.1057/s41311-022-00381-0","ISSN":"1384-5748","issue":"5","journalAbbreviation":"Int Polit (Hague)","page":"767-785","PMID":"40477983","PMCID":"PMC8914437","source":"PubMed Central","title":"Polarization and US foreign policy: key debates and new findings","title-short":"Polarization and US foreign policy","volume":"59","author":[{"family":"Friedrichs","given":"Gordon M."},{"family":"Tama","given":"Jordan"}],"issued":{"date-parts":[["2022"]]}}}],"schema":"https://github.com/citation-style-language/schema/raw/master/csl-citation.json"} </w:instrText>
      </w:r>
      <w:r>
        <w:fldChar w:fldCharType="separate"/>
      </w:r>
      <w:r>
        <w:rPr>
          <w:noProof/>
        </w:rPr>
        <w:t>(Friedrichs &amp; Tama, 2022)</w:t>
      </w:r>
      <w:r>
        <w:fldChar w:fldCharType="end"/>
      </w:r>
      <w:r w:rsidRPr="00793023">
        <w:t>.</w:t>
      </w:r>
      <w:r>
        <w:rPr>
          <w:rFonts w:hint="eastAsia"/>
        </w:rPr>
        <w:t xml:space="preserve"> </w:t>
      </w:r>
    </w:p>
    <w:p w14:paraId="1282DD2C" w14:textId="77777777" w:rsidR="00EE60D6" w:rsidRDefault="00EE60D6" w:rsidP="00EE60D6">
      <w:pPr>
        <w:rPr>
          <w:color w:val="1F1F1F"/>
        </w:rPr>
      </w:pPr>
    </w:p>
    <w:p w14:paraId="416B9BF4" w14:textId="77777777" w:rsidR="00EE60D6" w:rsidRPr="00636C6C" w:rsidRDefault="00EE60D6" w:rsidP="00EE60D6">
      <w:r>
        <w:rPr>
          <w:rFonts w:hint="eastAsia"/>
          <w:color w:val="1F1F1F"/>
        </w:rPr>
        <w:lastRenderedPageBreak/>
        <w:t xml:space="preserve">Additionally, </w:t>
      </w:r>
      <w:r>
        <w:rPr>
          <w:rFonts w:hint="eastAsia"/>
        </w:rPr>
        <w:t>t</w:t>
      </w:r>
      <w:r w:rsidRPr="001345D8">
        <w:t xml:space="preserve">he </w:t>
      </w:r>
      <w:r>
        <w:rPr>
          <w:rFonts w:hint="eastAsia"/>
        </w:rPr>
        <w:t>durability</w:t>
      </w:r>
      <w:r w:rsidRPr="001345D8">
        <w:t xml:space="preserve"> of bipartisan foreign policy consensus carries significant implications beyond academic interest. As </w:t>
      </w:r>
      <w:r>
        <w:fldChar w:fldCharType="begin"/>
      </w:r>
      <w:r>
        <w:instrText xml:space="preserve"> ADDIN ZOTERO_ITEM CSL_CITATION {"citationID":"zwSJXnCT","properties":{"unsorted":false,"formattedCitation":"(Bryan &amp; Tama, 2022)","plainCitation":"(Bryan &amp; Tama, 2022)","dontUpdate":true,"noteIndex":0},"citationItems":[{"id":8481,"uris":["http://zotero.org/users/6825464/items/PWIQLZ8V"],"itemData":{"id":8481,"type":"article-journal","abstract":"To what extent are U.S. elected officials polarized on foreign policy? And how do patterns of polarization and bipartisanship differ across policy areas? Using an original data set of nearly 3000 important congressional votes since the end of the Cold War, we find that severe polarization remains the exception rather than the norm in U.S. foreign policy debates and that the U.S. Congress is still less polarized on international than on domestic issues. We also show that foreign policy bipartisanship regularly takes several forms, including bipartisan agreement in support of the president’s policies, cross-partisan coalitions, and even bipartisan opposition to the president’s policies. Collectively, our findings provide a more nuanced portrait of the politics of U.S. foreign policy than many recent accounts, point to persistent differences in the political alignments associated with different policy areas, and highlight the importance of conceiving of polarization and bipartisanship as more than binary categories.","citation-key":"bryanPrevalenceBipartisanshipUS2022","container-title":"International Politics","DOI":"10.1057/s41311-021-00348-7","ISSN":"1740-3898","issue":"5","journalAbbreviation":"Int Polit","language":"en","page":"874-897","source":"Springer Link","title":"The prevalence of bipartisanship in U.S. foreign policy: an analysis of important congressional votes","title-short":"The prevalence of bipartisanship in U.S. foreign policy","volume":"59","author":[{"family":"Bryan","given":"James D."},{"family":"Tama","given":"Jordan"}],"issued":{"date-parts":[["2022",10,1]]}}}],"schema":"https://github.com/citation-style-language/schema/raw/master/csl-citation.json"} </w:instrText>
      </w:r>
      <w:r>
        <w:fldChar w:fldCharType="separate"/>
      </w:r>
      <w:r w:rsidRPr="007D7115">
        <w:t>Bryan &amp; Tama</w:t>
      </w:r>
      <w:r>
        <w:rPr>
          <w:rFonts w:hint="eastAsia"/>
        </w:rPr>
        <w:t xml:space="preserve"> (</w:t>
      </w:r>
      <w:r w:rsidRPr="007D7115">
        <w:t>2022)</w:t>
      </w:r>
      <w:r>
        <w:fldChar w:fldCharType="end"/>
      </w:r>
      <w:r w:rsidRPr="00C94915">
        <w:t xml:space="preserve"> argue, partisan division on foreign policy undermines America</w:t>
      </w:r>
      <w:r>
        <w:t>’</w:t>
      </w:r>
      <w:r>
        <w:rPr>
          <w:rFonts w:hint="eastAsia"/>
        </w:rPr>
        <w:t>s</w:t>
      </w:r>
      <w:r w:rsidRPr="00C94915">
        <w:t xml:space="preserve"> capacity to maintain reliable partnerships abroad, honor long-term international obligations, project unified national purpose, fund necessary global initiatives, and adapt strategy based on past experiences.</w:t>
      </w:r>
      <w:r>
        <w:rPr>
          <w:rFonts w:hint="eastAsia"/>
        </w:rPr>
        <w:t xml:space="preserve"> </w:t>
      </w:r>
      <w:r w:rsidRPr="00D273C2">
        <w:t xml:space="preserve">Work on the Ukraine </w:t>
      </w:r>
      <w:r>
        <w:t>war</w:t>
      </w:r>
      <w:r w:rsidRPr="00D273C2">
        <w:t xml:space="preserve"> makes those costs concrete. </w:t>
      </w:r>
      <w:r>
        <w:fldChar w:fldCharType="begin"/>
      </w:r>
      <w:r>
        <w:instrText xml:space="preserve"> ADDIN ZOTERO_ITEM CSL_CITATION {"citationID":"6bMjBnGj","properties":{"unsorted":false,"formattedCitation":"(Stewart, 2023)","plainCitation":"(Stewart, 2023)","dontUpdate":true,"noteIndex":0},"citationItems":[{"id":8446,"uris":["http://zotero.org/users/6825464/items/ZI9YTSGK"],"itemData":{"id":8446,"type":"article-journal","abstract":"This article revisits the 2021 Global Posture Review's determination for a status quo European force posture in the wake of the Russian invasion of Ukraine. Considering the poor Russian performance and attrition in the war, and the likely frozen conflict that will emerge, the article lays out the process by which the United States can draw down its permanent presence in Europe to refocus on the Pacific and restructure its relationship with the North Atlantic Treaty Organization (NATO), all while maintaining alliance unity. The article has two main recommendations. The first is a time line for a reduced U.S. force posture in Europe from the present to 2035 while placing more emphasis on a European role in NATO leadership. The second is focused on how to maintain strategic flexibility while reassuring NATO allies of U.S. commitment. It then identifies and provides mitigations for the anticipated risks associated with the recommendations.","citation-key":"stewartRevisitingGlobalPosture2023","container-title":"Journal of Advanced Military Studies","ISSN":"2770-260X","issue":"2","page":"77-87","publisher":"Marine Corps University Press","source":"Project MUSE","title":"Revisiting the Global Posture Review: A New U.S. Approach to European Defense and NATO in a Post-Ukraine War World","title-short":"Revisiting the Global Posture Review","volume":"14","author":[{"family":"Stewart","given":"Maxwell USMC"}],"issued":{"date-parts":[["2023"]]}}}],"schema":"https://github.com/citation-style-language/schema/raw/master/csl-citation.json"} </w:instrText>
      </w:r>
      <w:r>
        <w:fldChar w:fldCharType="separate"/>
      </w:r>
      <w:r>
        <w:rPr>
          <w:noProof/>
        </w:rPr>
        <w:t>Stewart (2023)</w:t>
      </w:r>
      <w:r>
        <w:fldChar w:fldCharType="end"/>
      </w:r>
      <w:r>
        <w:t xml:space="preserve"> </w:t>
      </w:r>
      <w:r w:rsidRPr="00D273C2">
        <w:t xml:space="preserve">assesses what shifting support implies for United States force posture in Europe, and </w:t>
      </w:r>
      <w:r>
        <w:fldChar w:fldCharType="begin"/>
      </w:r>
      <w:r>
        <w:instrText xml:space="preserve"> ADDIN ZOTERO_ITEM CSL_CITATION {"citationID":"bnbsNbbS","properties":{"unsorted":false,"formattedCitation":"(Thakkar, 2024)","plainCitation":"(Thakkar, 2024)","dontUpdate":true,"noteIndex":0},"citationItems":[{"id":8430,"uris":["http://zotero.org/users/6825464/items/XB9J9MP9"],"itemData":{"id":8430,"type":"article-journal","abstract":"With its rise will India be a responsible stakeholder or uphold US interests? These questions have occupied analysts since the turn of the century when India started featuring prominently in US grand strategy as a future great power. Two assumptions were laid out: (a) India's rise will have salutary effects in Asia, and (b) India's strong sense of neutrality, known as “strategic autonomy,” and its newfound “strategic proximity” with the US will have to coexist. Amidst this came the Russia-Ukraine War. India's steadfast reluctance to take sides and its imports of Russian oil reignited the debate from which two camps emerged which (a) suggested “patience” with India as there is a bigger prize in the Indo-Pacific, and (b) advocated “punishment” by downsizing investments in and expectations from New Delhi. I point out how both these recommendations are flawed and do not aid in US grand strategic objectives. I advocate a third view of “leveraging” neutrality, which argues two major points. First, given the strong sense of strategic autonomy, both countries must agree to a larger room for disagreements. Second, instead of expecting absolute allegiance, US policy planners should strive to leverage India's size and autonomy in cases like Russia, Iran, Myanmar, and others in the global south.","citation-key":"thakkarRussiaUkraineWarIndia2024","container-title":"Policy Studies","DOI":"10.1080/01442872.2024.2302437","ISSN":"0144-2872","issue":"3-4","note":"_eprint: https://doi.org/10.1080/01442872.2024.2302437","page":"595-613","publisher":"Routledge","source":"Taylor and Francis+NEJM","title":"Russia-Ukraine War, India, and US grand strategy: punishing or leveraging neutrality?","title-short":"Russia-Ukraine War, India, and US grand strategy","volume":"45","author":[{"family":"Thakkar","given":"Chirayu"}],"issued":{"date-parts":[["2024",5,3]]}}}],"schema":"https://github.com/citation-style-language/schema/raw/master/csl-citation.json"} </w:instrText>
      </w:r>
      <w:r>
        <w:fldChar w:fldCharType="separate"/>
      </w:r>
      <w:r>
        <w:rPr>
          <w:noProof/>
        </w:rPr>
        <w:t>Thakkar (2024)</w:t>
      </w:r>
      <w:r>
        <w:fldChar w:fldCharType="end"/>
      </w:r>
      <w:r>
        <w:t xml:space="preserve"> s</w:t>
      </w:r>
      <w:r w:rsidRPr="00D273C2">
        <w:t>hows that third parties read United States commitment as a signal, examining how India</w:t>
      </w:r>
      <w:r>
        <w:t>’s</w:t>
      </w:r>
      <w:r w:rsidRPr="00D273C2">
        <w:t xml:space="preserve"> strategic proximity to Washington interacts with its reluctance to take sides.</w:t>
      </w:r>
      <w:r>
        <w:t xml:space="preserve"> U</w:t>
      </w:r>
      <w:r w:rsidRPr="001345D8">
        <w:t xml:space="preserve">nderstanding when and </w:t>
      </w:r>
      <w:r>
        <w:rPr>
          <w:rFonts w:hint="eastAsia"/>
        </w:rPr>
        <w:t xml:space="preserve">how </w:t>
      </w:r>
      <w:r w:rsidRPr="001345D8">
        <w:t>foreign policy issues polarize thus addresses questions of both scholarly and practical significance.</w:t>
      </w:r>
    </w:p>
    <w:p w14:paraId="584AB79B" w14:textId="77777777" w:rsidR="00EE60D6" w:rsidRDefault="00EE60D6" w:rsidP="00EE60D6"/>
    <w:p w14:paraId="45729897" w14:textId="77777777" w:rsidR="00EE60D6" w:rsidRDefault="00EE60D6" w:rsidP="00EE60D6">
      <w:pPr>
        <w:rPr>
          <w:i/>
          <w:iCs/>
        </w:rPr>
      </w:pPr>
      <w:r w:rsidRPr="00EB2F60">
        <w:rPr>
          <w:i/>
          <w:iCs/>
        </w:rPr>
        <w:t xml:space="preserve">Ukraine Aid as a </w:t>
      </w:r>
      <w:r>
        <w:rPr>
          <w:rFonts w:hint="eastAsia"/>
          <w:i/>
          <w:iCs/>
        </w:rPr>
        <w:t>Particular Case</w:t>
      </w:r>
    </w:p>
    <w:p w14:paraId="5854A62E" w14:textId="77777777" w:rsidR="00EE60D6" w:rsidRPr="00A51D93" w:rsidRDefault="00EE60D6" w:rsidP="00EE60D6">
      <w:pPr>
        <w:shd w:val="clear" w:color="auto" w:fill="FFFFFF"/>
        <w:spacing w:line="315" w:lineRule="atLeast"/>
      </w:pPr>
      <w:r>
        <w:rPr>
          <w:rFonts w:hint="eastAsia"/>
        </w:rPr>
        <w:t>U</w:t>
      </w:r>
      <w:r w:rsidRPr="009377FB">
        <w:t>nited</w:t>
      </w:r>
      <w:r w:rsidRPr="009377FB">
        <w:rPr>
          <w:color w:val="1F1F1F"/>
        </w:rPr>
        <w:t xml:space="preserve"> </w:t>
      </w:r>
      <w:r w:rsidRPr="009377FB">
        <w:t>States</w:t>
      </w:r>
      <w:r w:rsidRPr="009377FB">
        <w:rPr>
          <w:color w:val="1F1F1F"/>
        </w:rPr>
        <w:t xml:space="preserve"> </w:t>
      </w:r>
      <w:r w:rsidRPr="009377FB">
        <w:t>assistance</w:t>
      </w:r>
      <w:r w:rsidRPr="009377FB">
        <w:rPr>
          <w:color w:val="1F1F1F"/>
        </w:rPr>
        <w:t xml:space="preserve"> </w:t>
      </w:r>
      <w:r w:rsidRPr="009377FB">
        <w:t>to</w:t>
      </w:r>
      <w:r w:rsidRPr="009377FB">
        <w:rPr>
          <w:color w:val="1F1F1F"/>
        </w:rPr>
        <w:t xml:space="preserve"> </w:t>
      </w:r>
      <w:r w:rsidRPr="009377FB">
        <w:t>Ukraine</w:t>
      </w:r>
      <w:r w:rsidRPr="009377FB">
        <w:rPr>
          <w:color w:val="1F1F1F"/>
        </w:rPr>
        <w:t xml:space="preserve"> </w:t>
      </w:r>
      <w:r w:rsidRPr="009377FB">
        <w:t>presents</w:t>
      </w:r>
      <w:r w:rsidRPr="009377FB">
        <w:rPr>
          <w:color w:val="1F1F1F"/>
        </w:rPr>
        <w:t xml:space="preserve"> </w:t>
      </w:r>
      <w:r w:rsidRPr="009377FB">
        <w:t>a</w:t>
      </w:r>
      <w:r w:rsidRPr="009377FB">
        <w:rPr>
          <w:color w:val="1F1F1F"/>
        </w:rPr>
        <w:t xml:space="preserve"> </w:t>
      </w:r>
      <w:r>
        <w:rPr>
          <w:rFonts w:hint="eastAsia"/>
        </w:rPr>
        <w:t>question</w:t>
      </w:r>
      <w:r w:rsidRPr="009377FB">
        <w:rPr>
          <w:color w:val="1F1F1F"/>
        </w:rPr>
        <w:t xml:space="preserve"> </w:t>
      </w:r>
      <w:r w:rsidRPr="009377FB">
        <w:t>about</w:t>
      </w:r>
      <w:r w:rsidRPr="009377FB">
        <w:rPr>
          <w:color w:val="1F1F1F"/>
        </w:rPr>
        <w:t xml:space="preserve"> </w:t>
      </w:r>
      <w:r w:rsidRPr="009377FB">
        <w:t>the</w:t>
      </w:r>
      <w:r w:rsidRPr="009377FB">
        <w:rPr>
          <w:color w:val="1F1F1F"/>
        </w:rPr>
        <w:t xml:space="preserve"> </w:t>
      </w:r>
      <w:r w:rsidRPr="009377FB">
        <w:t>durability</w:t>
      </w:r>
      <w:r w:rsidRPr="009377FB">
        <w:rPr>
          <w:color w:val="1F1F1F"/>
        </w:rPr>
        <w:t xml:space="preserve"> </w:t>
      </w:r>
      <w:r w:rsidRPr="009377FB">
        <w:t>of</w:t>
      </w:r>
      <w:r w:rsidRPr="009377FB">
        <w:rPr>
          <w:color w:val="1F1F1F"/>
        </w:rPr>
        <w:t xml:space="preserve"> </w:t>
      </w:r>
      <w:r w:rsidRPr="009377FB">
        <w:t>political</w:t>
      </w:r>
      <w:r w:rsidRPr="009377FB">
        <w:rPr>
          <w:color w:val="1F1F1F"/>
        </w:rPr>
        <w:t xml:space="preserve"> </w:t>
      </w:r>
      <w:r w:rsidRPr="009377FB">
        <w:t>alignment.</w:t>
      </w:r>
      <w:r w:rsidRPr="00A51D93">
        <w:t xml:space="preserve"> In the first year after Russia</w:t>
      </w:r>
      <w:r>
        <w:t>’</w:t>
      </w:r>
      <w:r w:rsidRPr="00A51D93">
        <w:t>s full-scale invasion, policy combined extensive military, economic, diplomatic, and intelligence support with substantial bipartisan backing</w:t>
      </w:r>
      <w:r>
        <w:rPr>
          <w:rFonts w:hint="eastAsia"/>
        </w:rPr>
        <w:t xml:space="preserve"> </w:t>
      </w:r>
      <w:r>
        <w:fldChar w:fldCharType="begin"/>
      </w:r>
      <w:r>
        <w:instrText xml:space="preserve"> ADDIN ZOTERO_ITEM CSL_CITATION {"citationID":"zS1jYwT3","properties":{"unsorted":false,"formattedCitation":"(P. Harris et al., 2023)","plainCitation":"(P. Harris et al., 2023)","noteIndex":0},"citationItems":[{"id":8394,"uris":["http://zotero.org/users/6825464/items/I3B7UPLM"],"itemData":{"id":8394,"type":"article-journal","abstract":"America’s response to the Russian invasion of Ukraine surprised many analysts, both because of its severity, and because of the speed and vigour with which it was implemented. Yet President Biden’s policy toward the war in Ukraine has also been noteworthy because of the bipartisan support it has enjoyed at home. Americans have become used to hyper-partisanship as a defining feature of their government and politics, but Biden’s policies of support for Ukraine have engendered a rare instance of cross-party unity in Washington, DC. For how long will US support for Ukraine endure? And what are the limits of bipartisanship? In this article, we argue that the key to answering these and related questions is to ascertain the national interests that US leaders view as being at stake in the war. After considering three rival explanations of US policy toward Ukraine, however, we conclude that it is difficult to determine whether there is any stable intersubjective understanding of the US interest in Ukrainian security. The future of America’s engagement in Ukraine will depend upon how the war is experienced, processed, and politicised by actors on the home front.","citation-key":"harrisWarUkrainePolarised2023a","container-title":"LSE Public Policy Review","DOI":"10.31389/lseppr.89","ISSN":"2633-4046","issue":"1","language":"eng","license":"cc_by_4","note":"number-of-pages: 8","publisher":"LSE Press","source":"researchonline.lse.ac.uk","title":"War in Ukraine in a polarised America","URL":"https://ppr.lse.ac.uk/","volume":"3","author":[{"family":"Harris","given":"Peter"},{"family":"Marinova","given":"Iren"},{"family":"Gricius","given":"Gabriella"}],"accessed":{"date-parts":[["2026",1,31]]},"issued":{"date-parts":[["2023",9,8]]}}}],"schema":"https://github.com/citation-style-language/schema/raw/master/csl-citation.json"} </w:instrText>
      </w:r>
      <w:r>
        <w:fldChar w:fldCharType="separate"/>
      </w:r>
      <w:r>
        <w:rPr>
          <w:noProof/>
        </w:rPr>
        <w:t>(P. Harris et al., 2023)</w:t>
      </w:r>
      <w:r>
        <w:fldChar w:fldCharType="end"/>
      </w:r>
      <w:r w:rsidRPr="00A51D93">
        <w:t xml:space="preserve">. Yet early cooperation did not eliminate disagreement. Republican criticism was more visible, a small group called for ending support, and a broader group questioned unrestricted assistance </w:t>
      </w:r>
      <w:r>
        <w:fldChar w:fldCharType="begin"/>
      </w:r>
      <w:r>
        <w:instrText xml:space="preserve"> ADDIN ZOTERO_ITEM CSL_CITATION {"citationID":"YIRROPHP","properties":{"unsorted":false,"formattedCitation":"(P. Harris et al., 2023)","plainCitation":"(P. Harris et al., 2023)","noteIndex":0},"citationItems":[{"id":8394,"uris":["http://zotero.org/users/6825464/items/I3B7UPLM"],"itemData":{"id":8394,"type":"article-journal","abstract":"America’s response to the Russian invasion of Ukraine surprised many analysts, both because of its severity, and because of the speed and vigour with which it was implemented. Yet President Biden’s policy toward the war in Ukraine has also been noteworthy because of the bipartisan support it has enjoyed at home. Americans have become used to hyper-partisanship as a defining feature of their government and politics, but Biden’s policies of support for Ukraine have engendered a rare instance of cross-party unity in Washington, DC. For how long will US support for Ukraine endure? And what are the limits of bipartisanship? In this article, we argue that the key to answering these and related questions is to ascertain the national interests that US leaders view as being at stake in the war. After considering three rival explanations of US policy toward Ukraine, however, we conclude that it is difficult to determine whether there is any stable intersubjective understanding of the US interest in Ukrainian security. The future of America’s engagement in Ukraine will depend upon how the war is experienced, processed, and politicised by actors on the home front.","citation-key":"harrisWarUkrainePolarised2023a","container-title":"LSE Public Policy Review","DOI":"10.31389/lseppr.89","ISSN":"2633-4046","issue":"1","language":"eng","license":"cc_by_4","note":"number-of-pages: 8","publisher":"LSE Press","source":"researchonline.lse.ac.uk","title":"War in Ukraine in a polarised America","URL":"https://ppr.lse.ac.uk/","volume":"3","author":[{"family":"Harris","given":"Peter"},{"family":"Marinova","given":"Iren"},{"family":"Gricius","given":"Gabriella"}],"accessed":{"date-parts":[["2026",1,31]]},"issued":{"date-parts":[["2023",9,8]]}}}],"schema":"https://github.com/citation-style-language/schema/raw/master/csl-citation.json"} </w:instrText>
      </w:r>
      <w:r>
        <w:fldChar w:fldCharType="separate"/>
      </w:r>
      <w:r>
        <w:rPr>
          <w:noProof/>
        </w:rPr>
        <w:t>(P. Harris et al., 2023)</w:t>
      </w:r>
      <w:r>
        <w:fldChar w:fldCharType="end"/>
      </w:r>
      <w:r>
        <w:rPr>
          <w:rFonts w:hint="eastAsia"/>
        </w:rPr>
        <w:t xml:space="preserve">. </w:t>
      </w:r>
      <w:r w:rsidRPr="00A51D93">
        <w:t xml:space="preserve">Congress nevertheless approved large aid </w:t>
      </w:r>
      <w:r>
        <w:rPr>
          <w:rFonts w:hint="eastAsia"/>
        </w:rPr>
        <w:t xml:space="preserve">package </w:t>
      </w:r>
      <w:r w:rsidRPr="00A51D93">
        <w:rPr>
          <w:rFonts w:hint="eastAsia"/>
        </w:rPr>
        <w:t>t</w:t>
      </w:r>
      <w:r w:rsidRPr="00A51D93">
        <w:t xml:space="preserve">hrough cross-party coalitions, and later votes continued to pair unified or near-unified Democratic support with substantial, though divided, Republican support </w:t>
      </w:r>
      <w:r>
        <w:fldChar w:fldCharType="begin"/>
      </w:r>
      <w:r>
        <w:instrText xml:space="preserve"> ADDIN ZOTERO_ITEM CSL_CITATION {"citationID":"0P4SGCn2","properties":{"unsorted":false,"formattedCitation":"(Tama, 2025)","plainCitation":"(Tama, 2025)","noteIndex":0},"citationItems":[{"id":9644,"uris":["http://zotero.org/users/6825464/items/SFW5UBDA"],"itemData":{"id":9644,"type":"article-journal","abstract":"Despite the rise of polarization, some Democrats and Republicans have continued to join together in coalitions on important U.S. foreign policy issues. To what extent might these reservoirs of bipartisanship survive the intense partisanship associated with the 2024 election? Analyzing U.S. debates over policy toward Ukraine, Israel, and Taiwan, the paper finds neither consistent bipartisanship nor consistent polarization. Instead, they feature a mix of partisan disagreement, intra-party division, and cross-party cooperation.","container-title":"Zeitschrift für Außen- und Sicherheitspolitik","DOI":"10.1007/s12399-025-01067-0","ISSN":"1866-2196","issue":"4","journalAbbreviation":"Z Außen Sicherheitspolit","language":"en","page":"633-650","source":"Springer Link","title":"Bipartisanship Put to the Test: U.S. Policy Toward Ukraine, Israel, and Taiwan","title-short":"Bipartisanship Put to the Test","volume":"18","author":[{"family":"Tama","given":"Jordan"}],"issued":{"date-parts":[["2025",12,1]]}}}],"schema":"https://github.com/citation-style-language/schema/raw/master/csl-citation.json"} </w:instrText>
      </w:r>
      <w:r>
        <w:fldChar w:fldCharType="separate"/>
      </w:r>
      <w:r>
        <w:rPr>
          <w:noProof/>
        </w:rPr>
        <w:t>(Tama, 2025)</w:t>
      </w:r>
      <w:r>
        <w:fldChar w:fldCharType="end"/>
      </w:r>
      <w:r w:rsidRPr="00A51D93">
        <w:t xml:space="preserve">. The initial condition was </w:t>
      </w:r>
      <w:r>
        <w:rPr>
          <w:rFonts w:hint="eastAsia"/>
        </w:rPr>
        <w:t>a</w:t>
      </w:r>
      <w:r w:rsidRPr="00A51D93">
        <w:t xml:space="preserve"> broad but unsettled support</w:t>
      </w:r>
      <w:r>
        <w:rPr>
          <w:rFonts w:hint="eastAsia"/>
        </w:rPr>
        <w:t>.</w:t>
      </w:r>
    </w:p>
    <w:p w14:paraId="42781DEF" w14:textId="77777777" w:rsidR="00EE60D6" w:rsidRPr="00C602A7" w:rsidRDefault="00EE60D6" w:rsidP="00EE60D6">
      <w:pPr>
        <w:shd w:val="clear" w:color="auto" w:fill="FFFFFF"/>
        <w:spacing w:line="315" w:lineRule="atLeast"/>
        <w:rPr>
          <w:rFonts w:eastAsia="宋体"/>
          <w:color w:val="1F1F1F"/>
          <w:sz w:val="21"/>
          <w:szCs w:val="21"/>
        </w:rPr>
      </w:pPr>
    </w:p>
    <w:p w14:paraId="152130E5" w14:textId="77777777" w:rsidR="00EE60D6" w:rsidRDefault="00EE60D6" w:rsidP="00EE60D6">
      <w:r w:rsidRPr="00223101">
        <w:t xml:space="preserve">By late 2023, Ukraine aid had become a defining partisan issue, featuring prominently in Republican primary debates and contributing to the House Speaker crisis of October 2023. This transformation may reflect broader changes in the conditions enabling foreign policy bipartisanship. </w:t>
      </w:r>
      <w:r>
        <w:t xml:space="preserve">Some of those conditions were specific to Russia policy. </w:t>
      </w:r>
      <w:r>
        <w:fldChar w:fldCharType="begin"/>
      </w:r>
      <w:r>
        <w:instrText xml:space="preserve"> ADDIN ZOTERO_ITEM CSL_CITATION {"citationID":"OFId3TgO","properties":{"unsorted":false,"formattedCitation":"(Podraza, 2025)","plainCitation":"(Podraza, 2025)","dontUpdate":true,"noteIndex":0},"citationItems":[{"id":8402,"uris":["http://zotero.org/users/6825464/items/MGNETEZT"],"itemData":{"id":8402,"type":"article-journal","abstract":"This article examines Vladimir Putin’s decision to launch an attack on Ukraine in 2022, with particular attention to the United States’ policy toward Russia and Putin’s perception of it. The core argument is that Putin’s neo-imperial policy, deeply rooted in Russia’s history, identity, and desired global position, is the driving force behind the attack on Ukraine. The primary focus is on Putin’s interpretation of US policy. The absence of a consistent US stance toward Russia provided Putin with an opportunity to pursue his neo-imperial agenda, anticipating a lack of sustained response to Russia’s aggression against Ukraine.","citation-key":"podrazaInconsistencyUSPolicy2025","container-title":"Comparative Strategy","DOI":"10.1080/01495933.2025.2456423","ISSN":"0149-5933","issue":"2","note":"_eprint: https://doi.org/10.1080/01495933.2025.2456423","page":"201-219","publisher":"Routledge","source":"Taylor and Francis+NEJM","title":"Inconsistency of US policy toward Russia in the 21st century and the outbreak of war in Ukraine in 2022","volume":"44","author":[{"family":"Podraza","given":"Andrzej"}],"issued":{"date-parts":[["2025",3,4]]}}}],"schema":"https://github.com/citation-style-language/schema/raw/master/csl-citation.json"} </w:instrText>
      </w:r>
      <w:r>
        <w:fldChar w:fldCharType="separate"/>
      </w:r>
      <w:r>
        <w:rPr>
          <w:noProof/>
        </w:rPr>
        <w:t>Podraza (2025)</w:t>
      </w:r>
      <w:r>
        <w:fldChar w:fldCharType="end"/>
      </w:r>
      <w:r>
        <w:t xml:space="preserve"> traces how United States policy toward Russia varied across administrations without clear consistency, so the post-invasion consensus rested on agreement about an immediate response rather than on a long-term plan. Additionally, p</w:t>
      </w:r>
      <w:r w:rsidRPr="00223101">
        <w:t xml:space="preserve">artisan sorting means foreign policy preferences now correlate more strongly with domestic ideology than in previous decades. Media fragmentation enables distinct partisan narratives to develop without common informational foundations. And congressional behavior is increasingly driven by </w:t>
      </w:r>
      <w:r>
        <w:rPr>
          <w:rFonts w:hint="eastAsia"/>
        </w:rPr>
        <w:t xml:space="preserve">sense </w:t>
      </w:r>
      <w:r w:rsidRPr="00223101">
        <w:t xml:space="preserve">to vote with co-partisans regardless of their own policy views </w:t>
      </w:r>
      <w:r>
        <w:fldChar w:fldCharType="begin"/>
      </w:r>
      <w:r>
        <w:instrText xml:space="preserve"> ADDIN ZOTERO_ITEM CSL_CITATION {"citationID":"Irn13vZj","properties":{"unsorted":false,"formattedCitation":"(Lee, 2016; Theriault, 2013)","plainCitation":"(Lee, 2016; Theriault, 2013)","noteIndex":0},"citationItems":[{"id":8420,"uris":["http://zotero.org/users/6825464/items/UCJGKQ5U"],"itemData":{"id":8420,"type":"book","citation-key":"leeInsecureMajoritiesCongress2016","publisher":"University of Chicago Press","source":"Google Scholar","title":"Insecure majorities: Congress and the perpetual campaign","title-short":"Insecure majorities","URL":"https://books.google.com/books?hl=en&amp;lr=&amp;id=0NvFDAAAQBAJ&amp;oi=fnd&amp;pg=PR7&amp;dq=Insecure+Majorities:+Congress+and+the+Perpetual+Campaign.&amp;ots=bDioylGtP3&amp;sig=sMydiKoZArGQZHenW-B4uR3ze5Y","author":[{"family":"Lee","given":"Frances E."}],"accessed":{"date-parts":[["2026",1,30]]},"issued":{"date-parts":[["2016"]]}}},{"id":8431,"uris":["http://zotero.org/users/6825464/items/WDHIKX8N"],"itemData":{"id":8431,"type":"book","citation-key":"theriaultGingrichSenatorsRoots2013a","publisher":"Oxford University Press","source":"Google Scholar","title":"The Gingrich senators: The roots of partisan warfare in Congress","title-short":"The Gingrich senators","URL":"https://books.google.com/books?hl=en&amp;lr=&amp;id=-cxoAgAAQBAJ&amp;oi=fnd&amp;pg=PP1&amp;dq=The+Gingrich+Senators:+The+Roots+of+Partisan+Warfare+in+Congress.&amp;ots=xeWenPRch9&amp;sig=yknxVPowotUfpJs7czstL6bY_LY","author":[{"family":"Theriault","given":"Sean M."}],"accessed":{"date-parts":[["2026",1,30]]},"issued":{"date-parts":[["2013"]]}}}],"schema":"https://github.com/citation-style-language/schema/raw/master/csl-citation.json"} </w:instrText>
      </w:r>
      <w:r>
        <w:fldChar w:fldCharType="separate"/>
      </w:r>
      <w:r w:rsidRPr="00AD2547">
        <w:t>(Lee, 2016; Theriault, 2013)</w:t>
      </w:r>
      <w:r>
        <w:fldChar w:fldCharType="end"/>
      </w:r>
      <w:r w:rsidRPr="00223101">
        <w:t>. The Trump era intensified these dynamics, particularly regarding skepticism toward international commitments.</w:t>
      </w:r>
    </w:p>
    <w:p w14:paraId="355D7737" w14:textId="77777777" w:rsidR="00EE60D6" w:rsidRPr="005B243A" w:rsidRDefault="00EE60D6" w:rsidP="00EE60D6">
      <w:pPr>
        <w:rPr>
          <w:color w:val="1F1F1F"/>
        </w:rPr>
      </w:pPr>
    </w:p>
    <w:p w14:paraId="5DB35165" w14:textId="77777777" w:rsidR="00EE60D6" w:rsidRDefault="00EE60D6" w:rsidP="00EE60D6">
      <w:pPr>
        <w:rPr>
          <w:color w:val="1F1F1F"/>
        </w:rPr>
      </w:pPr>
      <w:r>
        <w:rPr>
          <w:rFonts w:hint="eastAsia"/>
          <w:color w:val="1F1F1F"/>
        </w:rPr>
        <w:t xml:space="preserve">The </w:t>
      </w:r>
      <w:r w:rsidRPr="009377FB">
        <w:t>Subsequent</w:t>
      </w:r>
      <w:r w:rsidRPr="009377FB">
        <w:rPr>
          <w:color w:val="1F1F1F"/>
        </w:rPr>
        <w:t xml:space="preserve"> </w:t>
      </w:r>
      <w:r w:rsidRPr="009377FB">
        <w:t>debate</w:t>
      </w:r>
      <w:r w:rsidRPr="009377FB">
        <w:rPr>
          <w:color w:val="1F1F1F"/>
        </w:rPr>
        <w:t xml:space="preserve"> </w:t>
      </w:r>
      <w:r>
        <w:rPr>
          <w:rFonts w:hint="eastAsia"/>
          <w:color w:val="1F1F1F"/>
        </w:rPr>
        <w:t xml:space="preserve">also </w:t>
      </w:r>
      <w:r w:rsidRPr="009377FB">
        <w:t>became</w:t>
      </w:r>
      <w:r w:rsidRPr="009377FB">
        <w:rPr>
          <w:color w:val="1F1F1F"/>
        </w:rPr>
        <w:t xml:space="preserve"> </w:t>
      </w:r>
      <w:r w:rsidRPr="009377FB">
        <w:t>more</w:t>
      </w:r>
      <w:r w:rsidRPr="009377FB">
        <w:rPr>
          <w:color w:val="1F1F1F"/>
        </w:rPr>
        <w:t xml:space="preserve"> </w:t>
      </w:r>
      <w:r w:rsidRPr="009377FB">
        <w:t>issue-specific.</w:t>
      </w:r>
      <w:r w:rsidRPr="009377FB">
        <w:rPr>
          <w:color w:val="1F1F1F"/>
        </w:rPr>
        <w:t xml:space="preserve"> </w:t>
      </w:r>
      <w:r w:rsidRPr="009377FB">
        <w:t>Republican</w:t>
      </w:r>
      <w:r w:rsidRPr="009377FB">
        <w:rPr>
          <w:color w:val="1F1F1F"/>
        </w:rPr>
        <w:t xml:space="preserve"> </w:t>
      </w:r>
      <w:r w:rsidRPr="009377FB">
        <w:t>contestation</w:t>
      </w:r>
      <w:r w:rsidRPr="009377FB">
        <w:rPr>
          <w:color w:val="1F1F1F"/>
        </w:rPr>
        <w:t xml:space="preserve"> </w:t>
      </w:r>
      <w:r w:rsidRPr="009377FB">
        <w:t>was</w:t>
      </w:r>
      <w:r w:rsidRPr="009377FB">
        <w:rPr>
          <w:color w:val="1F1F1F"/>
        </w:rPr>
        <w:t xml:space="preserve"> </w:t>
      </w:r>
      <w:r w:rsidRPr="009377FB">
        <w:t>more</w:t>
      </w:r>
      <w:r w:rsidRPr="009377FB">
        <w:rPr>
          <w:color w:val="1F1F1F"/>
        </w:rPr>
        <w:t xml:space="preserve"> </w:t>
      </w:r>
      <w:r w:rsidRPr="009377FB">
        <w:t>pronounced</w:t>
      </w:r>
      <w:r w:rsidRPr="009377FB">
        <w:rPr>
          <w:color w:val="1F1F1F"/>
        </w:rPr>
        <w:t xml:space="preserve"> </w:t>
      </w:r>
      <w:r w:rsidRPr="009377FB">
        <w:t>over</w:t>
      </w:r>
      <w:r w:rsidRPr="009377FB">
        <w:rPr>
          <w:color w:val="1F1F1F"/>
        </w:rPr>
        <w:t xml:space="preserve"> </w:t>
      </w:r>
      <w:r w:rsidRPr="009377FB">
        <w:t>Ukraine</w:t>
      </w:r>
      <w:r w:rsidRPr="009377FB">
        <w:rPr>
          <w:color w:val="1F1F1F"/>
        </w:rPr>
        <w:t xml:space="preserve"> </w:t>
      </w:r>
      <w:r w:rsidRPr="009377FB">
        <w:t>aid</w:t>
      </w:r>
      <w:r w:rsidRPr="009377FB">
        <w:rPr>
          <w:color w:val="1F1F1F"/>
        </w:rPr>
        <w:t xml:space="preserve"> </w:t>
      </w:r>
      <w:r w:rsidRPr="009377FB">
        <w:t>than</w:t>
      </w:r>
      <w:r w:rsidRPr="009377FB">
        <w:rPr>
          <w:color w:val="1F1F1F"/>
        </w:rPr>
        <w:t xml:space="preserve"> </w:t>
      </w:r>
      <w:r w:rsidRPr="009377FB">
        <w:t>over</w:t>
      </w:r>
      <w:r w:rsidRPr="009377FB">
        <w:rPr>
          <w:color w:val="1F1F1F"/>
        </w:rPr>
        <w:t xml:space="preserve"> </w:t>
      </w:r>
      <w:r w:rsidRPr="009377FB">
        <w:t>NATO</w:t>
      </w:r>
      <w:r w:rsidRPr="009377FB">
        <w:rPr>
          <w:color w:val="1F1F1F"/>
        </w:rPr>
        <w:t xml:space="preserve"> </w:t>
      </w:r>
      <w:r w:rsidRPr="009377FB">
        <w:t>enlargement</w:t>
      </w:r>
      <w:r w:rsidRPr="009377FB">
        <w:rPr>
          <w:color w:val="1F1F1F"/>
        </w:rPr>
        <w:t xml:space="preserve"> </w:t>
      </w:r>
      <w:r w:rsidRPr="009377FB">
        <w:t>or</w:t>
      </w:r>
      <w:r w:rsidRPr="009377FB">
        <w:rPr>
          <w:color w:val="1F1F1F"/>
        </w:rPr>
        <w:t xml:space="preserve"> </w:t>
      </w:r>
      <w:r w:rsidRPr="009377FB">
        <w:t>sanctions</w:t>
      </w:r>
      <w:r w:rsidRPr="009377FB">
        <w:rPr>
          <w:color w:val="1F1F1F"/>
        </w:rPr>
        <w:t xml:space="preserve"> </w:t>
      </w:r>
      <w:r w:rsidRPr="009377FB">
        <w:t>on</w:t>
      </w:r>
      <w:r w:rsidRPr="009377FB">
        <w:rPr>
          <w:color w:val="1F1F1F"/>
        </w:rPr>
        <w:t xml:space="preserve"> </w:t>
      </w:r>
      <w:r w:rsidRPr="009377FB">
        <w:t>Russia</w:t>
      </w:r>
      <w:r>
        <w:rPr>
          <w:rFonts w:hint="eastAsia"/>
        </w:rPr>
        <w:t xml:space="preserve"> </w:t>
      </w:r>
      <w:r>
        <w:fldChar w:fldCharType="begin"/>
      </w:r>
      <w:r>
        <w:instrText xml:space="preserve"> ADDIN ZOTERO_ITEM CSL_CITATION {"citationID":"4C56cRZo","properties":{"unsorted":false,"formattedCitation":"(Rieger, 2025a)","plainCitation":"(Rieger, 2025a)","noteIndex":0},"citationItems":[{"id":9646,"uris":["http://zotero.org/users/6825464/items/8RZJY8PV"],"itemData":{"id":9646,"type":"article-journal","abstract":"The United States has a longstanding tradition regarding its overall foreign policy, in the form of a bipartisan consensus. This includes—among other things—maintaining alliances and curbing the influence of rivals (e.g., Russia). Since this consensus has been in place, traditionally the Republican Party (GOP) has been especially intent on a less cooperative and more containing or deterring stance towards Russia. With former U.S. President Donald Trump, we can see a turning point in this behaviour by the GOP. Trump’s obvious admiration for Russian president Putin and his statements about Putin being overly favourable, while simultaneously questioning NATO and the United States’ commitment to defend Eastern European partners, show a distinctive shift in the GOP’s discourse. This renunciation has subsequently been picked up by parts of the Republican Party, rendering the bipartisan consensus a contested issue. The full-scale Russian invasion of Ukraine in February 2022 now constitutes an important external shock influencing said discursive shift. By drawing on discourse-bound identity theory and discourse analysis, the GOP’s discourse regarding Russia and NATO is expected to have (substantially) changed in a kind of Zeitenwende—back towards the bipartisan consensus. This article will, therefore, analyse the statements of prominent Republicans after the Russian invasion, compare them to Trump’s positions on these issues, and identify whether the invasion serves as a formative event that creates an overall shift in rhetoric and positions.","container-title":"Politische Vierteljahresschrift","DOI":"10.1007/s11615-024-00558-7","ISSN":"1862-2860","issue":"1","journalAbbreviation":"Polit Vierteljahresschr","language":"en","page":"77-99","source":"Springer Link","title":"A Manchurian Candidate? The GOP’s Discourse on the Russian War in Ukraine","title-short":"A Manchurian Candidate?","volume":"66","author":[{"family":"Rieger","given":"Eva"}],"issued":{"date-parts":[["2025",3,1]]}}}],"schema":"https://github.com/citation-style-language/schema/raw/master/csl-citation.json"} </w:instrText>
      </w:r>
      <w:r>
        <w:fldChar w:fldCharType="separate"/>
      </w:r>
      <w:r>
        <w:rPr>
          <w:noProof/>
        </w:rPr>
        <w:t>(Rieger, 2025a)</w:t>
      </w:r>
      <w:r>
        <w:fldChar w:fldCharType="end"/>
      </w:r>
      <w:r w:rsidRPr="009377FB">
        <w:t>.</w:t>
      </w:r>
      <w:r w:rsidRPr="009377FB">
        <w:rPr>
          <w:color w:val="1F1F1F"/>
        </w:rPr>
        <w:t xml:space="preserve"> </w:t>
      </w:r>
      <w:r w:rsidRPr="009377FB">
        <w:t>Cross-case</w:t>
      </w:r>
      <w:r w:rsidRPr="009377FB">
        <w:rPr>
          <w:color w:val="1F1F1F"/>
        </w:rPr>
        <w:t xml:space="preserve"> </w:t>
      </w:r>
      <w:r w:rsidRPr="009377FB">
        <w:t>comparison</w:t>
      </w:r>
      <w:r w:rsidRPr="009377FB">
        <w:rPr>
          <w:color w:val="1F1F1F"/>
        </w:rPr>
        <w:t xml:space="preserve"> </w:t>
      </w:r>
      <w:r w:rsidRPr="009377FB">
        <w:t>also</w:t>
      </w:r>
      <w:r w:rsidRPr="009377FB">
        <w:rPr>
          <w:color w:val="1F1F1F"/>
        </w:rPr>
        <w:t xml:space="preserve"> </w:t>
      </w:r>
      <w:r w:rsidRPr="009377FB">
        <w:t>shows</w:t>
      </w:r>
      <w:r w:rsidRPr="009377FB">
        <w:rPr>
          <w:color w:val="1F1F1F"/>
        </w:rPr>
        <w:t xml:space="preserve"> </w:t>
      </w:r>
      <w:r w:rsidRPr="009377FB">
        <w:t>that</w:t>
      </w:r>
      <w:r w:rsidRPr="009377FB">
        <w:rPr>
          <w:color w:val="1F1F1F"/>
        </w:rPr>
        <w:t xml:space="preserve"> </w:t>
      </w:r>
      <w:r w:rsidRPr="009377FB">
        <w:t>intraparty</w:t>
      </w:r>
      <w:r w:rsidRPr="009377FB">
        <w:rPr>
          <w:color w:val="1F1F1F"/>
        </w:rPr>
        <w:t xml:space="preserve"> </w:t>
      </w:r>
      <w:r w:rsidRPr="009377FB">
        <w:t>division</w:t>
      </w:r>
      <w:r w:rsidRPr="009377FB">
        <w:rPr>
          <w:color w:val="1F1F1F"/>
        </w:rPr>
        <w:t xml:space="preserve"> </w:t>
      </w:r>
      <w:r w:rsidRPr="009377FB">
        <w:t>was</w:t>
      </w:r>
      <w:r w:rsidRPr="009377FB">
        <w:rPr>
          <w:color w:val="1F1F1F"/>
        </w:rPr>
        <w:t xml:space="preserve"> </w:t>
      </w:r>
      <w:r w:rsidRPr="009377FB">
        <w:t>located</w:t>
      </w:r>
      <w:r w:rsidRPr="009377FB">
        <w:rPr>
          <w:color w:val="1F1F1F"/>
        </w:rPr>
        <w:t xml:space="preserve"> </w:t>
      </w:r>
      <w:r w:rsidRPr="009377FB">
        <w:t>differently</w:t>
      </w:r>
      <w:r w:rsidRPr="009377FB">
        <w:rPr>
          <w:color w:val="1F1F1F"/>
        </w:rPr>
        <w:t xml:space="preserve"> </w:t>
      </w:r>
      <w:r w:rsidRPr="009377FB">
        <w:t>across</w:t>
      </w:r>
      <w:r w:rsidRPr="009377FB">
        <w:rPr>
          <w:color w:val="1F1F1F"/>
        </w:rPr>
        <w:t xml:space="preserve"> </w:t>
      </w:r>
      <w:r w:rsidRPr="009377FB">
        <w:t>aid</w:t>
      </w:r>
      <w:r w:rsidRPr="009377FB">
        <w:rPr>
          <w:color w:val="1F1F1F"/>
        </w:rPr>
        <w:t xml:space="preserve"> </w:t>
      </w:r>
      <w:r w:rsidRPr="009377FB">
        <w:t>debates:</w:t>
      </w:r>
      <w:r w:rsidRPr="009377FB">
        <w:rPr>
          <w:color w:val="1F1F1F"/>
        </w:rPr>
        <w:t xml:space="preserve"> </w:t>
      </w:r>
      <w:r w:rsidRPr="009377FB">
        <w:t>Republican</w:t>
      </w:r>
      <w:r w:rsidRPr="009377FB">
        <w:rPr>
          <w:color w:val="1F1F1F"/>
        </w:rPr>
        <w:t xml:space="preserve"> </w:t>
      </w:r>
      <w:r w:rsidRPr="009377FB">
        <w:t>disagreement</w:t>
      </w:r>
      <w:r w:rsidRPr="009377FB">
        <w:rPr>
          <w:color w:val="1F1F1F"/>
        </w:rPr>
        <w:t xml:space="preserve"> </w:t>
      </w:r>
      <w:r w:rsidRPr="009377FB">
        <w:t>centered</w:t>
      </w:r>
      <w:r w:rsidRPr="009377FB">
        <w:rPr>
          <w:color w:val="1F1F1F"/>
        </w:rPr>
        <w:t xml:space="preserve"> </w:t>
      </w:r>
      <w:r w:rsidRPr="009377FB">
        <w:t>more</w:t>
      </w:r>
      <w:r w:rsidRPr="009377FB">
        <w:rPr>
          <w:color w:val="1F1F1F"/>
        </w:rPr>
        <w:t xml:space="preserve"> </w:t>
      </w:r>
      <w:r w:rsidRPr="009377FB">
        <w:t>heavily</w:t>
      </w:r>
      <w:r w:rsidRPr="009377FB">
        <w:rPr>
          <w:color w:val="1F1F1F"/>
        </w:rPr>
        <w:t xml:space="preserve"> </w:t>
      </w:r>
      <w:r w:rsidRPr="009377FB">
        <w:t>on</w:t>
      </w:r>
      <w:r w:rsidRPr="009377FB">
        <w:rPr>
          <w:color w:val="1F1F1F"/>
        </w:rPr>
        <w:t xml:space="preserve"> </w:t>
      </w:r>
      <w:r w:rsidRPr="009377FB">
        <w:t>Ukraine,</w:t>
      </w:r>
      <w:r w:rsidRPr="009377FB">
        <w:rPr>
          <w:color w:val="1F1F1F"/>
        </w:rPr>
        <w:t xml:space="preserve"> </w:t>
      </w:r>
      <w:r w:rsidRPr="009377FB">
        <w:t>Democratic</w:t>
      </w:r>
      <w:r w:rsidRPr="009377FB">
        <w:rPr>
          <w:color w:val="1F1F1F"/>
        </w:rPr>
        <w:t xml:space="preserve"> </w:t>
      </w:r>
      <w:r w:rsidRPr="009377FB">
        <w:t>disagreement</w:t>
      </w:r>
      <w:r w:rsidRPr="009377FB">
        <w:rPr>
          <w:color w:val="1F1F1F"/>
        </w:rPr>
        <w:t xml:space="preserve"> </w:t>
      </w:r>
      <w:r w:rsidRPr="009377FB">
        <w:t>on</w:t>
      </w:r>
      <w:r w:rsidRPr="009377FB">
        <w:rPr>
          <w:color w:val="1F1F1F"/>
        </w:rPr>
        <w:t xml:space="preserve"> </w:t>
      </w:r>
      <w:r w:rsidRPr="009377FB">
        <w:t>Israel,</w:t>
      </w:r>
      <w:r w:rsidRPr="009377FB">
        <w:rPr>
          <w:color w:val="1F1F1F"/>
        </w:rPr>
        <w:t xml:space="preserve"> </w:t>
      </w:r>
      <w:r w:rsidRPr="009377FB">
        <w:t>and</w:t>
      </w:r>
      <w:r w:rsidRPr="009377FB">
        <w:rPr>
          <w:color w:val="1F1F1F"/>
        </w:rPr>
        <w:t xml:space="preserve"> </w:t>
      </w:r>
      <w:r w:rsidRPr="009377FB">
        <w:t>Taiwan</w:t>
      </w:r>
      <w:r w:rsidRPr="009377FB">
        <w:rPr>
          <w:color w:val="1F1F1F"/>
        </w:rPr>
        <w:t xml:space="preserve"> </w:t>
      </w:r>
      <w:r w:rsidRPr="009377FB">
        <w:t>assistance</w:t>
      </w:r>
      <w:r w:rsidRPr="009377FB">
        <w:rPr>
          <w:color w:val="1F1F1F"/>
        </w:rPr>
        <w:t xml:space="preserve"> </w:t>
      </w:r>
      <w:r w:rsidRPr="009377FB">
        <w:t>retained</w:t>
      </w:r>
      <w:r w:rsidRPr="009377FB">
        <w:rPr>
          <w:color w:val="1F1F1F"/>
        </w:rPr>
        <w:t xml:space="preserve"> </w:t>
      </w:r>
      <w:r w:rsidRPr="009377FB">
        <w:t>broad</w:t>
      </w:r>
      <w:r w:rsidRPr="009377FB">
        <w:rPr>
          <w:color w:val="1F1F1F"/>
        </w:rPr>
        <w:t xml:space="preserve"> </w:t>
      </w:r>
      <w:r w:rsidRPr="009377FB">
        <w:t>backing</w:t>
      </w:r>
      <w:r w:rsidRPr="009377FB">
        <w:rPr>
          <w:color w:val="1F1F1F"/>
        </w:rPr>
        <w:t xml:space="preserve"> </w:t>
      </w:r>
      <w:r w:rsidRPr="009377FB">
        <w:t>in</w:t>
      </w:r>
      <w:r w:rsidRPr="009377FB">
        <w:rPr>
          <w:color w:val="1F1F1F"/>
        </w:rPr>
        <w:t xml:space="preserve"> </w:t>
      </w:r>
      <w:r w:rsidRPr="009377FB">
        <w:t>both</w:t>
      </w:r>
      <w:r w:rsidRPr="009377FB">
        <w:rPr>
          <w:color w:val="1F1F1F"/>
        </w:rPr>
        <w:t xml:space="preserve"> </w:t>
      </w:r>
      <w:r w:rsidRPr="009377FB">
        <w:t>parties</w:t>
      </w:r>
      <w:r w:rsidRPr="009377FB">
        <w:rPr>
          <w:color w:val="1F1F1F"/>
        </w:rPr>
        <w:t xml:space="preserve"> </w:t>
      </w:r>
      <w:r>
        <w:rPr>
          <w:color w:val="1F1F1F"/>
        </w:rPr>
        <w:fldChar w:fldCharType="begin"/>
      </w:r>
      <w:r>
        <w:rPr>
          <w:color w:val="1F1F1F"/>
        </w:rPr>
        <w:instrText xml:space="preserve"> ADDIN ZOTERO_ITEM CSL_CITATION {"citationID":"lFfUet9B","properties":{"unsorted":false,"formattedCitation":"(Tama, 2025)","plainCitation":"(Tama, 2025)","noteIndex":0},"citationItems":[{"id":9644,"uris":["http://zotero.org/users/6825464/items/SFW5UBDA"],"itemData":{"id":9644,"type":"article-journal","abstract":"Despite the rise of polarization, some Democrats and Republicans have continued to join together in coalitions on important U.S. foreign policy issues. To what extent might these reservoirs of bipartisanship survive the intense partisanship associated with the 2024 election? Analyzing U.S. debates over policy toward Ukraine, Israel, and Taiwan, the paper finds neither consistent bipartisanship nor consistent polarization. Instead, they feature a mix of partisan disagreement, intra-party division, and cross-party cooperation.","container-title":"Zeitschrift für Außen- und Sicherheitspolitik","DOI":"10.1007/s12399-025-01067-0","ISSN":"1866-2196","issue":"4","journalAbbreviation":"Z Außen Sicherheitspolit","language":"en","page":"633-650","source":"Springer Link","title":"Bipartisanship Put to the Test: U.S. Policy Toward Ukraine, Israel, and Taiwan","title-short":"Bipartisanship Put to the Test","volume":"18","author":[{"family":"Tama","given":"Jordan"}],"issued":{"date-parts":[["2025",12,1]]}}}],"schema":"https://github.com/citation-style-language/schema/raw/master/csl-citation.json"} </w:instrText>
      </w:r>
      <w:r>
        <w:rPr>
          <w:color w:val="1F1F1F"/>
        </w:rPr>
        <w:fldChar w:fldCharType="separate"/>
      </w:r>
      <w:r>
        <w:rPr>
          <w:noProof/>
          <w:color w:val="1F1F1F"/>
        </w:rPr>
        <w:t>(Tama, 2025)</w:t>
      </w:r>
      <w:r>
        <w:rPr>
          <w:color w:val="1F1F1F"/>
        </w:rPr>
        <w:fldChar w:fldCharType="end"/>
      </w:r>
      <w:r w:rsidRPr="009377FB">
        <w:t>.</w:t>
      </w:r>
      <w:r w:rsidRPr="009377FB">
        <w:rPr>
          <w:color w:val="1F1F1F"/>
        </w:rPr>
        <w:t xml:space="preserve"> </w:t>
      </w:r>
      <w:r w:rsidRPr="00C47998">
        <w:rPr>
          <w:color w:val="1F1F1F"/>
        </w:rPr>
        <w:t xml:space="preserve">Contemporary Ukraine-aid debate contains distinguishable </w:t>
      </w:r>
      <w:r>
        <w:rPr>
          <w:rFonts w:hint="eastAsia"/>
          <w:color w:val="1F1F1F"/>
        </w:rPr>
        <w:t>components</w:t>
      </w:r>
      <w:r w:rsidRPr="00C47998">
        <w:rPr>
          <w:color w:val="1F1F1F"/>
        </w:rPr>
        <w:t xml:space="preserve"> rather than one opposition-support continuum.</w:t>
      </w:r>
      <w:r>
        <w:rPr>
          <w:rFonts w:hint="eastAsia"/>
          <w:color w:val="1F1F1F"/>
        </w:rPr>
        <w:t xml:space="preserve"> Therefore, to better capture systematically the temporal trajectory of the polarization of Ukraine aid, we must first identify the ideological component in which the issue is polarized on. </w:t>
      </w:r>
    </w:p>
    <w:p w14:paraId="4346766B" w14:textId="77777777" w:rsidR="00EE60D6" w:rsidRPr="00223101" w:rsidRDefault="00EE60D6" w:rsidP="00EE60D6"/>
    <w:p w14:paraId="0139C1D7" w14:textId="77777777" w:rsidR="00EE60D6" w:rsidRDefault="00EE60D6" w:rsidP="00EE60D6">
      <w:pPr>
        <w:pStyle w:val="3"/>
      </w:pPr>
      <w:r w:rsidRPr="0049173A">
        <w:lastRenderedPageBreak/>
        <w:t>Discursive Formations and Dimensional Structure</w:t>
      </w:r>
    </w:p>
    <w:p w14:paraId="1FCDF5DA" w14:textId="77777777" w:rsidR="00EE60D6" w:rsidRDefault="00EE60D6" w:rsidP="00EE60D6">
      <w:r>
        <w:fldChar w:fldCharType="begin"/>
      </w:r>
      <w:r>
        <w:instrText xml:space="preserve"> ADDIN ZOTERO_ITEM CSL_CITATION {"citationID":"wqtpIyEt","properties":{"unsorted":false,"formattedCitation":"(Rieger, 2025b)","plainCitation":"(Rieger, 2025b)","dontUpdate":true,"noteIndex":0},"citationItems":[{"id":8562,"uris":["http://zotero.org/users/6825464/items/3276AFEP"],"itemData":{"id":8562,"type":"article-journal","abstract":"The paper, leaning on discourse-bound identity theory and a contestation concept, examines contestations of support for Ukraine and their prevalence in both parties in U.S. Congress, investigating links to U.S. foreign policy traditions. The discourse analysis shows increasing contestation within the Grand Old Party by the “America First” discursive alliance, which illustrates polarization and intra-party fragmentation, indicating future U.S. foreign policy volatility in international crises.","citation-key":"riegerTheyShouldntReceive2025","container-title":"Zeitschrift für Außen- und Sicherheitspolitik","DOI":"10.1007/s12399-025-01073-2","ISSN":"1866-2196","journalAbbreviation":"Z Außen Sicherheitspolit","language":"en","source":"Springer Link","title":"“They Shouldn’t Receive Another Penny from America!”: Contestations of U.S. Support for Ukraine from the Ideological Margins?","title-short":"“They Shouldn’t Receive Another Penny from America!”","URL":"https://doi.org/10.1007/s12399-025-01073-2","author":[{"family":"Rieger","given":"Eva"}],"accessed":{"date-parts":[["2025",11,23]]},"issued":{"date-parts":[["2025",10,28]]}}}],"schema":"https://github.com/citation-style-language/schema/raw/master/csl-citation.json"} </w:instrText>
      </w:r>
      <w:r>
        <w:fldChar w:fldCharType="separate"/>
      </w:r>
      <w:r>
        <w:t>Rieger (2025b)</w:t>
      </w:r>
      <w:r>
        <w:fldChar w:fldCharType="end"/>
      </w:r>
      <w:r>
        <w:rPr>
          <w:rFonts w:hint="eastAsia"/>
        </w:rPr>
        <w:t xml:space="preserve"> </w:t>
      </w:r>
      <w:r w:rsidRPr="0049173A">
        <w:t>identifies four discursive formations that structure contemporary foreign policy contestation: Isolationism, Conservative Realism, Neoconservatism, and Liberal Internationalism.</w:t>
      </w:r>
      <w:r>
        <w:rPr>
          <w:rFonts w:hint="eastAsia"/>
        </w:rPr>
        <w:t xml:space="preserve"> </w:t>
      </w:r>
      <w:r w:rsidRPr="0006632E">
        <w:t>Internationalism</w:t>
      </w:r>
      <w:r>
        <w:rPr>
          <w:rFonts w:hint="eastAsia"/>
        </w:rPr>
        <w:t xml:space="preserve"> </w:t>
      </w:r>
      <w:r w:rsidRPr="0006632E">
        <w:t>emphasizes establishing a stable international order with the United States at its center, including through defense of democratic values against authoritarian threats</w:t>
      </w:r>
      <w:r>
        <w:rPr>
          <w:rFonts w:hint="eastAsia"/>
        </w:rPr>
        <w:t xml:space="preserve"> </w:t>
      </w:r>
      <w:r>
        <w:fldChar w:fldCharType="begin"/>
      </w:r>
      <w:r>
        <w:instrText xml:space="preserve"> ADDIN ZOTERO_ITEM CSL_CITATION {"citationID":"yv5FeeE9","properties":{"unsorted":false,"formattedCitation":"(Cox &amp; Stokes, 2018)","plainCitation":"(Cox &amp; Stokes, 2018)","noteIndex":0},"citationItems":[{"id":8405,"uris":["http://zotero.org/users/6825464/items/M44GHT6Z"],"itemData":{"id":8405,"type":"chapter","abstract":"\"US Foreign Policy\" published on  by Oxford University Press.","citation-key":"coxUSForeignPolicy2018","container-title":"US Foreign Policy","edition":"3rd","ISBN":"978-0-19-185221-3","language":"en_US","publisher":"Oxford University Press","source":"www.oxfordpoliticstrove.com","title":"US Foreign Policy","URL":"https://www.oxfordpoliticstrove.com/display/10.1093/hepl/9780198707578.001.0001/hepl-9780198707578","author":[{"family":"Cox","given":"Michael"},{"family":"Stokes","given":"Doug"}],"accessed":{"date-parts":[["2026",1,8]]},"issued":{"date-parts":[["2018",5,17]]}}}],"schema":"https://github.com/citation-style-language/schema/raw/master/csl-citation.json"} </w:instrText>
      </w:r>
      <w:r>
        <w:fldChar w:fldCharType="separate"/>
      </w:r>
      <w:r w:rsidRPr="0006632E">
        <w:t>(Cox &amp; Stokes, 2018)</w:t>
      </w:r>
      <w:r>
        <w:fldChar w:fldCharType="end"/>
      </w:r>
      <w:r w:rsidRPr="0006632E">
        <w:t>.</w:t>
      </w:r>
      <w:r w:rsidRPr="00072D1D">
        <w:t xml:space="preserve"> </w:t>
      </w:r>
      <w:r w:rsidRPr="0006632E">
        <w:t>Neoconservatism shares internationalist goals but favors unilateral initiatives, viewing commitments like Ukraine support as projections of American power rather than multilateral cooperation</w:t>
      </w:r>
      <w:r>
        <w:rPr>
          <w:rFonts w:hint="eastAsia"/>
        </w:rPr>
        <w:t xml:space="preserve"> </w:t>
      </w:r>
      <w:r>
        <w:fldChar w:fldCharType="begin"/>
      </w:r>
      <w:r>
        <w:instrText xml:space="preserve"> ADDIN ZOTERO_ITEM CSL_CITATION {"citationID":"EHzkCJ4q","properties":{"unsorted":false,"formattedCitation":"(Khong, 2008)","plainCitation":"(Khong, 2008)","noteIndex":0},"citationItems":[{"id":8501,"uris":["http://zotero.org/users/6825464/items/L2MJW7LM"],"itemData":{"id":8501,"type":"article-journal","citation-key":"khongNeoconservatismDomesticSources2008","language":"en","source":"ora.ox.ac.uk","title":"Neoconservatism and the domestic sources of American foreign policy: the role of ideas in Operation Iraqi Freedom","title-short":"Neoconservatism and the domestic sources of American foreign policy","URL":"https://ora.ox.ac.uk/objects/uuid:b93346b7-fe45-478b-be88-75b9c365b181","author":[{"family":"Khong","given":"Y."}],"accessed":{"date-parts":[["2026",1,8]]},"issued":{"date-parts":[["2008"]]}}}],"schema":"https://github.com/citation-style-language/schema/raw/master/csl-citation.json"} </w:instrText>
      </w:r>
      <w:r>
        <w:fldChar w:fldCharType="separate"/>
      </w:r>
      <w:r w:rsidRPr="000F5C1D">
        <w:t>(Khong, 2008)</w:t>
      </w:r>
      <w:r>
        <w:fldChar w:fldCharType="end"/>
      </w:r>
      <w:r w:rsidRPr="0006632E">
        <w:t>. Isolationism</w:t>
      </w:r>
      <w:r>
        <w:rPr>
          <w:rFonts w:hint="eastAsia"/>
        </w:rPr>
        <w:t xml:space="preserve"> </w:t>
      </w:r>
      <w:r w:rsidRPr="0006632E">
        <w:t xml:space="preserve">prioritizes American interests through minimizing foreign commitments and their associated costs. </w:t>
      </w:r>
      <w:r>
        <w:t>Historically</w:t>
      </w:r>
      <w:r>
        <w:rPr>
          <w:rFonts w:hint="eastAsia"/>
        </w:rPr>
        <w:t xml:space="preserve">, </w:t>
      </w:r>
      <w:r w:rsidRPr="00072D1D">
        <w:t>Democrats have generally emphasized multilateral cooperation and strengthening global governance structures</w:t>
      </w:r>
      <w:r>
        <w:rPr>
          <w:rFonts w:hint="eastAsia"/>
        </w:rPr>
        <w:t xml:space="preserve">, </w:t>
      </w:r>
      <w:r w:rsidRPr="00EF4C38">
        <w:t>while Republicans have tended to prioritize American autonomy in international decision-making and robust military capabilities as the foundation of national security</w:t>
      </w:r>
      <w:r>
        <w:rPr>
          <w:rFonts w:hint="eastAsia"/>
        </w:rPr>
        <w:t xml:space="preserve"> </w:t>
      </w:r>
      <w:r>
        <w:fldChar w:fldCharType="begin"/>
      </w:r>
      <w:r>
        <w:instrText xml:space="preserve"> ADDIN ZOTERO_ITEM CSL_CITATION {"citationID":"giQRVOXL","properties":{"unsorted":false,"formattedCitation":"(Smeltz et al., 2020)","plainCitation":"(Smeltz et al., 2020)","noteIndex":0},"citationItems":[{"id":8419,"uris":["http://zotero.org/users/6825464/items/TG3KWMU3"],"itemData":{"id":8419,"type":"article-journal","citation-key":"smeltzDividedWeStand2020","container-title":"Chicago Council on Global Affairs","source":"Google Scholar","title":"Divided we stand","URL":"https://globalaffairs.org/sites/default/files/2020-12/report_2020ccs_americadivided_0.pdf","author":[{"family":"Smeltz","given":"Dina"},{"family":"Daalder","given":"Ivo H."},{"family":"Friedhoff","given":"Karl"},{"family":"Kafure","given":"Craig"},{"family":"Helm","given":"Brendan"}],"accessed":{"date-parts":[["2026",1,30]]},"issued":{"date-parts":[["2020"]]}}}],"schema":"https://github.com/citation-style-language/schema/raw/master/csl-citation.json"} </w:instrText>
      </w:r>
      <w:r>
        <w:fldChar w:fldCharType="separate"/>
      </w:r>
      <w:r w:rsidRPr="00840453">
        <w:t>(Smeltz et al., 2020)</w:t>
      </w:r>
      <w:r>
        <w:fldChar w:fldCharType="end"/>
      </w:r>
      <w:r>
        <w:rPr>
          <w:rFonts w:hint="eastAsia"/>
        </w:rPr>
        <w:t xml:space="preserve">. </w:t>
      </w:r>
      <w:r w:rsidRPr="00144B64">
        <w:t xml:space="preserve">As </w:t>
      </w:r>
      <w:r>
        <w:fldChar w:fldCharType="begin"/>
      </w:r>
      <w:r>
        <w:instrText xml:space="preserve"> ADDIN ZOTERO_ITEM CSL_CITATION {"citationID":"hMNUfNpe","properties":{"unsorted":false,"formattedCitation":"(Mead, 2017)","plainCitation":"(Mead, 2017)","dontUpdate":true,"noteIndex":0},"citationItems":[{"id":8377,"uris":["http://zotero.org/users/6825464/items/48UN645T"],"itemData":{"id":8377,"type":"article-journal","citation-key":"meadJacksonianRevoltAmerican2017","container-title":"Foreign Aff.","page":"2","publisher":"HeinOnline","source":"Google Scholar","title":"The Jacksonian revolt: American populism and the liberal order","title-short":"The Jacksonian revolt","volume":"96","author":[{"family":"Mead","given":"Walter Russell"}],"issued":{"date-parts":[["2017"]]}}}],"schema":"https://github.com/citation-style-language/schema/raw/master/csl-citation.json"} </w:instrText>
      </w:r>
      <w:r>
        <w:fldChar w:fldCharType="separate"/>
      </w:r>
      <w:r w:rsidRPr="007D7115">
        <w:t>Mead</w:t>
      </w:r>
      <w:r>
        <w:rPr>
          <w:rFonts w:hint="eastAsia"/>
        </w:rPr>
        <w:t xml:space="preserve"> (</w:t>
      </w:r>
      <w:r w:rsidRPr="007D7115">
        <w:t>2017)</w:t>
      </w:r>
      <w:r>
        <w:fldChar w:fldCharType="end"/>
      </w:r>
      <w:r w:rsidRPr="0006632E">
        <w:t xml:space="preserve"> </w:t>
      </w:r>
      <w:r w:rsidRPr="00144B64">
        <w:t xml:space="preserve">observes, contemporary isolationism </w:t>
      </w:r>
      <w:r>
        <w:rPr>
          <w:rFonts w:hint="eastAsia"/>
        </w:rPr>
        <w:t>often</w:t>
      </w:r>
      <w:r w:rsidRPr="00144B64">
        <w:t xml:space="preserve"> </w:t>
      </w:r>
      <w:r>
        <w:rPr>
          <w:rFonts w:hint="eastAsia"/>
        </w:rPr>
        <w:t>also includes</w:t>
      </w:r>
      <w:r w:rsidRPr="00144B64">
        <w:t xml:space="preserve"> a populist </w:t>
      </w:r>
      <w:r>
        <w:rPr>
          <w:rFonts w:hint="eastAsia"/>
        </w:rPr>
        <w:t xml:space="preserve">view </w:t>
      </w:r>
      <w:r w:rsidRPr="00144B64">
        <w:t>that frames international commitments as serving elite interests rather than ordinary Americans, redirecting threat perception inward.</w:t>
      </w:r>
      <w:r>
        <w:rPr>
          <w:rFonts w:hint="eastAsia"/>
        </w:rPr>
        <w:t xml:space="preserve"> </w:t>
      </w:r>
      <w:r w:rsidRPr="0006632E">
        <w:t>This skeptical framing enables isolationists to recast issues like Ukraine aid as competing with domestic priorities rather than as standalone foreign policy questions.</w:t>
      </w:r>
      <w:r>
        <w:rPr>
          <w:rFonts w:hint="eastAsia"/>
        </w:rPr>
        <w:t xml:space="preserve"> </w:t>
      </w:r>
    </w:p>
    <w:p w14:paraId="3B5D6E22" w14:textId="77777777" w:rsidR="00EE60D6" w:rsidRDefault="00EE60D6" w:rsidP="00EE60D6"/>
    <w:p w14:paraId="0A56EDB4" w14:textId="77777777" w:rsidR="00EE60D6" w:rsidRPr="00B517CB" w:rsidRDefault="00EE60D6" w:rsidP="00EE60D6">
      <w:pPr>
        <w:rPr>
          <w:color w:val="1F1F1F"/>
        </w:rPr>
      </w:pPr>
      <w:r w:rsidRPr="00C47998">
        <w:t>Drawing</w:t>
      </w:r>
      <w:r w:rsidRPr="00C47998">
        <w:rPr>
          <w:color w:val="1F1F1F"/>
        </w:rPr>
        <w:t xml:space="preserve"> </w:t>
      </w:r>
      <w:r w:rsidRPr="00C47998">
        <w:t>on</w:t>
      </w:r>
      <w:r w:rsidRPr="00C47998">
        <w:rPr>
          <w:color w:val="1F1F1F"/>
        </w:rPr>
        <w:t xml:space="preserve"> </w:t>
      </w:r>
      <w:r w:rsidRPr="00C47998">
        <w:t>these</w:t>
      </w:r>
      <w:r w:rsidRPr="00C47998">
        <w:rPr>
          <w:color w:val="1F1F1F"/>
        </w:rPr>
        <w:t xml:space="preserve"> </w:t>
      </w:r>
      <w:r>
        <w:rPr>
          <w:rFonts w:hint="eastAsia"/>
        </w:rPr>
        <w:t>formations</w:t>
      </w:r>
      <w:r w:rsidRPr="00C47998">
        <w:t>,</w:t>
      </w:r>
      <w:r w:rsidRPr="00C47998">
        <w:rPr>
          <w:color w:val="1F1F1F"/>
        </w:rPr>
        <w:t xml:space="preserve"> </w:t>
      </w:r>
      <w:r w:rsidRPr="00C47998">
        <w:t>we</w:t>
      </w:r>
      <w:r w:rsidRPr="00C47998">
        <w:rPr>
          <w:color w:val="1F1F1F"/>
        </w:rPr>
        <w:t xml:space="preserve"> </w:t>
      </w:r>
      <w:r w:rsidRPr="00C47998">
        <w:t>use</w:t>
      </w:r>
      <w:r w:rsidRPr="00C47998">
        <w:rPr>
          <w:color w:val="1F1F1F"/>
        </w:rPr>
        <w:t xml:space="preserve"> </w:t>
      </w:r>
      <w:r w:rsidRPr="00C47998">
        <w:t>a</w:t>
      </w:r>
      <w:r w:rsidRPr="00C47998">
        <w:rPr>
          <w:color w:val="1F1F1F"/>
        </w:rPr>
        <w:t xml:space="preserve"> </w:t>
      </w:r>
      <w:r w:rsidRPr="00C47998">
        <w:t>deliberately</w:t>
      </w:r>
      <w:r w:rsidRPr="00C47998">
        <w:rPr>
          <w:color w:val="1F1F1F"/>
        </w:rPr>
        <w:t xml:space="preserve"> </w:t>
      </w:r>
      <w:r w:rsidRPr="00C47998">
        <w:t>bounded</w:t>
      </w:r>
      <w:r w:rsidRPr="00C47998">
        <w:rPr>
          <w:color w:val="1F1F1F"/>
        </w:rPr>
        <w:t xml:space="preserve"> </w:t>
      </w:r>
      <w:r w:rsidRPr="00C47998">
        <w:t>rather</w:t>
      </w:r>
      <w:r w:rsidRPr="00C47998">
        <w:rPr>
          <w:color w:val="1F1F1F"/>
        </w:rPr>
        <w:t xml:space="preserve"> </w:t>
      </w:r>
      <w:r w:rsidRPr="00C47998">
        <w:t>than</w:t>
      </w:r>
      <w:r w:rsidRPr="00C47998">
        <w:rPr>
          <w:color w:val="1F1F1F"/>
        </w:rPr>
        <w:t xml:space="preserve"> </w:t>
      </w:r>
      <w:r w:rsidRPr="00C47998">
        <w:t>exhaustive</w:t>
      </w:r>
      <w:r w:rsidRPr="00C47998">
        <w:rPr>
          <w:color w:val="1F1F1F"/>
        </w:rPr>
        <w:t xml:space="preserve"> </w:t>
      </w:r>
      <w:r w:rsidRPr="00C47998">
        <w:t>set</w:t>
      </w:r>
      <w:r w:rsidRPr="00C47998">
        <w:rPr>
          <w:color w:val="1F1F1F"/>
        </w:rPr>
        <w:t xml:space="preserve"> </w:t>
      </w:r>
      <w:r w:rsidRPr="00C47998">
        <w:t>of</w:t>
      </w:r>
      <w:r w:rsidRPr="00C47998">
        <w:rPr>
          <w:color w:val="1F1F1F"/>
        </w:rPr>
        <w:t xml:space="preserve"> </w:t>
      </w:r>
      <w:r w:rsidRPr="00C47998">
        <w:t>four</w:t>
      </w:r>
      <w:r w:rsidRPr="00C47998">
        <w:rPr>
          <w:color w:val="1F1F1F"/>
        </w:rPr>
        <w:t xml:space="preserve"> </w:t>
      </w:r>
      <w:r w:rsidRPr="00C47998">
        <w:t>dimensions</w:t>
      </w:r>
      <w:r>
        <w:rPr>
          <w:rFonts w:hint="eastAsia"/>
        </w:rPr>
        <w:t xml:space="preserve"> (i.e., a main dimension of general aid stance and three explanatory dimensions)</w:t>
      </w:r>
      <w:r w:rsidRPr="00C47998">
        <w:t>.</w:t>
      </w:r>
      <w:r w:rsidRPr="00C47998">
        <w:rPr>
          <w:color w:val="1F1F1F"/>
        </w:rPr>
        <w:t xml:space="preserve"> </w:t>
      </w:r>
      <w:r w:rsidRPr="00C47998">
        <w:t>The</w:t>
      </w:r>
      <w:r w:rsidRPr="00C47998">
        <w:rPr>
          <w:color w:val="1F1F1F"/>
        </w:rPr>
        <w:t xml:space="preserve"> </w:t>
      </w:r>
      <w:r w:rsidRPr="00C47998">
        <w:t>selection</w:t>
      </w:r>
      <w:r w:rsidRPr="00C47998">
        <w:rPr>
          <w:color w:val="1F1F1F"/>
        </w:rPr>
        <w:t xml:space="preserve"> </w:t>
      </w:r>
      <w:r w:rsidRPr="00C47998">
        <w:t>rule</w:t>
      </w:r>
      <w:r w:rsidRPr="00C47998">
        <w:rPr>
          <w:color w:val="1F1F1F"/>
        </w:rPr>
        <w:t xml:space="preserve"> </w:t>
      </w:r>
      <w:r>
        <w:rPr>
          <w:rFonts w:hint="eastAsia"/>
          <w:color w:val="1F1F1F"/>
        </w:rPr>
        <w:t xml:space="preserve">for the explanatory dimension </w:t>
      </w:r>
      <w:r w:rsidRPr="00C47998">
        <w:t>is</w:t>
      </w:r>
      <w:r w:rsidRPr="00C47998">
        <w:rPr>
          <w:color w:val="1F1F1F"/>
        </w:rPr>
        <w:t xml:space="preserve"> </w:t>
      </w:r>
      <w:r w:rsidRPr="00C47998">
        <w:t>to</w:t>
      </w:r>
      <w:r w:rsidRPr="00C47998">
        <w:rPr>
          <w:color w:val="1F1F1F"/>
        </w:rPr>
        <w:t xml:space="preserve"> </w:t>
      </w:r>
      <w:r w:rsidRPr="00C47998">
        <w:t>separate</w:t>
      </w:r>
      <w:r w:rsidRPr="00C47998">
        <w:rPr>
          <w:color w:val="1F1F1F"/>
        </w:rPr>
        <w:t xml:space="preserve"> </w:t>
      </w:r>
      <w:r>
        <w:rPr>
          <w:rFonts w:hint="eastAsia"/>
          <w:color w:val="1F1F1F"/>
        </w:rPr>
        <w:t>non-overlapping and non-</w:t>
      </w:r>
      <w:r>
        <w:rPr>
          <w:color w:val="1F1F1F"/>
        </w:rPr>
        <w:t>interchangeable</w:t>
      </w:r>
      <w:r>
        <w:rPr>
          <w:rFonts w:hint="eastAsia"/>
          <w:color w:val="1F1F1F"/>
        </w:rPr>
        <w:t xml:space="preserve"> </w:t>
      </w:r>
      <w:r w:rsidRPr="00C47998">
        <w:t>political</w:t>
      </w:r>
      <w:r w:rsidRPr="00C47998">
        <w:rPr>
          <w:color w:val="1F1F1F"/>
        </w:rPr>
        <w:t xml:space="preserve"> </w:t>
      </w:r>
      <w:r w:rsidRPr="00C47998">
        <w:t>judgments</w:t>
      </w:r>
      <w:r w:rsidRPr="00C47998">
        <w:rPr>
          <w:color w:val="1F1F1F"/>
        </w:rPr>
        <w:t xml:space="preserve"> </w:t>
      </w:r>
      <w:r w:rsidRPr="00C47998">
        <w:t>that</w:t>
      </w:r>
      <w:r w:rsidRPr="00C47998">
        <w:rPr>
          <w:color w:val="1F1F1F"/>
        </w:rPr>
        <w:t xml:space="preserve"> </w:t>
      </w:r>
      <w:r w:rsidRPr="00C47998">
        <w:t>can</w:t>
      </w:r>
      <w:r w:rsidRPr="00C47998">
        <w:rPr>
          <w:color w:val="1F1F1F"/>
        </w:rPr>
        <w:t xml:space="preserve"> </w:t>
      </w:r>
      <w:r w:rsidRPr="00C47998">
        <w:t>vary</w:t>
      </w:r>
      <w:r w:rsidRPr="00C47998">
        <w:rPr>
          <w:color w:val="1F1F1F"/>
        </w:rPr>
        <w:t xml:space="preserve"> </w:t>
      </w:r>
      <w:r w:rsidRPr="00C47998">
        <w:t>independently</w:t>
      </w:r>
      <w:r>
        <w:rPr>
          <w:rFonts w:hint="eastAsia"/>
        </w:rPr>
        <w:t xml:space="preserve"> given the question of </w:t>
      </w:r>
      <w:r w:rsidRPr="00C47998">
        <w:t>whether</w:t>
      </w:r>
      <w:r w:rsidRPr="00C47998">
        <w:rPr>
          <w:color w:val="1F1F1F"/>
        </w:rPr>
        <w:t xml:space="preserve"> </w:t>
      </w:r>
      <w:r w:rsidRPr="00C47998">
        <w:t>assistance</w:t>
      </w:r>
      <w:r w:rsidRPr="00C47998">
        <w:rPr>
          <w:color w:val="1F1F1F"/>
        </w:rPr>
        <w:t xml:space="preserve"> </w:t>
      </w:r>
      <w:r w:rsidRPr="00C47998">
        <w:t>should</w:t>
      </w:r>
      <w:r w:rsidRPr="00C47998">
        <w:rPr>
          <w:color w:val="1F1F1F"/>
        </w:rPr>
        <w:t xml:space="preserve"> </w:t>
      </w:r>
      <w:r w:rsidRPr="00C47998">
        <w:t>continue</w:t>
      </w:r>
      <w:r>
        <w:rPr>
          <w:rFonts w:hint="eastAsia"/>
          <w:color w:val="1F1F1F"/>
        </w:rPr>
        <w:t xml:space="preserve">: </w:t>
      </w:r>
      <w:r w:rsidRPr="00C47998">
        <w:t>how</w:t>
      </w:r>
      <w:r w:rsidRPr="00C47998">
        <w:rPr>
          <w:color w:val="1F1F1F"/>
        </w:rPr>
        <w:t xml:space="preserve"> </w:t>
      </w:r>
      <w:r w:rsidRPr="00C47998">
        <w:t>the</w:t>
      </w:r>
      <w:r w:rsidRPr="00C47998">
        <w:rPr>
          <w:color w:val="1F1F1F"/>
        </w:rPr>
        <w:t xml:space="preserve"> </w:t>
      </w:r>
      <w:r w:rsidRPr="00C47998">
        <w:t>recipient</w:t>
      </w:r>
      <w:r w:rsidRPr="00C47998">
        <w:rPr>
          <w:color w:val="1F1F1F"/>
        </w:rPr>
        <w:t xml:space="preserve"> </w:t>
      </w:r>
      <w:r w:rsidRPr="00C47998">
        <w:t>is</w:t>
      </w:r>
      <w:r w:rsidRPr="00C47998">
        <w:rPr>
          <w:color w:val="1F1F1F"/>
        </w:rPr>
        <w:t xml:space="preserve"> </w:t>
      </w:r>
      <w:r w:rsidRPr="00C47998">
        <w:t>evaluated,</w:t>
      </w:r>
      <w:r w:rsidRPr="00C47998">
        <w:rPr>
          <w:color w:val="1F1F1F"/>
        </w:rPr>
        <w:t xml:space="preserve"> </w:t>
      </w:r>
      <w:r w:rsidRPr="00C47998">
        <w:t>which</w:t>
      </w:r>
      <w:r w:rsidRPr="00C47998">
        <w:rPr>
          <w:color w:val="1F1F1F"/>
        </w:rPr>
        <w:t xml:space="preserve"> </w:t>
      </w:r>
      <w:r w:rsidRPr="00C47998">
        <w:t>external</w:t>
      </w:r>
      <w:r w:rsidRPr="00C47998">
        <w:rPr>
          <w:color w:val="1F1F1F"/>
        </w:rPr>
        <w:t xml:space="preserve"> </w:t>
      </w:r>
      <w:r w:rsidRPr="00C47998">
        <w:t>threat</w:t>
      </w:r>
      <w:r w:rsidRPr="00C47998">
        <w:rPr>
          <w:color w:val="1F1F1F"/>
        </w:rPr>
        <w:t xml:space="preserve"> </w:t>
      </w:r>
      <w:r w:rsidRPr="00C47998">
        <w:t>receives</w:t>
      </w:r>
      <w:r w:rsidRPr="00C47998">
        <w:rPr>
          <w:color w:val="1F1F1F"/>
        </w:rPr>
        <w:t xml:space="preserve"> </w:t>
      </w:r>
      <w:r w:rsidRPr="00C47998">
        <w:t>priority,</w:t>
      </w:r>
      <w:r w:rsidRPr="00C47998">
        <w:rPr>
          <w:color w:val="1F1F1F"/>
        </w:rPr>
        <w:t xml:space="preserve"> </w:t>
      </w:r>
      <w:r w:rsidRPr="00C47998">
        <w:t>and</w:t>
      </w:r>
      <w:r w:rsidRPr="00C47998">
        <w:rPr>
          <w:color w:val="1F1F1F"/>
        </w:rPr>
        <w:t xml:space="preserve"> </w:t>
      </w:r>
      <w:r w:rsidRPr="00C47998">
        <w:t>whether</w:t>
      </w:r>
      <w:r w:rsidRPr="00C47998">
        <w:rPr>
          <w:color w:val="1F1F1F"/>
        </w:rPr>
        <w:t xml:space="preserve"> </w:t>
      </w:r>
      <w:r w:rsidRPr="00C47998">
        <w:t>foreign</w:t>
      </w:r>
      <w:r w:rsidRPr="00C47998">
        <w:rPr>
          <w:color w:val="1F1F1F"/>
        </w:rPr>
        <w:t xml:space="preserve"> </w:t>
      </w:r>
      <w:r w:rsidRPr="00C47998">
        <w:t>commitments</w:t>
      </w:r>
      <w:r w:rsidRPr="00C47998">
        <w:rPr>
          <w:color w:val="1F1F1F"/>
        </w:rPr>
        <w:t xml:space="preserve"> </w:t>
      </w:r>
      <w:r w:rsidRPr="00C47998">
        <w:t>are</w:t>
      </w:r>
      <w:r w:rsidRPr="00C47998">
        <w:rPr>
          <w:color w:val="1F1F1F"/>
        </w:rPr>
        <w:t xml:space="preserve"> </w:t>
      </w:r>
      <w:r w:rsidRPr="00C47998">
        <w:t>pitted</w:t>
      </w:r>
      <w:r w:rsidRPr="00C47998">
        <w:rPr>
          <w:color w:val="1F1F1F"/>
        </w:rPr>
        <w:t xml:space="preserve"> </w:t>
      </w:r>
      <w:r w:rsidRPr="00C47998">
        <w:t>against</w:t>
      </w:r>
      <w:r w:rsidRPr="00C47998">
        <w:rPr>
          <w:color w:val="1F1F1F"/>
        </w:rPr>
        <w:t xml:space="preserve"> </w:t>
      </w:r>
      <w:r w:rsidRPr="00C47998">
        <w:t>domestic</w:t>
      </w:r>
      <w:r w:rsidRPr="00C47998">
        <w:rPr>
          <w:color w:val="1F1F1F"/>
        </w:rPr>
        <w:t xml:space="preserve"> </w:t>
      </w:r>
      <w:r w:rsidRPr="00C47998">
        <w:t>priorities.</w:t>
      </w:r>
      <w:r w:rsidRPr="00D3220F">
        <w:t xml:space="preserve"> </w:t>
      </w:r>
      <w:r w:rsidRPr="001F70F6">
        <w:rPr>
          <w:b/>
          <w:bCs/>
        </w:rPr>
        <w:t>General</w:t>
      </w:r>
      <w:r w:rsidRPr="001F70F6">
        <w:rPr>
          <w:b/>
          <w:bCs/>
          <w:color w:val="1F1F1F"/>
        </w:rPr>
        <w:t xml:space="preserve"> </w:t>
      </w:r>
      <w:r w:rsidRPr="001F70F6">
        <w:rPr>
          <w:b/>
          <w:bCs/>
        </w:rPr>
        <w:t>Ukraine</w:t>
      </w:r>
      <w:r w:rsidRPr="001F70F6">
        <w:rPr>
          <w:b/>
          <w:bCs/>
          <w:color w:val="1F1F1F"/>
        </w:rPr>
        <w:t xml:space="preserve"> </w:t>
      </w:r>
      <w:r w:rsidRPr="001F70F6">
        <w:rPr>
          <w:b/>
          <w:bCs/>
        </w:rPr>
        <w:t>Aid</w:t>
      </w:r>
      <w:r w:rsidRPr="001F70F6">
        <w:rPr>
          <w:b/>
          <w:bCs/>
          <w:color w:val="1F1F1F"/>
        </w:rPr>
        <w:t xml:space="preserve"> </w:t>
      </w:r>
      <w:r w:rsidRPr="001F70F6">
        <w:rPr>
          <w:b/>
          <w:bCs/>
        </w:rPr>
        <w:t>Stance</w:t>
      </w:r>
      <w:r w:rsidRPr="001F70F6">
        <w:rPr>
          <w:b/>
          <w:bCs/>
          <w:color w:val="1F1F1F"/>
        </w:rPr>
        <w:t xml:space="preserve"> </w:t>
      </w:r>
      <w:r w:rsidRPr="001F70F6">
        <w:rPr>
          <w:b/>
          <w:bCs/>
          <w:color w:val="374151"/>
        </w:rPr>
        <w:t>(</w:t>
      </w:r>
      <w:r w:rsidRPr="001F70F6">
        <w:rPr>
          <w:b/>
          <w:bCs/>
        </w:rPr>
        <w:t>Q1</w:t>
      </w:r>
      <w:r w:rsidRPr="001F70F6">
        <w:rPr>
          <w:rFonts w:hint="eastAsia"/>
          <w:b/>
          <w:bCs/>
          <w:color w:val="374151"/>
        </w:rPr>
        <w:t>)</w:t>
      </w:r>
      <w:r w:rsidRPr="001F70F6">
        <w:rPr>
          <w:b/>
          <w:bCs/>
          <w:color w:val="1F1F1F"/>
        </w:rPr>
        <w:t xml:space="preserve"> </w:t>
      </w:r>
      <w:r w:rsidRPr="00C47998">
        <w:t>captures</w:t>
      </w:r>
      <w:r w:rsidRPr="00C47998">
        <w:rPr>
          <w:color w:val="1F1F1F"/>
        </w:rPr>
        <w:t xml:space="preserve"> </w:t>
      </w:r>
      <w:r>
        <w:rPr>
          <w:rFonts w:hint="eastAsia"/>
        </w:rPr>
        <w:t>the general stance</w:t>
      </w:r>
      <w:r w:rsidRPr="00C47998">
        <w:rPr>
          <w:color w:val="1F1F1F"/>
        </w:rPr>
        <w:t xml:space="preserve"> </w:t>
      </w:r>
      <w:r w:rsidRPr="00C47998">
        <w:t>from</w:t>
      </w:r>
      <w:r w:rsidRPr="00C47998">
        <w:rPr>
          <w:color w:val="1F1F1F"/>
        </w:rPr>
        <w:t xml:space="preserve"> </w:t>
      </w:r>
      <w:r w:rsidRPr="00C47998">
        <w:t>support</w:t>
      </w:r>
      <w:r w:rsidRPr="00C47998">
        <w:rPr>
          <w:color w:val="1F1F1F"/>
        </w:rPr>
        <w:t xml:space="preserve"> </w:t>
      </w:r>
      <w:r w:rsidRPr="00C47998">
        <w:t>to</w:t>
      </w:r>
      <w:r w:rsidRPr="00C47998">
        <w:rPr>
          <w:color w:val="1F1F1F"/>
        </w:rPr>
        <w:t xml:space="preserve"> </w:t>
      </w:r>
      <w:r w:rsidRPr="00C47998">
        <w:t>opposition.</w:t>
      </w:r>
      <w:r w:rsidRPr="001F70F6">
        <w:rPr>
          <w:b/>
          <w:bCs/>
        </w:rPr>
        <w:t xml:space="preserve"> Ukraine</w:t>
      </w:r>
      <w:r w:rsidRPr="001F70F6">
        <w:rPr>
          <w:b/>
          <w:bCs/>
          <w:color w:val="1F1F1F"/>
        </w:rPr>
        <w:t xml:space="preserve"> </w:t>
      </w:r>
      <w:r w:rsidRPr="001F70F6">
        <w:rPr>
          <w:b/>
          <w:bCs/>
        </w:rPr>
        <w:t>Characterization</w:t>
      </w:r>
      <w:r w:rsidRPr="001F70F6">
        <w:rPr>
          <w:b/>
          <w:bCs/>
          <w:color w:val="1F1F1F"/>
        </w:rPr>
        <w:t xml:space="preserve"> </w:t>
      </w:r>
      <w:r w:rsidRPr="001F70F6">
        <w:rPr>
          <w:b/>
          <w:bCs/>
          <w:color w:val="374151"/>
        </w:rPr>
        <w:t>(</w:t>
      </w:r>
      <w:r w:rsidRPr="001F70F6">
        <w:rPr>
          <w:b/>
          <w:bCs/>
        </w:rPr>
        <w:t>Q2</w:t>
      </w:r>
      <w:r w:rsidRPr="001F70F6">
        <w:rPr>
          <w:b/>
          <w:bCs/>
          <w:color w:val="374151"/>
        </w:rPr>
        <w:t>)</w:t>
      </w:r>
      <w:r w:rsidRPr="00C47998">
        <w:rPr>
          <w:color w:val="1F1F1F"/>
        </w:rPr>
        <w:t xml:space="preserve"> </w:t>
      </w:r>
      <w:r w:rsidRPr="00C47998">
        <w:t>isolates</w:t>
      </w:r>
      <w:r w:rsidRPr="00C47998">
        <w:rPr>
          <w:color w:val="1F1F1F"/>
        </w:rPr>
        <w:t xml:space="preserve"> </w:t>
      </w:r>
      <w:r w:rsidRPr="00C47998">
        <w:t>portrayals</w:t>
      </w:r>
      <w:r w:rsidRPr="00C47998">
        <w:rPr>
          <w:color w:val="1F1F1F"/>
        </w:rPr>
        <w:t xml:space="preserve"> </w:t>
      </w:r>
      <w:r w:rsidRPr="00C47998">
        <w:t>of</w:t>
      </w:r>
      <w:r w:rsidRPr="00C47998">
        <w:rPr>
          <w:color w:val="1F1F1F"/>
        </w:rPr>
        <w:t xml:space="preserve"> </w:t>
      </w:r>
      <w:r w:rsidRPr="00C47998">
        <w:t>Ukraine</w:t>
      </w:r>
      <w:r w:rsidRPr="00C47998">
        <w:rPr>
          <w:color w:val="1F1F1F"/>
        </w:rPr>
        <w:t xml:space="preserve"> </w:t>
      </w:r>
      <w:r w:rsidRPr="00C47998">
        <w:t>as</w:t>
      </w:r>
      <w:r w:rsidRPr="00C47998">
        <w:rPr>
          <w:color w:val="1F1F1F"/>
        </w:rPr>
        <w:t xml:space="preserve"> </w:t>
      </w:r>
      <w:r w:rsidRPr="00C47998">
        <w:t>a</w:t>
      </w:r>
      <w:r w:rsidRPr="00C47998">
        <w:rPr>
          <w:color w:val="1F1F1F"/>
        </w:rPr>
        <w:t xml:space="preserve"> </w:t>
      </w:r>
      <w:r w:rsidRPr="00C47998">
        <w:t>democratic</w:t>
      </w:r>
      <w:r w:rsidRPr="00C47998">
        <w:rPr>
          <w:color w:val="1F1F1F"/>
        </w:rPr>
        <w:t xml:space="preserve"> </w:t>
      </w:r>
      <w:r w:rsidRPr="00C47998">
        <w:t>partner</w:t>
      </w:r>
      <w:r w:rsidRPr="00C47998">
        <w:rPr>
          <w:color w:val="1F1F1F"/>
        </w:rPr>
        <w:t xml:space="preserve"> </w:t>
      </w:r>
      <w:r w:rsidRPr="00C47998">
        <w:t>from</w:t>
      </w:r>
      <w:r w:rsidRPr="00C47998">
        <w:rPr>
          <w:color w:val="1F1F1F"/>
        </w:rPr>
        <w:t xml:space="preserve"> </w:t>
      </w:r>
      <w:r w:rsidRPr="00C47998">
        <w:t>portrayals</w:t>
      </w:r>
      <w:r w:rsidRPr="00C47998">
        <w:rPr>
          <w:color w:val="1F1F1F"/>
        </w:rPr>
        <w:t xml:space="preserve"> </w:t>
      </w:r>
      <w:r w:rsidRPr="00C47998">
        <w:t>of</w:t>
      </w:r>
      <w:r w:rsidRPr="00C47998">
        <w:rPr>
          <w:color w:val="1F1F1F"/>
        </w:rPr>
        <w:t xml:space="preserve"> </w:t>
      </w:r>
      <w:r w:rsidRPr="00C47998">
        <w:t>it</w:t>
      </w:r>
      <w:r w:rsidRPr="00C47998">
        <w:rPr>
          <w:color w:val="1F1F1F"/>
        </w:rPr>
        <w:t xml:space="preserve"> </w:t>
      </w:r>
      <w:r w:rsidRPr="00C47998">
        <w:t>as</w:t>
      </w:r>
      <w:r w:rsidRPr="00C47998">
        <w:rPr>
          <w:color w:val="1F1F1F"/>
        </w:rPr>
        <w:t xml:space="preserve"> </w:t>
      </w:r>
      <w:r w:rsidRPr="00C47998">
        <w:t>unreliable,</w:t>
      </w:r>
      <w:r w:rsidRPr="00C47998">
        <w:rPr>
          <w:color w:val="1F1F1F"/>
        </w:rPr>
        <w:t xml:space="preserve"> </w:t>
      </w:r>
      <w:r w:rsidRPr="00C47998">
        <w:t>burdensome,</w:t>
      </w:r>
      <w:r w:rsidRPr="00C47998">
        <w:rPr>
          <w:color w:val="1F1F1F"/>
        </w:rPr>
        <w:t xml:space="preserve"> </w:t>
      </w:r>
      <w:r w:rsidRPr="00C47998">
        <w:t>or</w:t>
      </w:r>
      <w:r w:rsidRPr="00C47998">
        <w:rPr>
          <w:color w:val="1F1F1F"/>
        </w:rPr>
        <w:t xml:space="preserve"> </w:t>
      </w:r>
      <w:r w:rsidRPr="00C47998">
        <w:t>outside</w:t>
      </w:r>
      <w:r w:rsidRPr="00C47998">
        <w:rPr>
          <w:color w:val="1F1F1F"/>
        </w:rPr>
        <w:t xml:space="preserve"> </w:t>
      </w:r>
      <w:r w:rsidRPr="00C47998">
        <w:t>United</w:t>
      </w:r>
      <w:r w:rsidRPr="00C47998">
        <w:rPr>
          <w:color w:val="1F1F1F"/>
        </w:rPr>
        <w:t xml:space="preserve"> </w:t>
      </w:r>
      <w:r w:rsidRPr="00C47998">
        <w:t>States</w:t>
      </w:r>
      <w:r w:rsidRPr="00C47998">
        <w:rPr>
          <w:color w:val="1F1F1F"/>
        </w:rPr>
        <w:t xml:space="preserve"> </w:t>
      </w:r>
      <w:r w:rsidRPr="00C47998">
        <w:t>concern;</w:t>
      </w:r>
      <w:r w:rsidRPr="00C47998">
        <w:rPr>
          <w:color w:val="1F1F1F"/>
        </w:rPr>
        <w:t xml:space="preserve"> </w:t>
      </w:r>
      <w:r w:rsidRPr="00C47998">
        <w:t>it</w:t>
      </w:r>
      <w:r w:rsidRPr="00C47998">
        <w:rPr>
          <w:color w:val="1F1F1F"/>
        </w:rPr>
        <w:t xml:space="preserve"> </w:t>
      </w:r>
      <w:r>
        <w:rPr>
          <w:rFonts w:hint="eastAsia"/>
        </w:rPr>
        <w:t xml:space="preserve">tracks how the recipient of the aid is evaluated alongside the decision </w:t>
      </w:r>
      <w:r w:rsidRPr="00C47998">
        <w:t>to</w:t>
      </w:r>
      <w:r w:rsidRPr="00C47998">
        <w:rPr>
          <w:color w:val="1F1F1F"/>
        </w:rPr>
        <w:t xml:space="preserve"> </w:t>
      </w:r>
      <w:r w:rsidRPr="00C47998">
        <w:t>support</w:t>
      </w:r>
      <w:r>
        <w:rPr>
          <w:rFonts w:hint="eastAsia"/>
        </w:rPr>
        <w:t>/not support</w:t>
      </w:r>
      <w:r w:rsidRPr="00C47998">
        <w:rPr>
          <w:color w:val="1F1F1F"/>
        </w:rPr>
        <w:t xml:space="preserve"> </w:t>
      </w:r>
      <w:r w:rsidRPr="00C47998">
        <w:t>aid.</w:t>
      </w:r>
      <w:r w:rsidRPr="00C47998">
        <w:rPr>
          <w:color w:val="1F1F1F"/>
        </w:rPr>
        <w:t xml:space="preserve"> </w:t>
      </w:r>
      <w:r>
        <w:rPr>
          <w:b/>
          <w:bCs/>
        </w:rPr>
        <w:t>Threat Priority</w:t>
      </w:r>
      <w:r w:rsidRPr="00BF4A9D">
        <w:rPr>
          <w:b/>
          <w:bCs/>
          <w:color w:val="1F1F1F"/>
        </w:rPr>
        <w:t xml:space="preserve"> </w:t>
      </w:r>
      <w:r w:rsidRPr="00BF4A9D">
        <w:rPr>
          <w:b/>
          <w:bCs/>
          <w:color w:val="374151"/>
        </w:rPr>
        <w:t>(</w:t>
      </w:r>
      <w:r w:rsidRPr="00BF4A9D">
        <w:rPr>
          <w:b/>
          <w:bCs/>
        </w:rPr>
        <w:t>Q3</w:t>
      </w:r>
      <w:r w:rsidRPr="00BF4A9D">
        <w:rPr>
          <w:b/>
          <w:bCs/>
          <w:color w:val="374151"/>
        </w:rPr>
        <w:t>)</w:t>
      </w:r>
      <w:r w:rsidRPr="00C47998">
        <w:rPr>
          <w:color w:val="1F1F1F"/>
        </w:rPr>
        <w:t xml:space="preserve"> </w:t>
      </w:r>
      <w:r w:rsidRPr="00C47998">
        <w:t>distinguishes</w:t>
      </w:r>
      <w:r w:rsidRPr="00C47998">
        <w:rPr>
          <w:color w:val="1F1F1F"/>
        </w:rPr>
        <w:t xml:space="preserve"> </w:t>
      </w:r>
      <w:r w:rsidRPr="00C47998">
        <w:t>emphasis</w:t>
      </w:r>
      <w:r w:rsidRPr="00C47998">
        <w:rPr>
          <w:color w:val="1F1F1F"/>
        </w:rPr>
        <w:t xml:space="preserve"> </w:t>
      </w:r>
      <w:r w:rsidRPr="00C47998">
        <w:t>on</w:t>
      </w:r>
      <w:r w:rsidRPr="00C47998">
        <w:rPr>
          <w:color w:val="1F1F1F"/>
        </w:rPr>
        <w:t xml:space="preserve"> </w:t>
      </w:r>
      <w:r w:rsidRPr="00C47998">
        <w:t>Russia</w:t>
      </w:r>
      <w:r w:rsidRPr="00C47998">
        <w:rPr>
          <w:color w:val="1F1F1F"/>
        </w:rPr>
        <w:t xml:space="preserve"> </w:t>
      </w:r>
      <w:r w:rsidRPr="00C47998">
        <w:t>and</w:t>
      </w:r>
      <w:r w:rsidRPr="00C47998">
        <w:rPr>
          <w:color w:val="1F1F1F"/>
        </w:rPr>
        <w:t xml:space="preserve"> </w:t>
      </w:r>
      <w:r w:rsidRPr="00C47998">
        <w:t>the</w:t>
      </w:r>
      <w:r w:rsidRPr="00C47998">
        <w:rPr>
          <w:color w:val="1F1F1F"/>
        </w:rPr>
        <w:t xml:space="preserve"> </w:t>
      </w:r>
      <w:r w:rsidRPr="00C47998">
        <w:t>defense</w:t>
      </w:r>
      <w:r w:rsidRPr="00C47998">
        <w:rPr>
          <w:color w:val="1F1F1F"/>
        </w:rPr>
        <w:t xml:space="preserve"> </w:t>
      </w:r>
      <w:r w:rsidRPr="00C47998">
        <w:t>of</w:t>
      </w:r>
      <w:r w:rsidRPr="00C47998">
        <w:rPr>
          <w:color w:val="1F1F1F"/>
        </w:rPr>
        <w:t xml:space="preserve"> </w:t>
      </w:r>
      <w:r w:rsidRPr="00C47998">
        <w:t>Ukraine</w:t>
      </w:r>
      <w:r w:rsidRPr="00C47998">
        <w:rPr>
          <w:color w:val="1F1F1F"/>
        </w:rPr>
        <w:t xml:space="preserve"> </w:t>
      </w:r>
      <w:r w:rsidRPr="00C47998">
        <w:t>from</w:t>
      </w:r>
      <w:r w:rsidRPr="00C47998">
        <w:rPr>
          <w:color w:val="1F1F1F"/>
        </w:rPr>
        <w:t xml:space="preserve"> </w:t>
      </w:r>
      <w:r w:rsidRPr="00C47998">
        <w:t>emphasis</w:t>
      </w:r>
      <w:r w:rsidRPr="00C47998">
        <w:rPr>
          <w:color w:val="1F1F1F"/>
        </w:rPr>
        <w:t xml:space="preserve"> </w:t>
      </w:r>
      <w:r w:rsidRPr="00C47998">
        <w:t>on</w:t>
      </w:r>
      <w:r w:rsidRPr="00C47998">
        <w:rPr>
          <w:color w:val="1F1F1F"/>
        </w:rPr>
        <w:t xml:space="preserve"> </w:t>
      </w:r>
      <w:r w:rsidRPr="00C47998">
        <w:t>China</w:t>
      </w:r>
      <w:r w:rsidRPr="00C47998">
        <w:rPr>
          <w:color w:val="1F1F1F"/>
        </w:rPr>
        <w:t xml:space="preserve"> </w:t>
      </w:r>
      <w:r w:rsidRPr="00C47998">
        <w:t>and</w:t>
      </w:r>
      <w:r w:rsidRPr="00C47998">
        <w:rPr>
          <w:color w:val="1F1F1F"/>
        </w:rPr>
        <w:t xml:space="preserve"> </w:t>
      </w:r>
      <w:r w:rsidRPr="00C47998">
        <w:t>the</w:t>
      </w:r>
      <w:r w:rsidRPr="00C47998">
        <w:rPr>
          <w:color w:val="1F1F1F"/>
        </w:rPr>
        <w:t xml:space="preserve"> </w:t>
      </w:r>
      <w:r w:rsidRPr="00C47998">
        <w:t>Indo-Pacific</w:t>
      </w:r>
      <w:r>
        <w:rPr>
          <w:rFonts w:hint="eastAsia"/>
        </w:rPr>
        <w:t xml:space="preserve"> </w:t>
      </w:r>
      <w:r>
        <w:fldChar w:fldCharType="begin"/>
      </w:r>
      <w:r>
        <w:instrText xml:space="preserve"> ADDIN ZOTERO_ITEM CSL_CITATION {"citationID":"DnU2fWKi","properties":{"unsorted":false,"formattedCitation":"(P. Harris et al., 2023; Rieger, 2025a)","plainCitation":"(P. Harris et al., 2023; Rieger, 2025a)","noteIndex":0},"citationItems":[{"id":8394,"uris":["http://zotero.org/users/6825464/items/I3B7UPLM"],"itemData":{"id":8394,"type":"article-journal","abstract":"America’s response to the Russian invasion of Ukraine surprised many analysts, both because of its severity, and because of the speed and vigour with which it was implemented. Yet President Biden’s policy toward the war in Ukraine has also been noteworthy because of the bipartisan support it has enjoyed at home. Americans have become used to hyper-partisanship as a defining feature of their government and politics, but Biden’s policies of support for Ukraine have engendered a rare instance of cross-party unity in Washington, DC. For how long will US support for Ukraine endure? And what are the limits of bipartisanship? In this article, we argue that the key to answering these and related questions is to ascertain the national interests that US leaders view as being at stake in the war. After considering three rival explanations of US policy toward Ukraine, however, we conclude that it is difficult to determine whether there is any stable intersubjective understanding of the US interest in Ukrainian security. The future of America’s engagement in Ukraine will depend upon how the war is experienced, processed, and politicised by actors on the home front.","citation-key":"harrisWarUkrainePolarised2023a","container-title":"LSE Public Policy Review","DOI":"10.31389/lseppr.89","ISSN":"2633-4046","issue":"1","language":"eng","license":"cc_by_4","note":"number-of-pages: 8","publisher":"LSE Press","source":"researchonline.lse.ac.uk","title":"War in Ukraine in a polarised America","URL":"https://ppr.lse.ac.uk/","volume":"3","author":[{"family":"Harris","given":"Peter"},{"family":"Marinova","given":"Iren"},{"family":"Gricius","given":"Gabriella"}],"accessed":{"date-parts":[["2026",1,31]]},"issued":{"date-parts":[["2023",9,8]]}}},{"id":9646,"uris":["http://zotero.org/users/6825464/items/8RZJY8PV"],"itemData":{"id":9646,"type":"article-journal","abstract":"The United States has a longstanding tradition regarding its overall foreign policy, in the form of a bipartisan consensus. This includes—among other things—maintaining alliances and curbing the influence of rivals (e.g., Russia). Since this consensus has been in place, traditionally the Republican Party (GOP) has been especially intent on a less cooperative and more containing or deterring stance towards Russia. With former U.S. President Donald Trump, we can see a turning point in this behaviour by the GOP. Trump’s obvious admiration for Russian president Putin and his statements about Putin being overly favourable, while simultaneously questioning NATO and the United States’ commitment to defend Eastern European partners, show a distinctive shift in the GOP’s discourse. This renunciation has subsequently been picked up by parts of the Republican Party, rendering the bipartisan consensus a contested issue. The full-scale Russian invasion of Ukraine in February 2022 now constitutes an important external shock influencing said discursive shift. By drawing on discourse-bound identity theory and discourse analysis, the GOP’s discourse regarding Russia and NATO is expected to have (substantially) changed in a kind of Zeitenwende—back towards the bipartisan consensus. This article will, therefore, analyse the statements of prominent Republicans after the Russian invasion, compare them to Trump’s positions on these issues, and identify whether the invasion serves as a formative event that creates an overall shift in rhetoric and positions.","container-title":"Politische Vierteljahresschrift","DOI":"10.1007/s11615-024-00558-7","ISSN":"1862-2860","issue":"1","journalAbbreviation":"Polit Vierteljahresschr","language":"en","page":"77-99","source":"Springer Link","title":"A Manchurian Candidate? The GOP’s Discourse on the Russian War in Ukraine","title-short":"A Manchurian Candidate?","volume":"66","author":[{"family":"Rieger","given":"Eva"}],"issued":{"date-parts":[["2025",3,1]]}}}],"schema":"https://github.com/citation-style-language/schema/raw/master/csl-citation.json"} </w:instrText>
      </w:r>
      <w:r>
        <w:fldChar w:fldCharType="separate"/>
      </w:r>
      <w:r>
        <w:rPr>
          <w:noProof/>
        </w:rPr>
        <w:t>(P. Harris et al., 2023; Rieger, 2025a)</w:t>
      </w:r>
      <w:r>
        <w:fldChar w:fldCharType="end"/>
      </w:r>
      <w:r w:rsidRPr="00C47998">
        <w:t>.</w:t>
      </w:r>
      <w:r w:rsidRPr="00C47998">
        <w:rPr>
          <w:color w:val="1F1F1F"/>
        </w:rPr>
        <w:t xml:space="preserve"> </w:t>
      </w:r>
      <w:r w:rsidRPr="008E7C77">
        <w:rPr>
          <w:b/>
          <w:bCs/>
        </w:rPr>
        <w:t>Resource</w:t>
      </w:r>
      <w:r w:rsidRPr="008E7C77">
        <w:rPr>
          <w:b/>
          <w:bCs/>
          <w:color w:val="1F1F1F"/>
        </w:rPr>
        <w:t xml:space="preserve"> </w:t>
      </w:r>
      <w:r w:rsidRPr="008E7C77">
        <w:rPr>
          <w:b/>
          <w:bCs/>
        </w:rPr>
        <w:t>Allocation</w:t>
      </w:r>
      <w:r w:rsidRPr="008E7C77">
        <w:rPr>
          <w:b/>
          <w:bCs/>
          <w:color w:val="1F1F1F"/>
        </w:rPr>
        <w:t xml:space="preserve"> </w:t>
      </w:r>
      <w:r w:rsidRPr="008E7C77">
        <w:rPr>
          <w:b/>
          <w:bCs/>
          <w:color w:val="374151"/>
        </w:rPr>
        <w:t>(</w:t>
      </w:r>
      <w:r w:rsidRPr="008E7C77">
        <w:rPr>
          <w:b/>
          <w:bCs/>
        </w:rPr>
        <w:t>Q4</w:t>
      </w:r>
      <w:r w:rsidRPr="008E7C77">
        <w:rPr>
          <w:b/>
          <w:bCs/>
          <w:color w:val="374151"/>
        </w:rPr>
        <w:t>)</w:t>
      </w:r>
      <w:r w:rsidRPr="00C47998">
        <w:rPr>
          <w:color w:val="1F1F1F"/>
        </w:rPr>
        <w:t xml:space="preserve"> </w:t>
      </w:r>
      <w:r w:rsidRPr="00C47998">
        <w:t>captures</w:t>
      </w:r>
      <w:r w:rsidRPr="00C47998">
        <w:rPr>
          <w:color w:val="1F1F1F"/>
        </w:rPr>
        <w:t xml:space="preserve"> </w:t>
      </w:r>
      <w:r w:rsidRPr="00C47998">
        <w:t>whether</w:t>
      </w:r>
      <w:r w:rsidRPr="00C47998">
        <w:rPr>
          <w:color w:val="1F1F1F"/>
        </w:rPr>
        <w:t xml:space="preserve"> </w:t>
      </w:r>
      <w:r w:rsidRPr="00C47998">
        <w:t>assistance</w:t>
      </w:r>
      <w:r w:rsidRPr="00C47998">
        <w:rPr>
          <w:color w:val="1F1F1F"/>
        </w:rPr>
        <w:t xml:space="preserve"> </w:t>
      </w:r>
      <w:r w:rsidRPr="00C47998">
        <w:t>is</w:t>
      </w:r>
      <w:r w:rsidRPr="00C47998">
        <w:rPr>
          <w:color w:val="1F1F1F"/>
        </w:rPr>
        <w:t xml:space="preserve"> </w:t>
      </w:r>
      <w:r w:rsidRPr="00C47998">
        <w:t>represented</w:t>
      </w:r>
      <w:r w:rsidRPr="00C47998">
        <w:rPr>
          <w:color w:val="1F1F1F"/>
        </w:rPr>
        <w:t xml:space="preserve"> </w:t>
      </w:r>
      <w:r w:rsidRPr="00C47998">
        <w:t>as</w:t>
      </w:r>
      <w:r w:rsidRPr="00C47998">
        <w:rPr>
          <w:color w:val="1F1F1F"/>
        </w:rPr>
        <w:t xml:space="preserve"> </w:t>
      </w:r>
      <w:r w:rsidRPr="00C47998">
        <w:t>competing</w:t>
      </w:r>
      <w:r w:rsidRPr="00C47998">
        <w:rPr>
          <w:color w:val="1F1F1F"/>
        </w:rPr>
        <w:t xml:space="preserve"> </w:t>
      </w:r>
      <w:r w:rsidRPr="00C47998">
        <w:t>with</w:t>
      </w:r>
      <w:r w:rsidRPr="00C47998">
        <w:rPr>
          <w:color w:val="1F1F1F"/>
        </w:rPr>
        <w:t xml:space="preserve"> </w:t>
      </w:r>
      <w:r w:rsidRPr="00C47998">
        <w:t>domestic</w:t>
      </w:r>
      <w:r w:rsidRPr="00C47998">
        <w:rPr>
          <w:color w:val="1F1F1F"/>
        </w:rPr>
        <w:t xml:space="preserve"> </w:t>
      </w:r>
      <w:r w:rsidRPr="00C47998">
        <w:t>welfare,</w:t>
      </w:r>
      <w:r w:rsidRPr="00C47998">
        <w:rPr>
          <w:color w:val="1F1F1F"/>
        </w:rPr>
        <w:t xml:space="preserve"> </w:t>
      </w:r>
      <w:r w:rsidRPr="00C47998">
        <w:t>border</w:t>
      </w:r>
      <w:r w:rsidRPr="00C47998">
        <w:rPr>
          <w:color w:val="1F1F1F"/>
        </w:rPr>
        <w:t xml:space="preserve"> </w:t>
      </w:r>
      <w:r w:rsidRPr="00C47998">
        <w:t>protection,</w:t>
      </w:r>
      <w:r w:rsidRPr="00C47998">
        <w:rPr>
          <w:color w:val="1F1F1F"/>
        </w:rPr>
        <w:t xml:space="preserve"> </w:t>
      </w:r>
      <w:r w:rsidRPr="00C47998">
        <w:t>or</w:t>
      </w:r>
      <w:r w:rsidRPr="00C47998">
        <w:rPr>
          <w:color w:val="1F1F1F"/>
        </w:rPr>
        <w:t xml:space="preserve"> </w:t>
      </w:r>
      <w:r w:rsidRPr="00C47998">
        <w:t>other</w:t>
      </w:r>
      <w:r w:rsidRPr="00C47998">
        <w:rPr>
          <w:color w:val="1F1F1F"/>
        </w:rPr>
        <w:t xml:space="preserve"> </w:t>
      </w:r>
      <w:r w:rsidRPr="00C47998">
        <w:t>national</w:t>
      </w:r>
      <w:r w:rsidRPr="00C47998">
        <w:rPr>
          <w:color w:val="1F1F1F"/>
        </w:rPr>
        <w:t xml:space="preserve"> </w:t>
      </w:r>
      <w:r w:rsidRPr="00C47998">
        <w:t>priorities</w:t>
      </w:r>
      <w:r>
        <w:rPr>
          <w:rFonts w:hint="eastAsia"/>
        </w:rPr>
        <w:t xml:space="preserve">. </w:t>
      </w:r>
    </w:p>
    <w:p w14:paraId="43E9B801" w14:textId="77777777" w:rsidR="00EE60D6" w:rsidRDefault="00EE60D6" w:rsidP="00EE60D6"/>
    <w:p w14:paraId="7844DF3E" w14:textId="77777777" w:rsidR="00EE60D6" w:rsidRDefault="00EE60D6" w:rsidP="00EE60D6">
      <w:r>
        <w:rPr>
          <w:rFonts w:hint="eastAsia"/>
        </w:rPr>
        <w:t>The dimension of Resource Allocation</w:t>
      </w:r>
      <w:r w:rsidRPr="00D3361A">
        <w:t xml:space="preserve"> </w:t>
      </w:r>
      <w:r>
        <w:rPr>
          <w:rFonts w:hint="eastAsia"/>
        </w:rPr>
        <w:t xml:space="preserve">is particularly important in understanding the temporal </w:t>
      </w:r>
      <w:r>
        <w:t>progression</w:t>
      </w:r>
      <w:r>
        <w:rPr>
          <w:rFonts w:hint="eastAsia"/>
        </w:rPr>
        <w:t xml:space="preserve"> of the general Ukraine aid stance between two parties. </w:t>
      </w:r>
      <w:r>
        <w:fldChar w:fldCharType="begin"/>
      </w:r>
      <w:r>
        <w:instrText xml:space="preserve"> ADDIN ZOTERO_ITEM CSL_CITATION {"citationID":"RNpHRLnY","properties":{"unsorted":false,"formattedCitation":"(Jeong &amp; Quirk, 2019)","plainCitation":"(Jeong &amp; Quirk, 2019)","dontUpdate":true,"noteIndex":0},"citationItems":[{"id":8353,"uris":["http://zotero.org/users/6825464/items/8CB74SPA"],"itemData":{"id":8353,"type":"article-journal","abstract":"Severe party conflict, not a high-minded suspension of politics, now prevails “at the water’s edge.” Democrats and Republicans fight pitched battles over foreign affairs. But are the two parties polarized in their substantive preferences on foreign policy, or mainly jockeying for partisan advantage? Are they polarized on foreign policy less sharply than on domestic policy? What are the sources of party polarization over foreign policy? Using a new measure of senatorial foreign-policy preferences from 1945-2010, we explore party polarization over foreign policy. We find that foreign-policy preferences have had varying relationships with party politics and general ideology. Since the 1960s, however, the parties have become increasingly polarized on foreign policy. Using a multilevel analysis, we show that foreign-policy polarization has developed in response to partisan electoral rivalry, foreign-policy events, and general ideological polarization. The analysis indicates an increasing influence of domestic politics on foreign policy.","citation-key":"jeongDivisionWatersEdge2019","container-title":"American Politics Research","DOI":"10.1177/1532673X17719721","ISSN":"1532-673X","issue":"1","language":"EN","page":"58-87","publisher":"SAGE Publications Inc","source":"SAGE Journals","title":"Division at the Water’s Edge: The Polarization of Foreign Policy","title-short":"Division at the Water’s Edge","volume":"47","author":[{"family":"Jeong","given":"Gyung-Ho"},{"family":"Quirk","given":"Paul J."}],"issued":{"date-parts":[["2019",1,1]]}}}],"schema":"https://github.com/citation-style-language/schema/raw/master/csl-citation.json"} </w:instrText>
      </w:r>
      <w:r>
        <w:fldChar w:fldCharType="separate"/>
      </w:r>
      <w:r w:rsidRPr="007D7115">
        <w:t>Jeong &amp; Quirk</w:t>
      </w:r>
      <w:r>
        <w:rPr>
          <w:rFonts w:hint="eastAsia"/>
        </w:rPr>
        <w:t xml:space="preserve"> (</w:t>
      </w:r>
      <w:r w:rsidRPr="007D7115">
        <w:t>2019)</w:t>
      </w:r>
      <w:r>
        <w:fldChar w:fldCharType="end"/>
      </w:r>
      <w:r>
        <w:rPr>
          <w:rFonts w:hint="eastAsia"/>
        </w:rPr>
        <w:t xml:space="preserve"> </w:t>
      </w:r>
      <w:r w:rsidRPr="00D3361A">
        <w:t xml:space="preserve">argue that foreign policy polarization is largely derivative of broader domestic polarization, with ideological conflict on domestic issues spilling over into international affairs. </w:t>
      </w:r>
      <w:r>
        <w:fldChar w:fldCharType="begin"/>
      </w:r>
      <w:r>
        <w:instrText xml:space="preserve"> ADDIN ZOTERO_ITEM CSL_CITATION {"citationID":"haY5Xkmt","properties":{"unsorted":false,"formattedCitation":"(Borg, 2024)","plainCitation":"(Borg, 2024)","dontUpdate":true,"noteIndex":0},"citationItems":[{"id":8370,"uris":["http://zotero.org/users/6825464/items/A67RAXV7"],"itemData":{"id":8370,"type":"article-journal","abstract":"Growing polarization among the US electorate has in recent years attracted considerable attention from academic and non-academic observers. This paper examines some of the ways in which polarization affects US foreign and security policy in the post-Trump era. In particular, the paper offers an account of why bipartisan agreement over the so-called “rise of China” has prevailed in the face of powerful trends towards increased polarization, while domestic opinions over US aid to Ukraine have become much more contested. Drawing on a constructivist understanding of foreign policy as performative of a certain vision of the domestic self, this paper shows how US aid to Ukraine has become entangled with competing visions of the US, while domestic opinions of China have remained stable. While such a constructivist understanding does not necessarily challenge rationalist accounts, it is helpful in unravelling the link between national identity, domestic polarization, and foreign policy.","citation-key":"borgBattleSoulThis2024","container-title":"International Journal","DOI":"10.1177/00207020241232986","ISSN":"0020-7020","issue":"1","journalAbbreviation":"International Journal","language":"EN","page":"22-39","publisher":"SAGE Publications Ltd","source":"SAGE Journals","title":"“A Battle for the Soul of This Nation”: How Domestic Polarization Affects US Foreign Policy in Post-Trump America","title-short":"“A Battle for the Soul of This Nation”","volume":"79","author":[{"family":"Borg","given":"Stefan"}],"issued":{"date-parts":[["2024",3,1]]}}}],"schema":"https://github.com/citation-style-language/schema/raw/master/csl-citation.json"} </w:instrText>
      </w:r>
      <w:r>
        <w:fldChar w:fldCharType="separate"/>
      </w:r>
      <w:r w:rsidRPr="007D7115">
        <w:t>Borg</w:t>
      </w:r>
      <w:r>
        <w:rPr>
          <w:rFonts w:hint="eastAsia"/>
        </w:rPr>
        <w:t xml:space="preserve"> (</w:t>
      </w:r>
      <w:r w:rsidRPr="007D7115">
        <w:t>2024)</w:t>
      </w:r>
      <w:r>
        <w:fldChar w:fldCharType="end"/>
      </w:r>
      <w:r>
        <w:rPr>
          <w:rFonts w:hint="eastAsia"/>
        </w:rPr>
        <w:t xml:space="preserve"> </w:t>
      </w:r>
      <w:r w:rsidRPr="00D3361A">
        <w:t xml:space="preserve">extends this reasoning, </w:t>
      </w:r>
      <w:r>
        <w:rPr>
          <w:rFonts w:hint="eastAsia"/>
        </w:rPr>
        <w:t xml:space="preserve">arguing </w:t>
      </w:r>
      <w:r w:rsidRPr="00D3361A">
        <w:t xml:space="preserve">that foreign policy contestation fundamentally involves competing visions of American identity and priorities. If foreign policy polarization operates primarily through domestic spillover, then framing Ukraine aid as competing with domestic spending directly activates existing partisan divisions over resource allocation, taxation, and government priorities. Notably, this linkage is not exclusive to either party: the Biden administration explicitly connected foreign and domestic policy in its 2021 Interim National Security Strategic Guidance, while Republican critics have framed Ukraine aid as diverting resources from border security and domestic needs. The resource allocation dimension thus provides the most direct bridge between foreign policy and the domestic ideological conflicts that </w:t>
      </w:r>
      <w:r>
        <w:t>potentially</w:t>
      </w:r>
      <w:r>
        <w:rPr>
          <w:rFonts w:hint="eastAsia"/>
        </w:rPr>
        <w:t xml:space="preserve"> </w:t>
      </w:r>
      <w:r w:rsidRPr="00D3361A">
        <w:t xml:space="preserve">drive </w:t>
      </w:r>
      <w:r>
        <w:rPr>
          <w:rFonts w:hint="eastAsia"/>
        </w:rPr>
        <w:t>the politicization and polarization of Ukraine aid</w:t>
      </w:r>
      <w:r w:rsidRPr="00D3361A">
        <w:t xml:space="preserve">. </w:t>
      </w:r>
    </w:p>
    <w:p w14:paraId="05354869" w14:textId="77777777" w:rsidR="00EE60D6" w:rsidRDefault="00EE60D6" w:rsidP="00EE60D6"/>
    <w:p w14:paraId="6827936C" w14:textId="77777777" w:rsidR="00EE60D6" w:rsidRDefault="00EE60D6" w:rsidP="00EE60D6">
      <w:pPr>
        <w:pStyle w:val="3"/>
      </w:pPr>
      <w:r w:rsidRPr="00C53099">
        <w:lastRenderedPageBreak/>
        <w:t>Asymmetric Partisan Incentives</w:t>
      </w:r>
    </w:p>
    <w:p w14:paraId="514F87AD" w14:textId="77777777" w:rsidR="00EE60D6" w:rsidRDefault="00EE60D6" w:rsidP="00EE60D6">
      <w:r>
        <w:rPr>
          <w:rFonts w:hint="eastAsia"/>
        </w:rPr>
        <w:t xml:space="preserve">Furthermore, </w:t>
      </w:r>
      <w:r w:rsidRPr="00223101">
        <w:t xml:space="preserve">minority parties </w:t>
      </w:r>
      <w:r>
        <w:rPr>
          <w:rFonts w:hint="eastAsia"/>
        </w:rPr>
        <w:t xml:space="preserve">often </w:t>
      </w:r>
      <w:r w:rsidRPr="00223101">
        <w:t>face incentives to challenge incumbent positions on emerging issues, creating space for future contestation. By establishing that an issue is moveable, challengers can claim it as distinctive party territory</w:t>
      </w:r>
      <w:r>
        <w:rPr>
          <w:rFonts w:hint="eastAsia"/>
        </w:rPr>
        <w:t xml:space="preserve"> </w:t>
      </w:r>
      <w:r>
        <w:fldChar w:fldCharType="begin"/>
      </w:r>
      <w:r>
        <w:instrText xml:space="preserve"> ADDIN ZOTERO_ITEM CSL_CITATION {"citationID":"15oh5tsT","properties":{"unsorted":false,"formattedCitation":"(Abou-Chadi &amp; Orlowski, 2016; Adams et al., 2016; Meguid, 2010)","plainCitation":"(Abou-Chadi &amp; Orlowski, 2016; Adams et al., 2016; Meguid, 2010)","noteIndex":0},"citationItems":[{"id":8354,"uris":["http://zotero.org/users/6825464/items/8F4XZD4B"],"itemData":{"id":8354,"type":"article-journal","abstract":"This article investigates how the degree of electoral competition affects parties’ policy positions. It follows a growing body of research on party positioning in multiparty competition that regards elections as signals for parties that have to choose their positions and issue strategies. In this article we argue that previous elections provide information about the competitiveness of the upcoming election. The expected degree of electoral competition affects parties’ future policy positions since with increasing competitiveness of an election, parties have higher incentives to move toward a vote-maximizing position. However, what constitutes a vote-maximizing strategy varies between parties. While large mainstream parties have an incentive to moderate their positions, small and niche parties choose more extreme positions to distinguish themselves from their mainstream competitors. Applying a novel measure of electoral competitiveness, we find that the degree of electoral competition indeed determines parties’ policy shifts, but that this effect is moderated by party size.","citation-key":"abou-chadiModerateNecessaryRole2016","container-title":"The Journal of Politics","DOI":"10.1086/685585","ISSN":"0022-3816","issue":"3","page":"868-881","publisher":"The University of Chicago Press","source":"journals.uchicago.edu (Atypon)","title":"Moderate as Necessary: The Role of Electoral Competitiveness and Party Size in Explaining Parties’ Policy Shifts","title-short":"Moderate as Necessary","volume":"78","author":[{"family":"Abou-Chadi","given":"Tarik"},{"family":"Orlowski","given":"Matthias"}],"issued":{"date-parts":[["2016",7]]}}},{"id":1504,"uris":["http://zotero.org/users/6825464/items/MAX6GIB9"],"itemData":{"id":1504,"type":"article-journal","abstract":"Recent studies document that voters infer parties' left-right positions from governing coalition arrangements. We show that citizens extend this coalition-based heuristic to the European integration dimension and, furthermore, that citizens' coalition-based inferences on this issue conflict with alternative measures of party positions derived from election manifestos and expert placements. We also show that citizens' perceptions of party positions on Europe matter, in that they drive substantial partisan sorting in the electorate. Our findings have implications for parties' election strategies and for mass-elite policy linkages. [ABSTRACT FROM AUTHOR]","citation-key":"adamsCompanyYouKeep2016","container-title":"American Journal of Political Science","DOI":"10.1111/ajps.12231","issue":"4","note":"DOI: 10.1111/ajps.12231\nMAG ID: 2175683600","page":"811-823","title":"The Company You Keep: How Voters Infer Party Positions on European Integration from Governing Coalition Arrangements","volume":"60","author":[{"family":"Adams","given":"James"},{"family":"Ezrow","given":"Lawrence"},{"family":"Wlezien","given":"Christopher"}],"issued":{"date-parts":[["2016",10,1]]}}},{"id":8352,"uris":["http://zotero.org/users/6825464/items/7GKWLAYH"],"itemData":{"id":8352,"type":"book","abstract":"Why do some political parties flourish, while others flounder? In this book, Meguid examines variation in the electoral trajectories of the new set of single-issue parties: green, radical right, and ethnoterritorial parties. Instead of being dictated by electoral institutions or the socioeconomic climate, as the dominant theories contend, the fortunes of these niche parties, she argues, are shaped by the strategic responses of mainstream parties. She advances a theory of party competition in which mainstream parties facing unequal competitors have access to a wider and more effective set of strategies than posited by standard spatial models. Combining statistical analyses with in-depth case studies from Western Europe, the book explores how and why established parties undermine niche parties or turn them into weapons against their mainstream party opponents. This study of competition between unequals thus provides broader insights into the nature and outcome of competition between political equals.","citation-key":"meguidPartyCompetitionUnequals2010","ISBN":"978-0-521-16908-0","language":"English","number-of-pages":"338","publisher":"Cambridge University Press","publisher-place":"Cambridge","source":"Amazon","title":"Party Competition between Unequals: Strategies and Electoral Fortunes in Western Europe","title-short":"Party Competition between Unequals","author":[{"family":"Meguid","given":"Bonnie M."}],"issued":{"date-parts":[["2010"]]}}}],"schema":"https://github.com/citation-style-language/schema/raw/master/csl-citation.json"} </w:instrText>
      </w:r>
      <w:r>
        <w:fldChar w:fldCharType="separate"/>
      </w:r>
      <w:r w:rsidRPr="00B61F2D">
        <w:t>(Abou-Chadi &amp; Orlowski, 2016; Adams et al., 2016; Meguid, 2010)</w:t>
      </w:r>
      <w:r>
        <w:fldChar w:fldCharType="end"/>
      </w:r>
      <w:r w:rsidRPr="00223101">
        <w:t xml:space="preserve">. </w:t>
      </w:r>
      <w:r w:rsidRPr="00964097">
        <w:t>Over time, this</w:t>
      </w:r>
      <w:r>
        <w:rPr>
          <w:rFonts w:hint="eastAsia"/>
        </w:rPr>
        <w:t xml:space="preserve"> </w:t>
      </w:r>
      <w:r w:rsidRPr="00964097">
        <w:t>enables challenger parties to establish themselves as the authoritative voice on particular issues and gain outsized electoral returns when those issues become salient</w:t>
      </w:r>
      <w:r>
        <w:rPr>
          <w:rFonts w:hint="eastAsia"/>
        </w:rPr>
        <w:t xml:space="preserve"> </w:t>
      </w:r>
      <w:r>
        <w:fldChar w:fldCharType="begin"/>
      </w:r>
      <w:r>
        <w:instrText xml:space="preserve"> ADDIN ZOTERO_ITEM CSL_CITATION {"citationID":"eSn69nuB","properties":{"unsorted":false,"formattedCitation":"(Abou-Chadi &amp; Orlowski, 2016)","plainCitation":"(Abou-Chadi &amp; Orlowski, 2016)","noteIndex":0},"citationItems":[{"id":8354,"uris":["http://zotero.org/users/6825464/items/8F4XZD4B"],"itemData":{"id":8354,"type":"article-journal","abstract":"This article investigates how the degree of electoral competition affects parties’ policy positions. It follows a growing body of research on party positioning in multiparty competition that regards elections as signals for parties that have to choose their positions and issue strategies. In this article we argue that previous elections provide information about the competitiveness of the upcoming election. The expected degree of electoral competition affects parties’ future policy positions since with increasing competitiveness of an election, parties have higher incentives to move toward a vote-maximizing position. However, what constitutes a vote-maximizing strategy varies between parties. While large mainstream parties have an incentive to moderate their positions, small and niche parties choose more extreme positions to distinguish themselves from their mainstream competitors. Applying a novel measure of electoral competitiveness, we find that the degree of electoral competition indeed determines parties’ policy shifts, but that this effect is moderated by party size.","citation-key":"abou-chadiModerateNecessaryRole2016","container-title":"The Journal of Politics","DOI":"10.1086/685585","ISSN":"0022-3816","issue":"3","page":"868-881","publisher":"The University of Chicago Press","source":"journals.uchicago.edu (Atypon)","title":"Moderate as Necessary: The Role of Electoral Competitiveness and Party Size in Explaining Parties’ Policy Shifts","title-short":"Moderate as Necessary","volume":"78","author":[{"family":"Abou-Chadi","given":"Tarik"},{"family":"Orlowski","given":"Matthias"}],"issued":{"date-parts":[["2016",7]]}}}],"schema":"https://github.com/citation-style-language/schema/raw/master/csl-citation.json"} </w:instrText>
      </w:r>
      <w:r>
        <w:fldChar w:fldCharType="separate"/>
      </w:r>
      <w:r w:rsidRPr="00964097">
        <w:t>(Abou-Chadi &amp; Orlowski, 2016)</w:t>
      </w:r>
      <w:r>
        <w:fldChar w:fldCharType="end"/>
      </w:r>
      <w:r>
        <w:rPr>
          <w:rFonts w:hint="eastAsia"/>
        </w:rPr>
        <w:t xml:space="preserve">. </w:t>
      </w:r>
      <w:r>
        <w:fldChar w:fldCharType="begin"/>
      </w:r>
      <w:r>
        <w:instrText xml:space="preserve"> ADDIN ZOTERO_ITEM CSL_CITATION {"citationID":"ke92c7t7","properties":{"unsorted":false,"formattedCitation":"(Kollberg, 2025)","plainCitation":"(Kollberg, 2025)","dontUpdate":true,"noteIndex":0},"citationItems":[{"id":8459,"uris":["http://zotero.org/users/6825464/items/VANKFGN7"],"itemData":{"id":8459,"type":"article-journal","abstract":"Under what conditions can challenger parties disrupt mainstream party dominance in democratic institutions? While extant work describes the cultural and economic developments that benefit challengers and parties’ programmatic responses to these, I demonstrate when and how challengers exploit these conditions in their political communication. Theoretically, I posit that challenger parties have relatively stronger vote-seeking incentives than mainstream parties. These collective incentives affect individual parliamentarians’ cost–benefit calculations. Challenger parliamentarians will engage in anti-establishment rhetoric and issue-entrepreneurship when these signals are more likely to reach the voting public and pay-off electorally. I test this theory by analysing parliamentary debates from the European Parliament (1999–2016) through a novel combination of word embeddings and bespoke dictionaries. I find that challenger parties indeed pursue different communication strategies than mainstream parties. Challenger parliamentarians engage in anti-establishment rhetoric in the run-up to elections and issue-entrepreneurship during crises. This is because these factors make speeches more likely to be transmitted to voters. These results demonstrate that challengers adjust their political communication in opportune moments giving them a competitive advantage over less flexible mainstream parties.","citation-key":"kollbergChallengerAdvantageHow2025","container-title":"Journal of European Public Policy","DOI":"10.1080/13501763.2024.2391510","ISSN":"1350-1763","issue":"9","note":"_eprint: https://doi.org/10.1080/13501763.2024.2391510","page":"2252-2281","publisher":"Routledge","source":"Taylor and Francis+NEJM","title":"The challenger advantage – how challenger parties disrupt mainstream party dominance in the European Parliament","volume":"32","author":[{"family":"Kollberg","given":"Markus"}],"issued":{"date-parts":[["2025",9,2]]}}}],"schema":"https://github.com/citation-style-language/schema/raw/master/csl-citation.json"} </w:instrText>
      </w:r>
      <w:r>
        <w:fldChar w:fldCharType="separate"/>
      </w:r>
      <w:r>
        <w:t>Kollberg (2025)</w:t>
      </w:r>
      <w:r>
        <w:fldChar w:fldCharType="end"/>
      </w:r>
      <w:r>
        <w:rPr>
          <w:rFonts w:hint="eastAsia"/>
        </w:rPr>
        <w:t xml:space="preserve"> also </w:t>
      </w:r>
      <w:r w:rsidRPr="00144B64">
        <w:t xml:space="preserve">finds that legislators from challenger parties tend to criticize </w:t>
      </w:r>
      <w:r>
        <w:t>“</w:t>
      </w:r>
      <w:r>
        <w:rPr>
          <w:rFonts w:hint="eastAsia"/>
        </w:rPr>
        <w:t>the establishment</w:t>
      </w:r>
      <w:r>
        <w:t>”</w:t>
      </w:r>
      <w:r>
        <w:rPr>
          <w:rFonts w:hint="eastAsia"/>
        </w:rPr>
        <w:t xml:space="preserve"> </w:t>
      </w:r>
      <w:r w:rsidRPr="00144B64">
        <w:t>during campaign periods and actively stake out distinctive positions on emerging issues during moments of national uncertainty</w:t>
      </w:r>
      <w:r>
        <w:rPr>
          <w:rFonts w:hint="eastAsia"/>
        </w:rPr>
        <w:t>. Overall, this</w:t>
      </w:r>
      <w:r w:rsidRPr="00223101">
        <w:t xml:space="preserve"> suggests asymmetric incentives: the minority party benefits from polarizing novel issues to differentiate its brand, while the incumbent party</w:t>
      </w:r>
      <w:r>
        <w:rPr>
          <w:rFonts w:hint="eastAsia"/>
        </w:rPr>
        <w:t>, such as the Democratic Party at the time of 2022,</w:t>
      </w:r>
      <w:r w:rsidRPr="00223101">
        <w:t xml:space="preserve"> faces costs from abandoning established positions.</w:t>
      </w:r>
      <w:r>
        <w:rPr>
          <w:rFonts w:hint="eastAsia"/>
        </w:rPr>
        <w:t xml:space="preserve"> </w:t>
      </w:r>
    </w:p>
    <w:p w14:paraId="7314D1D5" w14:textId="77777777" w:rsidR="00EE60D6" w:rsidRPr="00C53099" w:rsidRDefault="00EE60D6" w:rsidP="00EE60D6"/>
    <w:p w14:paraId="00C2DE5B" w14:textId="77777777" w:rsidR="00EE60D6" w:rsidRPr="00242913" w:rsidRDefault="00EE60D6" w:rsidP="00EE60D6">
      <w:r w:rsidRPr="00C53099">
        <w:t xml:space="preserve">While Republicans are not a small or niche party, they faced analogous dynamics as the minority party seeking voter resources to win subsequent elections. Democrats, by contrast, faced potential costs from abandoning a Biden administration signature policy. </w:t>
      </w:r>
      <w:r w:rsidRPr="00242913">
        <w:t>These asymmetric incentives generate specific predictions: Republicans should drive polarization</w:t>
      </w:r>
      <w:r>
        <w:rPr>
          <w:rFonts w:hint="eastAsia"/>
        </w:rPr>
        <w:t xml:space="preserve"> and party brand updates</w:t>
      </w:r>
      <w:r w:rsidRPr="00242913">
        <w:t xml:space="preserve"> through positional movement and message consolidation, while Democrats should </w:t>
      </w:r>
      <w:r>
        <w:rPr>
          <w:rFonts w:hint="eastAsia"/>
        </w:rPr>
        <w:t xml:space="preserve">solidify their existing </w:t>
      </w:r>
      <w:r w:rsidRPr="00242913">
        <w:t xml:space="preserve">positioning. Furthermore, if polarization serves party branding functions as theorized, increasing </w:t>
      </w:r>
      <w:r>
        <w:rPr>
          <w:rFonts w:hint="eastAsia"/>
        </w:rPr>
        <w:t>polarization</w:t>
      </w:r>
      <w:r w:rsidRPr="00242913">
        <w:t xml:space="preserve"> should be accompanied </w:t>
      </w:r>
      <w:r>
        <w:rPr>
          <w:rFonts w:hint="eastAsia"/>
        </w:rPr>
        <w:t>with</w:t>
      </w:r>
      <w:r w:rsidRPr="00242913">
        <w:t xml:space="preserve"> increasing </w:t>
      </w:r>
      <w:r>
        <w:rPr>
          <w:rFonts w:hint="eastAsia"/>
        </w:rPr>
        <w:t>consistency and coherence of intraparty messaging even as represented by news</w:t>
      </w:r>
      <w:r w:rsidRPr="00242913">
        <w:t>. As within-party messaging becomes more coherent and between-party positions more distinct, voters relying on partisan heuristics should find it easier to discern what each party stands for on Ukraine aid. We test these predictions empirically, examining not only whether polarization occurred but which party</w:t>
      </w:r>
      <w:r>
        <w:t>’</w:t>
      </w:r>
      <w:r w:rsidRPr="00242913">
        <w:t xml:space="preserve">s behavior drove observed </w:t>
      </w:r>
      <w:r>
        <w:rPr>
          <w:rFonts w:hint="eastAsia"/>
        </w:rPr>
        <w:t>polarization</w:t>
      </w:r>
      <w:r w:rsidRPr="00242913">
        <w:t xml:space="preserve"> and whether </w:t>
      </w:r>
      <w:r>
        <w:rPr>
          <w:rFonts w:hint="eastAsia"/>
        </w:rPr>
        <w:t xml:space="preserve">within-party coherence </w:t>
      </w:r>
      <w:r w:rsidRPr="00242913">
        <w:t>increased alongside polarization.</w:t>
      </w:r>
    </w:p>
    <w:p w14:paraId="4ED8F3D8" w14:textId="77777777" w:rsidR="00EE60D6" w:rsidRDefault="00EE60D6" w:rsidP="00EE60D6">
      <w:pPr>
        <w:pStyle w:val="2"/>
        <w:rPr>
          <w:b/>
          <w:bCs/>
        </w:rPr>
      </w:pPr>
      <w:r>
        <w:rPr>
          <w:rFonts w:hint="eastAsia"/>
        </w:rPr>
        <w:t>Computational Methods for Tracking Party Brand</w:t>
      </w:r>
    </w:p>
    <w:p w14:paraId="740F7471" w14:textId="77777777" w:rsidR="00EE60D6" w:rsidRDefault="00EE60D6" w:rsidP="00EE60D6">
      <w:r w:rsidRPr="008C0A73">
        <w:t xml:space="preserve">Traditional approaches for measuring polarization and perceived coherence of party messages present constraints for tracking discourse over the long term. Survey-based measures such as feeling thermometers capture partisan perception and affect at discrete time points but cannot track continuously without repeated data collection, which incurs substantial financial costs </w:t>
      </w:r>
      <w:r w:rsidRPr="008C0A73">
        <w:fldChar w:fldCharType="begin"/>
      </w:r>
      <w:r w:rsidRPr="008C0A73">
        <w:instrText xml:space="preserve"> ADDIN ZOTERO_ITEM CSL_CITATION {"citationID":"PuCsSJYQ","properties":{"unsorted":false,"formattedCitation":"(Iyengar et al., 2019; Pew Research Center, 2014)","plainCitation":"(Iyengar et al., 2019; Pew Research Center, 2014)","noteIndex":0},"citationItems":[{"id":777,"uris":["http://zotero.org/users/6825464/items/J69HPJWQ"],"itemData":{"id":777,"type":"article-journal","abstract":"While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work.","citation-key":"iyengarOriginsConsequencesAffective2019","container-title":"Annual Review of Political Science","DOI":"10.1146/annurev-polisci-051117-073034","issue":"1","note":"_eprint: https://doi.org/10.1146/annurev-polisci-051117-073034","page":"129-146","source":"Annual Reviews","title":"The Origins and Consequences of Affective Polarization in the United States","volume":"22","author":[{"family":"Iyengar","given":"Shanto"},{"family":"Lelkes","given":"Yphtach"},{"family":"Levendusky","given":"Matthew"},{"family":"Malhotra","given":"Neil"},{"family":"Westwood","given":"Sean J."}],"issued":{"date-parts":[["2019"]]}}},{"id":8464,"uris":["http://zotero.org/users/6825464/items/S4PCQCCR"],"itemData":{"id":8464,"type":"post-weblog","abstract":"The data in this report are based on two independent survey administrations with the same randomly selected, nationally representative group of","citation-key":"pewresearchcenterPoliticalPolarizationAmerican2014","container-title":"Political Polarization in the American Public","language":"en-US","title":"Political Polarization in the American Public | About the Surveys","URL":"https://www.pewresearch.org/politics/2014/06/12/about-the-surveys-25/","author":[{"literal":"Pew Research Center"}],"accessed":{"date-parts":[["2026",1,30]]},"issued":{"date-parts":[["2014",6,12]]}}}],"schema":"https://github.com/citation-style-language/schema/raw/master/csl-citation.json"} </w:instrText>
      </w:r>
      <w:r w:rsidRPr="008C0A73">
        <w:fldChar w:fldCharType="separate"/>
      </w:r>
      <w:r w:rsidRPr="008C0A73">
        <w:t>(Iyengar et al., 2019; Pew Research Center, 2014)</w:t>
      </w:r>
      <w:r w:rsidRPr="008C0A73">
        <w:fldChar w:fldCharType="end"/>
      </w:r>
      <w:r w:rsidRPr="008C0A73">
        <w:t xml:space="preserve">. Survey measures are subject to effects that may inflate polarization estimates, as self-administered online surveys tend to produce higher affective polarization scores than face-to-face interviews </w:t>
      </w:r>
      <w:r w:rsidRPr="008C0A73">
        <w:fldChar w:fldCharType="begin"/>
      </w:r>
      <w:r w:rsidRPr="008C0A73">
        <w:instrText xml:space="preserve"> ADDIN ZOTERO_ITEM CSL_CITATION {"citationID":"RmTV6zeO","properties":{"unsorted":false,"formattedCitation":"(Thornton, 2025)","plainCitation":"(Thornton, 2025)","noteIndex":0},"citationItems":[{"id":8538,"uris":["http://zotero.org/users/6825464/items/AZ29MIFS"],"itemData":{"id":8538,"type":"article-journal","abstract":"Over the last 40 years, affective polarization has noticeably increased, with recent elections showing especially large gains. Moreover, these increases have surpassed other indicators of polarization, such as issue attitudes and partisan-ideological sorting. Could the recent surge in affective polarization be influenced by the growing use of internet-based, self-administered surveys? I argue that measures of partisan affect are more vulnerable to mode effects than other indicators of polarization. In this paper, I employ American National Election Studies panel data from 2016 to 2020. Crucially, in 2016 the survey was conducted with a dual mode in which a portion of respondents were interviewed in the traditional face-to-face format while others completed a self-administered online survey. Both sets of respondents were re-interviewed in 2020 where all respondents completed the survey online. I find that differences in party affective polarization and candidate trait ratings between the two modes, substantial in 2016, largely disappear when social desirability effects are removed. In contrast, issue extremity and partisan-ideological sorting show no noticeable mode effects.","citation-key":"thorntonImpactSurveyMode2025","container-title":"American Politics Research","DOI":"10.1177/1532673X251347623","ISSN":"1532-673X","issue":"5","language":"EN","page":"531-543","publisher":"SAGE Publications Inc","source":"SAGE Journals","title":"The Impact of Survey Mode on the Measurement of Polarization in the Public: 2016–2020 U.S. Panel Evidence","title-short":"The Impact of Survey Mode on the Measurement of Polarization in the Public","volume":"53","author":[{"family":"Thornton","given":"Judd R."}],"issued":{"date-parts":[["2025",9,1]]}}}],"schema":"https://github.com/citation-style-language/schema/raw/master/csl-citation.json"} </w:instrText>
      </w:r>
      <w:r w:rsidRPr="008C0A73">
        <w:fldChar w:fldCharType="separate"/>
      </w:r>
      <w:r w:rsidRPr="008C0A73">
        <w:t>(Thornton, 2025)</w:t>
      </w:r>
      <w:r w:rsidRPr="008C0A73">
        <w:fldChar w:fldCharType="end"/>
      </w:r>
      <w:r w:rsidRPr="008C0A73">
        <w:t>. While qualitative content analysis provides interpretive depth that identif</w:t>
      </w:r>
      <w:r w:rsidRPr="008C0A73">
        <w:rPr>
          <w:rFonts w:hint="eastAsia"/>
        </w:rPr>
        <w:t>ies</w:t>
      </w:r>
      <w:r w:rsidRPr="008C0A73">
        <w:t xml:space="preserve"> nuanced </w:t>
      </w:r>
      <w:r w:rsidRPr="008C0A73">
        <w:rPr>
          <w:rFonts w:hint="eastAsia"/>
        </w:rPr>
        <w:t xml:space="preserve">partisan framings </w:t>
      </w:r>
      <w:r w:rsidRPr="008C0A73">
        <w:t xml:space="preserve">and </w:t>
      </w:r>
      <w:r w:rsidRPr="008C0A73">
        <w:rPr>
          <w:rFonts w:hint="eastAsia"/>
        </w:rPr>
        <w:t>context</w:t>
      </w:r>
      <w:r w:rsidRPr="008C0A73">
        <w:t xml:space="preserve"> </w:t>
      </w:r>
      <w:r w:rsidRPr="008C0A73">
        <w:rPr>
          <w:rFonts w:hint="eastAsia"/>
        </w:rPr>
        <w:t xml:space="preserve">from </w:t>
      </w:r>
      <w:r w:rsidRPr="008C0A73">
        <w:t>political</w:t>
      </w:r>
      <w:r w:rsidRPr="008C0A73">
        <w:rPr>
          <w:rFonts w:hint="eastAsia"/>
        </w:rPr>
        <w:t xml:space="preserve"> debates and public discourses </w:t>
      </w:r>
      <w:r w:rsidRPr="008C0A73">
        <w:fldChar w:fldCharType="begin"/>
      </w:r>
      <w:r w:rsidRPr="008C0A73">
        <w:instrText xml:space="preserve"> ADDIN ZOTERO_ITEM CSL_CITATION {"citationID":"AozepQdW","properties":{"unsorted":false,"formattedCitation":"(Krippendorff, 2019)","plainCitation":"(Krippendorff, 2019)","noteIndex":0},"citationItems":[{"id":8348,"uris":["http://zotero.org/users/6825464/items/5VW4MHAN"],"itemData":{"id":8348,"type":"book","abstract":"&lt;p&gt;What matters in people&amp;#8217;s social lives? What motivates and inspires our society? How do we enact what we know? Since the first edition published in 1980","citation-key":"krippendorffContentAnalysisIntroduction2019","DOI":"10.4135/9781071878781","ISBN":"978-1-0718-7878-1","language":"en","note":"DOI: 10.4135/9781071878781","publisher":"SAGE Publications, Inc.","source":"methods.sagepub.com","title":"Content Analysis: An Introduction to Its Methodology","title-short":"Content Analysis","URL":"https://methods.sagepub.com/book/mono/content-analysis-4e/toc","author":[{"family":"Krippendorff","given":"Klaus"}],"accessed":{"date-parts":[["2026",1,30]]},"issued":{"date-parts":[["2019"]]}}}],"schema":"https://github.com/citation-style-language/schema/raw/master/csl-citation.json"} </w:instrText>
      </w:r>
      <w:r w:rsidRPr="008C0A73">
        <w:fldChar w:fldCharType="separate"/>
      </w:r>
      <w:r w:rsidRPr="008C0A73">
        <w:t>(Krippendorff, 2019)</w:t>
      </w:r>
      <w:r w:rsidRPr="008C0A73">
        <w:fldChar w:fldCharType="end"/>
      </w:r>
      <w:r w:rsidRPr="008C0A73">
        <w:rPr>
          <w:rFonts w:hint="eastAsia"/>
        </w:rPr>
        <w:t xml:space="preserve">, </w:t>
      </w:r>
      <w:r w:rsidRPr="008C0A73">
        <w:t xml:space="preserve">traditional human coding struggles with scale. </w:t>
      </w:r>
      <w:r w:rsidRPr="008C0A73">
        <w:fldChar w:fldCharType="begin"/>
      </w:r>
      <w:r w:rsidRPr="008C0A73">
        <w:instrText xml:space="preserve"> ADDIN ZOTERO_ITEM CSL_CITATION {"citationID":"mDgRbHYs","properties":{"unsorted":false,"formattedCitation":"(Krippendorff, 2004)","plainCitation":"(Krippendorff, 2004)","dontUpdate":true,"noteIndex":0},"citationItems":[{"id":8509,"uris":["http://zotero.org/users/6825464/items/F3WDZUQJ"],"itemData":{"id":8509,"type":"article-journal","abstract":"This paper reports a new tool for assessing thereliability of text interpretationsheretofore unavailable to qualitative research.It responds to a combination of twochallenges, the problem of assessing the reliabilityof multiple interpretations – asolution to this problem was anticipated earlier(Krippendorff, 1992) but not fullydeveloped – and the problem of identifying unitsof analysis within a continuum of textand similar representations (Krippendorff, 1995).The paper sketches the family ofα-coefficients, which this paper extends, andthen describes its new arrival.A computational example is included in the Appendix.","citation-key":"krippendorffMeasuringReliabilityQualitative2004","container-title":"Quality and Quantity","DOI":"10.1007/s11135-004-8107-7","ISSN":"1573-7845","issue":"6","journalAbbreviation":"Qual Quant","language":"en","page":"787-800","source":"Springer Link","title":"Measuring the Reliability of Qualitative Text Analysis Data","volume":"38","author":[{"family":"Krippendorff","given":"Klaus"}],"issued":{"date-parts":[["2004",12,1]]}}}],"schema":"https://github.com/citation-style-language/schema/raw/master/csl-citation.json"} </w:instrText>
      </w:r>
      <w:r w:rsidRPr="008C0A73">
        <w:fldChar w:fldCharType="separate"/>
      </w:r>
      <w:r w:rsidRPr="008C0A73">
        <w:t>Krippendorff</w:t>
      </w:r>
      <w:r w:rsidRPr="008C0A73">
        <w:rPr>
          <w:rFonts w:hint="eastAsia"/>
        </w:rPr>
        <w:t xml:space="preserve"> (</w:t>
      </w:r>
      <w:r w:rsidRPr="008C0A73">
        <w:t>2004)</w:t>
      </w:r>
      <w:r w:rsidRPr="008C0A73">
        <w:fldChar w:fldCharType="end"/>
      </w:r>
      <w:r w:rsidRPr="008C0A73">
        <w:t xml:space="preserve"> notes that inter-coder reliability becomes increasingly difficult to maintain as corpus size grows, and the financial and temporal costs of training multiple coders often constrain sample sizes. For our purpose of tracking the temporal trend of an ongoing issue contestation, both approaches would therefore be costly and still leave the trend under-observed.</w:t>
      </w:r>
    </w:p>
    <w:p w14:paraId="0FF30997" w14:textId="77777777" w:rsidR="00EE60D6" w:rsidRDefault="00EE60D6" w:rsidP="00EE60D6"/>
    <w:p w14:paraId="79C3A6F7" w14:textId="77777777" w:rsidR="00EE60D6" w:rsidRDefault="00EE60D6" w:rsidP="00EE60D6">
      <w:r>
        <w:t xml:space="preserve">Computational text analysis enables systematic examination of large corpora while maintaining measurement consistency across time and sources </w:t>
      </w:r>
      <w:r w:rsidRPr="00056DA3">
        <w:fldChar w:fldCharType="begin"/>
      </w:r>
      <w:r>
        <w:instrText xml:space="preserve"> ADDIN ZOTERO_ITEM CSL_CITATION {"citationID":"T24VyoBg","properties":{"unsorted":false,"formattedCitation":"(Grimmer et al., 2022)","plainCitation":"(Grimmer et al., 2022)","noteIndex":0},"citationItems":[{"id":8349,"uris":["http://zotero.org/users/6825464/items/6VEMB9IR"],"itemData":{"id":8349,"type":"book","citation-key":"grimmerTextDataNew2022","publisher":"Princeton University Press","source":"Google Scholar","title":"Text as data: A new framework for machine learning and the social sciences","title-short":"Text as data","URL":"https://books.google.com/books?hl=en&amp;lr=&amp;id=dL40EAAAQBAJ&amp;oi=fnd&amp;pg=PR1&amp;dq=Text+as+Data:+A+New+Framework+for+Machine+Learning+and+the+Social+Sciences.&amp;ots=Hx0VNTYz2y&amp;sig=Rn6GTA733c0EDsQvf6nJhRekm6s","author":[{"family":"Grimmer","given":"Justin"},{"family":"Roberts","given":"Margaret E."},{"family":"Stewart","given":"Brandon M."}],"accessed":{"date-parts":[["2026",1,29]]},"issued":{"date-parts":[["2022"]]}}}],"schema":"https://github.com/citation-style-language/schema/raw/master/csl-citation.json"} </w:instrText>
      </w:r>
      <w:r w:rsidRPr="00056DA3">
        <w:fldChar w:fldCharType="separate"/>
      </w:r>
      <w:r w:rsidRPr="00056DA3">
        <w:t>(Grimmer et al., 2022)</w:t>
      </w:r>
      <w:r w:rsidRPr="00056DA3">
        <w:fldChar w:fldCharType="end"/>
      </w:r>
      <w:r>
        <w:t xml:space="preserve">. It leverages existing secondary data, and it permits continuous temporal tracking at granularities that would be expensive with repeated </w:t>
      </w:r>
      <w:r>
        <w:lastRenderedPageBreak/>
        <w:t xml:space="preserve">surveys. For instance, </w:t>
      </w:r>
      <w:r>
        <w:fldChar w:fldCharType="begin"/>
      </w:r>
      <w:r>
        <w:instrText xml:space="preserve"> ADDIN ZOTERO_ITEM CSL_CITATION {"citationID":"bvtQmdUH","properties":{"unsorted":false,"formattedCitation":"(Hart et al., 2020)","plainCitation":"(Hart et al., 2020)","dontUpdate":true,"noteIndex":0},"citationItems":[{"id":54,"uris":["http://zotero.org/users/6825464/items/CCFM9NZL"],"itemData":{"id":54,"type":"article-journal","abstract":"This study examines the level of politicization and polarization in COVID-19 news in U.S. newspapers and televised network news from March to May 2020. Using multiple computer-assisted content analytic approaches, we find that newspaper coverage is highly politicized, network news coverage somewhat less so, and both newspaper and network news coverage are highly polarized. We find that politicians appear in newspaper coverage more frequently than scientists, whereas politicians and scientists are more equally featured in network news. We suggest that the high degree of politicization and polarization in initial COVID-19 coverage may have contributed to polarization in U.S. COVID-19 attitudes.","citation-key":"hartPoliticizationPolarizationCOVID192020","container-title":"Science Communication","DOI":"10.1177/1075547020950735","ISSN":"1075-5470, 1552-8545","issue":"5","journalAbbreviation":"Science Communication","language":"en","page":"679-697","source":"DOI.org (Crossref)","title":"Politicization and Polarization in COVID-19 News Coverage","volume":"42","author":[{"family":"Hart","given":"P. Sol"},{"family":"Chinn","given":"Sedona"},{"family":"Soroka","given":"Stuart"}],"issued":{"date-parts":[["2020",10]]}}}],"schema":"https://github.com/citation-style-language/schema/raw/master/csl-citation.json"} </w:instrText>
      </w:r>
      <w:r>
        <w:fldChar w:fldCharType="separate"/>
      </w:r>
      <w:r>
        <w:rPr>
          <w:noProof/>
        </w:rPr>
        <w:t>Hart et al. (2020)</w:t>
      </w:r>
      <w:r>
        <w:fldChar w:fldCharType="end"/>
      </w:r>
      <w:r>
        <w:t xml:space="preserve"> measured politicization and polarization in United States newspaper and television coverage of COVID-19 using computational content analysis, establishing that partisan structure in news coverage can be recovered at scale. They covered three months; but our questions concern a trajectory across 34 months. We also have three other requirements: First, we need a position on a dimension we specify in advance rather than a dimension the method discovers, because the dimensions come from the discursive formations reviewed above and not from the corpus. Second, we need that position recovered from a single sentence, because party attribution can be cleanly mapped at sentence level. Third, we need it at a scale of tens of thousands of sentences, and fourth, we need it repeated across 34 months so that the measure is comparable from one month to the next. These four requirements are what this study’s text analysis method has to satisfy.</w:t>
      </w:r>
    </w:p>
    <w:p w14:paraId="61E94C03" w14:textId="77777777" w:rsidR="00EE60D6" w:rsidRDefault="00EE60D6" w:rsidP="00EE60D6"/>
    <w:p w14:paraId="4E15F9B6" w14:textId="77777777" w:rsidR="00EE60D6" w:rsidRDefault="00EE60D6" w:rsidP="00EE60D6">
      <w:r>
        <w:t xml:space="preserve">Established methods each satisfy some of them. Wordfish </w:t>
      </w:r>
      <w:r w:rsidRPr="00056DA3">
        <w:fldChar w:fldCharType="begin"/>
      </w:r>
      <w:r>
        <w:instrText xml:space="preserve"> ADDIN ZOTERO_ITEM CSL_CITATION {"citationID":"pndKigZF","properties":{"unsorted":false,"formattedCitation":"(Slapin &amp; Proksch, 2008)","plainCitation":"(Slapin &amp; Proksch, 2008)","noteIndex":0},"citationItems":[{"id":8560,"uris":["http://zotero.org/users/6</w:instrText>
      </w:r>
      <w:r>
        <w:rPr>
          <w:rFonts w:hint="eastAsia"/>
        </w:rPr>
        <w:instrText>825464/items/227G8FKW"],"itemData":{"id":8560,"type":"article-journal","abstract":"Recent advances in computational content analysis have provided scholars promising new ways for estimating party positions. However, existing text</w:instrText>
      </w:r>
      <w:r>
        <w:rPr>
          <w:rFonts w:hint="eastAsia"/>
        </w:rPr>
        <w:instrText>‐</w:instrText>
      </w:r>
      <w:r>
        <w:rPr>
          <w:rFonts w:hint="eastAsia"/>
        </w:rPr>
        <w:instrText>based methods face challenges in producing valid and reliable time</w:instrText>
      </w:r>
      <w:r>
        <w:rPr>
          <w:rFonts w:hint="eastAsia"/>
        </w:rPr>
        <w:instrText>‐</w:instrText>
      </w:r>
      <w:r>
        <w:rPr>
          <w:rFonts w:hint="eastAsia"/>
        </w:rPr>
        <w:instrText>series data. This article proposes a scaling algorithm called WORDFISH to estimate policy positions based on word frequencies in texts. The technique allows researchers to locate parties in one or multiple elections. We demonstrate the algorithm by estimating the positions of German political parties from 1990 to 2005 using word frequencies in party manifestos. The extracted positions reflect changes in the party system more accurately than existing time</w:instrText>
      </w:r>
      <w:r>
        <w:rPr>
          <w:rFonts w:hint="eastAsia"/>
        </w:rPr>
        <w:instrText>‐</w:instrText>
      </w:r>
      <w:r>
        <w:rPr>
          <w:rFonts w:hint="eastAsia"/>
        </w:rPr>
        <w:instrText>series es</w:instrText>
      </w:r>
      <w:r>
        <w:instrText>timates. In addition, the method allows researchers to examine which words are important for placing parties on the left and on the right. We find that words with strong political connotations are the best discriminators between parties. Finally, a series of robustness checks demonstrate that the estimated positions are insensitive to distributional assumptions and document selection.","citation-key":"slapinScalingModelEstimating2008","container-title":"American Journal of Political Science","DOI":"10.111</w:instrText>
      </w:r>
      <w:r>
        <w:rPr>
          <w:rFonts w:hint="eastAsia"/>
        </w:rPr>
        <w:instrText>1/j.1540-5907.2008.00338.x","ISSN":"0092-5853, 1540-5907","issue":"3","journalAbbreviation":"American J Political Sci","language":"en","page":"705-722","source":"DOI.org (Crossref)","title":"A Scaling Model for Estimating Time</w:instrText>
      </w:r>
      <w:r>
        <w:rPr>
          <w:rFonts w:hint="eastAsia"/>
        </w:rPr>
        <w:instrText>‐</w:instrText>
      </w:r>
      <w:r>
        <w:rPr>
          <w:rFonts w:hint="eastAsia"/>
        </w:rPr>
        <w:instrText>Series Party Positions from Texts","volume":"52","author":[{"family":"Slapin","given":"Jonathan B."},{"family":"Proksch","given":"Sven</w:instrText>
      </w:r>
      <w:r>
        <w:rPr>
          <w:rFonts w:hint="eastAsia"/>
        </w:rPr>
        <w:instrText>‐</w:instrText>
      </w:r>
      <w:r>
        <w:rPr>
          <w:rFonts w:hint="eastAsia"/>
        </w:rPr>
        <w:instrText xml:space="preserve">Oliver"}],"issued":{"date-parts":[["2008",7]]}}}],"schema":"https://github.com/citation-style-language/schema/raw/master/csl-citation.json"} </w:instrText>
      </w:r>
      <w:r w:rsidRPr="00056DA3">
        <w:fldChar w:fldCharType="separate"/>
      </w:r>
      <w:r w:rsidRPr="00056DA3">
        <w:t>(Slapin &amp; Proksch, 2008)</w:t>
      </w:r>
      <w:r w:rsidRPr="00056DA3">
        <w:fldChar w:fldCharType="end"/>
      </w:r>
      <w:r>
        <w:t xml:space="preserve"> extracts latent ideological positions from word frequency patterns, identifying the primary dimension of textual variation through unsupervised learning, and scaling of this kind has been used to estimate party positions from election manifestos </w:t>
      </w:r>
      <w:r>
        <w:fldChar w:fldCharType="begin"/>
      </w:r>
      <w:r>
        <w:instrText xml:space="preserve"> ADDIN ZOTERO_ITEM CSL_CITATION {"citationID":"0a4ZW1So","properties":{"unsorted":false,"formattedCitation":"(Backlund, 2011)","plainCitation":"(Backlund, 2011)","noteIndex":0},"citationItems":[{"id":8559,"uris":["http://zotero.org/users/6825464/items/33BJSTQ9"],"itemData":{"id":8559,"type":"book","abstract":"DiVA portal is a finding tool for research publications and student theses written at the following 50 universities and research institutions.","citation-key":"backlundSwedenDemocratsPolitical2011","language":"eng","source":"www.diva-portal.org","title":"The Sweden Democrats in Political Space : Estimating policy positions using election manifesto content analysis","title-short":"The Sweden Democrats in Political Space","URL":"https://urn.kb.se/resolve?urn=urn:nbn:se:sh:diva-19043","author":[{"family":"Backlund","given":"Anders"}],"accessed":{"date-parts":[["2026",1,8]]},"issued":{"date-parts":[["2011"]]}}}],"schema":"https://github.com/citation-style-language/schema/raw/master/csl-citation.json"} </w:instrText>
      </w:r>
      <w:r>
        <w:fldChar w:fldCharType="separate"/>
      </w:r>
      <w:r>
        <w:rPr>
          <w:noProof/>
        </w:rPr>
        <w:t>(Backlund, 2011)</w:t>
      </w:r>
      <w:r>
        <w:fldChar w:fldCharType="end"/>
      </w:r>
      <w:r>
        <w:t xml:space="preserve">. </w:t>
      </w:r>
      <w:r w:rsidRPr="006E088C">
        <w:rPr>
          <w:highlight w:val="yellow"/>
        </w:rPr>
        <w:t xml:space="preserve">What it recover depends on assumptions that the output itself does not reveal </w:t>
      </w:r>
      <w:r w:rsidRPr="006E088C">
        <w:rPr>
          <w:highlight w:val="yellow"/>
        </w:rPr>
        <w:fldChar w:fldCharType="begin"/>
      </w:r>
      <w:r w:rsidRPr="006E088C">
        <w:rPr>
          <w:highlight w:val="yellow"/>
        </w:rPr>
        <w:instrText xml:space="preserve"> ADDIN ZOTERO_ITEM CSL_CITATION {"citationID":"vR2Wv9Z8","properties":{"unsorted":false,"formattedCitation":"(Egerod &amp; Klemmensen, 2020)","plainCitation":"(Egerod &amp; Klemmensen, 2020)","noteIndex":0},"citationItems":[{"id":8524,"uris":["http://zotero.org/users/6825464/items/H45KEB47"],"itemData":{"id":8524,"type":"chapter","citation-key":"egerodScalingPoliticalPositions2020","container-title":"The SAGE handbook of research methods in political science and international relations","page":"498–521","publisher":"SAGE Publications Ltd","source":"Google Scholar","title":"Scaling political positions from text: Assumptions, methods and pitfalls","title-short":"Scaling political positions from text","URL":"https://www.torrossa.com/gs/resourceProxy?an=5018785&amp;publisher=FZ7200#page=543","author":[{"family":"Egerod","given":"Benjamin CK"},{"family":"Klemmensen","given":"Robert"}],"accessed":{"date-parts":[["2026",1,8]]},"issued":{"date-parts":[["2020"]]}}}],"schema":"https://github.com/citation-style-language/schema/raw/master/csl-citation.json"} </w:instrText>
      </w:r>
      <w:r w:rsidRPr="006E088C">
        <w:rPr>
          <w:highlight w:val="yellow"/>
        </w:rPr>
        <w:fldChar w:fldCharType="separate"/>
      </w:r>
      <w:r w:rsidRPr="006E088C">
        <w:rPr>
          <w:noProof/>
          <w:highlight w:val="yellow"/>
        </w:rPr>
        <w:t>(Egerod &amp; Klemmensen, 2020)</w:t>
      </w:r>
      <w:r w:rsidRPr="006E088C">
        <w:rPr>
          <w:highlight w:val="yellow"/>
        </w:rPr>
        <w:fldChar w:fldCharType="end"/>
      </w:r>
      <w:r>
        <w:t xml:space="preserve">. Wordfish recovers the dimension along which texts vary most rather than the dimension we specify, and it recovers one dimension rather than several. For Ukraine aid discourse, where polarization occurs potentially along distinct dimensions, that single-dimension condition is limiting. </w:t>
      </w:r>
      <w:r>
        <w:fldChar w:fldCharType="begin"/>
      </w:r>
      <w:r>
        <w:instrText xml:space="preserve"> ADDIN ZOTERO_ITEM CSL_CITATION {"citationID":"uXCXWU4Z","properties":{"unsorted":false,"formattedCitation":"(Gentzkow et al., 2019)","plainCitation":"(Gentzkow et al., 2019)","dontUpdate":true,"noteIndex":0},"citationItems":[{"id":8393,"uris":["http://zotero.org/users/6825464/items/I7FUMIQ4"],"itemData":{"id":8393,"type":"article-journal","abstract":"We study the problem of measuring group differences in choices when the dimensionality of the choice set is large. We show that standard approaches suffer from a severe ﬁnite-sample bias, and we propose an estimator that applies recent advances in machine learning to address this bias. We apply this method to measure trends in the partisanship of congressional speech from 1873 to 2016, deﬁning partisanship to be the ease with which an observer could infer a congressperson’s party from a single utterance. Our estimates imply that partisanship is far greater in recent years than in the past, and that it increased sharply in the early 1990s after remaining low and relatively constant over the preceding century.","citation-key":"gentzkowMeasuringGroupDifferences2019a","container-title":"Econometrica","DOI":"10.3982/ECTA16566","ISSN":"0012-9682","issue":"4","journalAbbreviation":"ECTA","language":"en","page":"130</w:instrText>
      </w:r>
      <w:r>
        <w:rPr>
          <w:rFonts w:hint="eastAsia"/>
        </w:rPr>
        <w:instrText>7-1340","source":"DOI.org (Crossref)","title":"Measuring Group Differences in High</w:instrText>
      </w:r>
      <w:r>
        <w:rPr>
          <w:rFonts w:hint="eastAsia"/>
        </w:rPr>
        <w:instrText>‐</w:instrText>
      </w:r>
      <w:r>
        <w:rPr>
          <w:rFonts w:hint="eastAsia"/>
        </w:rPr>
        <w:instrText>Dimensional Choices: Method and Application to Congressional Speech","title-short":"Measuring Group Differences in High</w:instrText>
      </w:r>
      <w:r>
        <w:rPr>
          <w:rFonts w:hint="eastAsia"/>
        </w:rPr>
        <w:instrText>‐</w:instrText>
      </w:r>
      <w:r>
        <w:rPr>
          <w:rFonts w:hint="eastAsia"/>
        </w:rPr>
        <w:instrText>Dimensional Choices","volume":"87","author":[{"famil</w:instrText>
      </w:r>
      <w:r>
        <w:instrText xml:space="preserve">y":"Gentzkow","given":"Matthew"},{"family":"Shapiro","given":"Jesse M."},{"family":"Taddy","given":"Matt"}],"issued":{"date-parts":[["2019"]]}}}],"schema":"https://github.com/citation-style-language/schema/raw/master/csl-citation.json"} </w:instrText>
      </w:r>
      <w:r>
        <w:fldChar w:fldCharType="separate"/>
      </w:r>
      <w:r w:rsidRPr="00D70C16">
        <w:t>Gentzkow et al.</w:t>
      </w:r>
      <w:r>
        <w:rPr>
          <w:rFonts w:hint="eastAsia"/>
        </w:rPr>
        <w:t xml:space="preserve"> (</w:t>
      </w:r>
      <w:r w:rsidRPr="00D70C16">
        <w:t>2019)</w:t>
      </w:r>
      <w:r>
        <w:fldChar w:fldCharType="end"/>
      </w:r>
      <w:r>
        <w:t xml:space="preserve"> demonstrate that partisan differentiation in Congress is driven more by changes in how parties frame issues, </w:t>
      </w:r>
      <w:r w:rsidRPr="00836E5E">
        <w:t xml:space="preserve">for example, </w:t>
      </w:r>
      <w:r>
        <w:t>“</w:t>
      </w:r>
      <w:r w:rsidRPr="00836E5E">
        <w:t>death tax</w:t>
      </w:r>
      <w:r>
        <w:t>”</w:t>
      </w:r>
      <w:r w:rsidRPr="00836E5E">
        <w:t xml:space="preserve"> versus </w:t>
      </w:r>
      <w:r>
        <w:t>“</w:t>
      </w:r>
      <w:r w:rsidRPr="00836E5E">
        <w:t>estate tax</w:t>
      </w:r>
      <w:r>
        <w:t xml:space="preserve">”, than by changes in which issues they emphasize, suggesting that capturing polarization requires multidimensional measurement of how an issue is characterized rather than simply whether it is discussed. Nonetheless, </w:t>
      </w:r>
      <w:r>
        <w:fldChar w:fldCharType="begin"/>
      </w:r>
      <w:r>
        <w:instrText xml:space="preserve"> ADDIN ZOTERO_ITEM CSL_CITATION {"citationID":"fgIL1A5M","properties":{"unsorted":false,"formattedCitation":"(Koljonen et al., 2022)","plainCitation":"(Koljonen et al., 2022)","dontUpdate":true,"noteIndex":0},"citationItems":[{"id":8540,"uris":["http://zotero.org/users/6825464/items/B9FQ3ZT2"],"itemData":{"id":8540,"type":"article-journal","abstract":"It is often claimed that computational methods for examining textual data give good enough party position estimates at a fraction of the costs of many non-computational methods. However, the conclusive testing of these claims is still far from fully accomplished. We compare the performance of two computational methods, Wordscores and Wordfish, and four non-computational methods in estimating the political positions of parties in two dimensions, a left-right dimension and a progressive-conservative dimension. Our data comprise electoral party manifestos written in Finnish and published in Finland. The non-computational estimates are composed of the Chapel Hill Expert Survey estimates, the Manifesto Project estimates, estimates deriving from survey-based data on voter perceptions of party positions, and estimates derived from electoral candidates’ replies to voting advice application questions. Unlike Wordfish, Wordscores generates relatively well-performing estimates for many of the party positions, but despite this does not offer an even match to the non-computational methods.","citation-key":"koljonenComparingComputationalNoncomputational2022","container-title":"Party Politics","DOI":"10.1177/1354068820974609","ISSN":"1354-0688","issue":"2","language":"EN","page":"306-317","publisher":"SAGE Publications Ltd","source":"SAGE Journals","title":"Comparing computational and non-computational methods in party position estimation: Finland, 2003–2019","title-short":"Comparing computational and non-computational methods in party position estimation","volume":"28","author":[{"family":"Koljonen","given":"Juha"},{"family":"Isotalo","given":"Veikko"},{"family":"Ahonen","given":"Pertti"},{"family":"Mattila","given":"Mikko"}],"issued":{"date-parts":[["2022",3,1]]}}}],"schema":"https://github.com/citation-style-language/schema/raw/master/csl-citation.json"} </w:instrText>
      </w:r>
      <w:r>
        <w:fldChar w:fldCharType="separate"/>
      </w:r>
      <w:r>
        <w:rPr>
          <w:noProof/>
        </w:rPr>
        <w:t>Koljonen et al., (2022)</w:t>
      </w:r>
      <w:r>
        <w:fldChar w:fldCharType="end"/>
      </w:r>
      <w:r>
        <w:t xml:space="preserve"> does reveal that computational and non-computational party position estimates does not necessarily agree, at least in the case of Finish elections from 2003 to 2019. This is a caution that we take up when specifying our own validation.</w:t>
      </w:r>
      <w:r w:rsidRPr="00F4697D">
        <w:t xml:space="preserve"> </w:t>
      </w:r>
      <w:r>
        <w:t xml:space="preserve">Topic models that accept researcher-supplied keywords address part of the dimension problem, but they still operate on word counts within documents and return the prevalence of a topic rather than a position along it, which is the quantity our research questions require </w:t>
      </w:r>
      <w:r>
        <w:fldChar w:fldCharType="begin"/>
      </w:r>
      <w:r>
        <w:instrText xml:space="preserve"> ADDIN ZOTERO_ITEM CSL_CITATION {"citationID":"tZAQtsxR","properties":{"unsorted":false,"formattedCitation":"(Eshima et al., 2024)","plainCitation":"(Eshima et al., 2024)","noteIndex":0},"citationItems":[{"id":9667,"uris":["http://zotero.org/users/6825464/items/I62HI3TP"],"itemData":{"id":9667,"type":"article-journal","abstract":"In recent years, fully automated content analysis based on probabilistic topic models has become popular among social scientists because of their scalability. However, researchers find that these models often fail to measure specific concepts of substantive interest by inadvertently creating multiple topics with similar content and combining distinct themes into a single topic. In this article, we empirically demonstrate that providing a small number of keywords can substantially enhance the measurement performance of topic models. An important advantage of the proposed keyword-assisted topic model (keyATM) is that the specification of keywords requires researchers to label topics prior to fitting a model to the data. This contrasts with a widespread practice of post hoc topic interpretation and adjustments that compromises the objectivity of empirical findings. In our application, we find that keyATM provides more interpretable results, has better document classification performance, and is less sensitive to the number of topics.","container-title":"American Journal of Political Science","DOI":"10.1111/ajps.12779","ISSN":"1540-5907","issue":"2","language":"en","license":"© 2023, Midwest Political Science Association.","page":"730-750","source":"Wiley Online Library","title":"Keyword-Assisted Topic Models","volume":"68","author":[{"family":"Eshima","given":"Shusei"},{"family":"Imai","given":"Kosuke"},{"family":"Sasaki","given":"Tomoya"}],"issued":{"date-parts":[["2024"]]}}}],"schema":"https://github.com/citation-style-language/schema/raw/master/csl-citation.json"} </w:instrText>
      </w:r>
      <w:r>
        <w:fldChar w:fldCharType="separate"/>
      </w:r>
      <w:r>
        <w:rPr>
          <w:noProof/>
        </w:rPr>
        <w:t>(Eshima et al., 2024)</w:t>
      </w:r>
      <w:r>
        <w:fldChar w:fldCharType="end"/>
      </w:r>
      <w:r>
        <w:t xml:space="preserve">. </w:t>
      </w:r>
    </w:p>
    <w:p w14:paraId="3C19A72A" w14:textId="77777777" w:rsidR="00EE60D6" w:rsidRDefault="00EE60D6" w:rsidP="00EE60D6"/>
    <w:p w14:paraId="3F2ECD40" w14:textId="77777777" w:rsidR="00EE60D6" w:rsidRDefault="00EE60D6" w:rsidP="00EE60D6">
      <w:r>
        <w:t xml:space="preserve">Dictionary and embedding approaches do work from predetermined categories, and prior work has applied them to partisan framing in congressional speech </w:t>
      </w:r>
      <w:r>
        <w:fldChar w:fldCharType="begin"/>
      </w:r>
      <w:r>
        <w:instrText xml:space="preserve"> ADDIN ZOTERO_ITEM CSL_CITATION {"citationID":"qiaTdqWJ","properties":{"unsorted":false,"formattedCitation":"(Van Matre et al., 2025)","plainCitation":"(Van Matre et al., 2025)","noteIndex":0},"citationItems":[{"id":8519,"uris":["http://zotero.org/users/6825464/items/HH83CZ9V"],"itemData":{"id":8519,"type":"article-journal","abstract":"This study examines the evolution of climate change discourse in the United States Congress from 1987 to 2017, employing natural language processing (NLP) techniques to analyze floor speeches. Using a la carte (ALC) word embeddings, we investigate how Democratic and Republican members of Congress frame climate change, focusing on denialist, fatalist, and solution-oriented language. Our analysis reveals significant partisan divergences in climate change framing, with Republicans increasingly adopting denialist language, particularly around the term “global warming,” while Democrats maintain a more consistent, solution-oriented approach. Both parties show a gradual increase in the use of fatalistic framing over time. These linguistic patterns reflect broader political strategies and evolving public discourse on climate change. By quantifying these semantic shifts, the findings contribute to the literature on agenda-setting and policy framing offering a novel perspective on how political frames are constructed and maintained at the institutional level. This research not only enhances our understanding of climate change politics but also provides a methodological framework for analyzing long-term trends in political discourse across various policy domains.","citation-key":"vanmatreNaturalLanguageProcessing2025","container-title":"Policy Studies Journal","DOI":"10.1111/psj.70079","ISSN":"1541-0072","issue":"n/a","language":"en","license":"© 2025 The Author(s). Policy Studies Journal published by Wiley Periodicals LLC on behalf of Policy Studies Organization.","note":"_eprint: https://onlinelibrary.wiley.com/doi/pdf/10.1111/psj.70079","source":"Wiley Online Library","title":"A Natural Language Processing Approach to Identifying Partisan Framing of Climate Change Denialism, Fatalism, and Solutions in US Congressional Speeches","URL":"https://onlinelibrary.wiley.com/doi/abs/10.1111/psj.70079","volume":"n/a","author":[{"family":"Van Matre","given":"Joseph Charles"},{"family":"Krakoff","given":"Isabel L."},{"family":"Fullerton","given":"Allegra H."}],"accessed":{"date-parts":[["2026",1,23]]},"issued":{"date-parts":[["2025",8,26]]}}}],"schema":"https://github.com/citation-style-language/schema/raw/master/csl-citation.json"} </w:instrText>
      </w:r>
      <w:r>
        <w:fldChar w:fldCharType="separate"/>
      </w:r>
      <w:r>
        <w:rPr>
          <w:noProof/>
        </w:rPr>
        <w:t>(Van Matre et al., 2025)</w:t>
      </w:r>
      <w:r>
        <w:fldChar w:fldCharType="end"/>
      </w:r>
      <w:r>
        <w:t xml:space="preserve">. Their performance depends heavily on the corpus and the specification chosen, and </w:t>
      </w:r>
      <w:r>
        <w:fldChar w:fldCharType="begin"/>
      </w:r>
      <w:r>
        <w:instrText xml:space="preserve"> ADDIN ZOTERO_ITEM CSL_CITATION {"citationID":"NLtxROLj","properties":{"unsorted":false,"formattedCitation":"(Rodriguez &amp; Spirling, 2022)","plainCitation":"(Rodriguez &amp; Spirling, 2022)","dontUpdate":true,"noteIndex":0},"citationItems":[{"id":9436,"uris":["http://zotero.org/users/6825464/items/GS6Z5G7T"],"itemData":{"id":9436,"type":"article-journal","container-title":"The Journal of Politics","DOI":"10.1086/715162","ISSN":"0022-3816","issue":"1","page":"101-115","publisher":"University of Chicago Press","title":"Word Embeddings: What Works, What Doesn’t, and How to Tell the Difference for Applied Research","volume":"84","author":[{"family":"Rodriguez","given":"Pedro L."},{"family":"Spirling","given":"Arthur"}],"issued":{"date-parts":[["2022",1,1]]}}}],"schema":"https://github.com/citation-style-language/schema/raw/master/csl-citation.json"} </w:instrText>
      </w:r>
      <w:r>
        <w:fldChar w:fldCharType="separate"/>
      </w:r>
      <w:r>
        <w:rPr>
          <w:noProof/>
        </w:rPr>
        <w:t>Rodriguez &amp; Spirling (2022)</w:t>
      </w:r>
      <w:r>
        <w:fldChar w:fldCharType="end"/>
      </w:r>
      <w:r>
        <w:t xml:space="preserve"> show that embedding-based measures require deliberate validation rather than transferring reliably across applications. Both families also are limited at inferring meaning from surrounding context. Supervised classification satisfies the first three requirements and has been used to measure polarization directly: </w:t>
      </w:r>
      <w:r>
        <w:fldChar w:fldCharType="begin"/>
      </w:r>
      <w:r>
        <w:instrText xml:space="preserve"> ADDIN ZOTERO_ITEM CSL_CITATION {"citationID":"tHQzBMq3","properties":{"unsorted":false,"formattedCitation":"(Peterson &amp; Spirling, 2018)","plainCitation":"(Peterson &amp; Spirling, 2018)","dontUpdate":true,"noteIndex":0},"citationItems":[{"id":8929,"uris":["http://zotero.org/users/6825464/items/7HAHSJYC"],"itemData":{"id":8929,"type":"article-journal","abstract":"Measuring the polarization of legislators and parties is a key step in understanding how politics develops over time. But in parliamentary systems—where ideological positions estimated from roll calls may not be informative—producing valid estimates is extremely challenging. We suggest a new measurement strategy that makes innovative use of the “accuracy” of machine classifiers, i.e., the number of correct predictions made as a proportion of all predictions. In our case, the “labels” are the party identifications of the members of parliament, predicted from their speeches along with some information on debate subjects. Intuitively, when the learner is able to discriminate members in the two main Westminster parties well, we claim we are in a period of “high” polarization. By contrast, when the classifier has low accuracy—and makes a relatively large number of mistakes in terms of allocating members to parties based on the data—we argue parliament is in an era of “low” polarization. This approach is fast and substantively valid, and we demonstrate its merits with simulations, and by comparing the estimates from 78 years of House of Commons speeches with qualitative and quantitative historical accounts of the same. As a headline finding, we note that contemporary British politics is approximately as polarized as it was in the mid-1960s—that is, in the middle of the “postwar consensus”. More broadly, we show that the technical performance of supervised learning algorithms can be directly informative about substantive matters in social science.","container-title":"Political Analysis","DOI":"10.1017/pan.2017.39","ISSN":"1047-1987, 1476-4989","issue":"1","language":"en","page":"120-128","source":"Cambridge University Press","title":"Classification Accuracy as a Substantive Quantity of Interest: Measuring Polarization inWestminster Systems","title-short":"Classification Accuracy as a Substantive Quantity of Interest","volume":"26","author":[{"family":"Peterson","given":"Andrew"},{"family":"Spirling","given":"Arthur"}],"issued":{"date-parts":[["2018",1]]}}}],"schema":"https://github.com/citation-style-language/schema/raw/master/csl-citation.json"} </w:instrText>
      </w:r>
      <w:r>
        <w:fldChar w:fldCharType="separate"/>
      </w:r>
      <w:r>
        <w:rPr>
          <w:noProof/>
        </w:rPr>
        <w:t>Peterson &amp; Spirling (2018)</w:t>
      </w:r>
      <w:r>
        <w:fldChar w:fldCharType="end"/>
      </w:r>
      <w:r>
        <w:t xml:space="preserve"> treat the accuracy with which a classifier separates the speeches of opposing parties as itself a measure of how far apart those parties stand. That design does not transfer to our case. It requires party labels on the training texts, whereas we deliberately mask party references so that the annotator cannot infer a position from party membership, and it returns a single scalar per period rather than positions on dimensions we specify in advance. training four dimension-specific classifiers would require a labelled corpus large enough to reintroduce the problem of cost that made qualitative analysis infeasible at this scale </w:t>
      </w:r>
      <w:r>
        <w:fldChar w:fldCharType="begin"/>
      </w:r>
      <w:r>
        <w:instrText xml:space="preserve"> ADDIN ZOTERO_ITEM CSL_CITATION {"citationID":"J13NNC9H","properties":{"unsorted":false,"formattedCitation":"(Ornstein et al., 2025; Wilkerson &amp; Casas, 2017)","plainCitation":"(Ornstein et al., 2025; Wilkerson &amp; Casas, 2017)","noteIndex":0},"citationItems":[{"id":9648,"uris":["http://zotero.org/users/6825464/items/G7RQJK2Q"],"itemData":{"id":9648,"type":"article-journal","abstract":"We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S."}],"issued":{"date-parts":[["2025",4]]}}},{"id":9664,"uris":["http://zotero.org/users/6825464/items/AYPT4BCE"],"itemData":{"id":9664,"type":"article-journal","abstract":"Text has always been an important data source in political science. What has changed in recent years is the feasibility of investigating large amounts of text quantitatively. The internet provides political scientists with more data than their mentors could have imagined, and the research community is providing accessible text analysis software packages, along with training and support. As a result, text-as-data research is becoming mainstream in political science. Scholars are tapping new data sources, they are employing more diverse methods, and they are becoming critical consumers of findings based on those methods. In this article, we first describe the four stages of a typical text-as-data project. We then review recent political science applications and explore one important methodological challenge—topic model instability—in greater detail.","container-title":"Annual Review of Political Science","DOI":"10.1146/annurev-polisci-052615-025542","ISSN":"1545-1577","page":"529-544","publisher":"Annual Reviews","source":"Annual Reviews","title":"Large-Scale Computerized Text Analysis in Political Science: Opportunities and Challenges","title-short":"Large-Scale Computerized Text Analysis in Political Science","volume":"20","author":[{"family":"Wilkerson","given":"John"},{"family":"Casas","given":"Andreu"}],"issued":{"date-parts":[["2017"]]}}}],"schema":"https://github.com/citation-style-language/schema/raw/master/csl-citation.json"} </w:instrText>
      </w:r>
      <w:r>
        <w:fldChar w:fldCharType="separate"/>
      </w:r>
      <w:r>
        <w:rPr>
          <w:noProof/>
        </w:rPr>
        <w:t>(Ornstein et al., 2025; Wilkerson &amp; Casas, 2017)</w:t>
      </w:r>
      <w:r>
        <w:fldChar w:fldCharType="end"/>
      </w:r>
      <w:r>
        <w:t>.</w:t>
      </w:r>
    </w:p>
    <w:p w14:paraId="0184E5AC" w14:textId="77777777" w:rsidR="00EE60D6" w:rsidRDefault="00EE60D6" w:rsidP="00EE60D6"/>
    <w:p w14:paraId="626BADA8" w14:textId="77777777" w:rsidR="00EE60D6" w:rsidRDefault="00EE60D6" w:rsidP="00EE60D6">
      <w:r>
        <w:lastRenderedPageBreak/>
        <w:t xml:space="preserve">Large language models satisfy all four. They process semantic context, which allows classification of short units, and they can be directed at several predetermined dimensions at once rather than recovering a single latent one. Emerging work establishes that prompted models perform these tasks credibly on political text. </w:t>
      </w:r>
      <w:r>
        <w:fldChar w:fldCharType="begin"/>
      </w:r>
      <w:r>
        <w:instrText xml:space="preserve"> ADDIN ZOTERO_ITEM CSL_CITATION {"citationID":"SRD409MW","properties":{"unsorted":false,"formattedCitation":"(Ornstein et al., 2025)","plainCitation":"(Ornstein et al., 2025)","dontUpdate":true,"noteIndex":0},"citationItems":[{"id":9648,"uris":["http://zotero.org/users/6825464/items/G7RQJK2Q"],"itemData":{"id":9648,"type":"article-journal","abstract":"We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fldChar w:fldCharType="separate"/>
      </w:r>
      <w:r>
        <w:rPr>
          <w:noProof/>
        </w:rPr>
        <w:t>Ornstein et al. (2025)</w:t>
      </w:r>
      <w:r>
        <w:fldChar w:fldCharType="end"/>
      </w:r>
      <w:r>
        <w:t xml:space="preserve"> show across sentiment classification, ideology scaling, and topic modeling that prompted models outperform conventional supervised approaches and perform comparably to crowd coders at a fraction of the cost, and </w:t>
      </w:r>
      <w:r>
        <w:fldChar w:fldCharType="begin"/>
      </w:r>
      <w:r>
        <w:instrText xml:space="preserve"> ADDIN ZOTERO_ITEM CSL_CITATION {"citationID":"FT0qstZC","properties":{"unsorted":false,"formattedCitation":"(Gilardi et al., 2023)","plainCitation":"(Gilardi et al., 2023)","dontUpdate":true,"noteIndex":0},"citationItems":[{"id":9426,"uris":["http://zotero.org/users/6825464/items/K263TGPP"],"itemData":{"id":9426,"type":"article-journal","abstract":"Many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Sciences","DOI":"10.1073/pnas.2305016120","ISSN":"0027-8424","issue":"30","publisher":"National Academy of Sciences","title":"ChatGPT outperforms crowd workers for text-annotation tasks","URL":"https://doi.org/10.1073/pnas.2305016120","volume":"120","author":[{"family":"Gilardi","given":"Fabrizio"},{"family":"Alizadeh","given":"Meysam"},{"family":"Kubli","given":"Maël"}],"issued":{"date-parts":[["2023",7,18]]}}}],"schema":"https://github.com/citation-style-language/schema/raw/master/csl-citation.json"} </w:instrText>
      </w:r>
      <w:r>
        <w:fldChar w:fldCharType="separate"/>
      </w:r>
      <w:r>
        <w:rPr>
          <w:noProof/>
        </w:rPr>
        <w:t>Gilardi et al. (2023)</w:t>
      </w:r>
      <w:r>
        <w:fldChar w:fldCharType="end"/>
      </w:r>
      <w:r>
        <w:t xml:space="preserve"> report comparable gains against human annotators. Two further findings speaks directly to our design. </w:t>
      </w:r>
      <w:r>
        <w:fldChar w:fldCharType="begin"/>
      </w:r>
      <w:r>
        <w:instrText xml:space="preserve"> ADDIN ZOTERO_ITEM CSL_CITATION {"citationID":"awCbpPlo","properties":{"unsorted":false,"formattedCitation":"(T\\uc0\\u246{}rnberg, 2025)","plainCitation":"(Törnberg, 2025)","dontUpdate":true,"noteIndex":0},"citationItems":[{"id":9672,"uris":["http://zotero.org/users/6825464/items/CT5KGMRK"],"itemData":{"id":9672,"type":"article-journal","abstract":"Instruction-tuned Large Language Models (LLMs) have recently emerged as a powerful new tool for text analysis. As these models are capable of zero-shot annotation based on instructions written in natural language, they obviate the need of large sets of training data—and thus bring potential paradigm-shifting implications for using text as data. While the models show substantial promise, their relative performance compared to human coders and supervised models remains poorly understood and subject to significant academic debate. This paper assesses the strengths and weaknesses of popular fine-tuned AI models compared to both conventional supervised classifiers and manual annotation by experts and crowd workers. The task used is to identify the political affiliation of politicians based on a single X/Twitter message, focusing on data from 11 different countries. The paper finds that GPT-4 achieves higher accuracy than both supervised models and human coders across all languages and country contexts. In the US context, it achieves an accuracy of 0.934 and an inter-coder reliability of 0.982. Examining the cases where the models fail, the paper finds that the LLM—unlike the supervised models—correctly annotates messages that require interpretation of implicit or unspoken references, or reasoning on the basis of contextual knowledge—capacities that have traditionally been understood to be distinctly human. The paper thus contributes to our understanding of the revolutionary implications of LLMs for text analysis within the social sciences.","container-title":"Social Science Computer Review","DOI":"10.1177/08944393241286471","ISSN":"0894-4393","issue":"6","language":"EN","page":"1181-1195","publisher":"SAGE Publications Inc","source":"SAGE Journals","title":"Large Language Models Outperform Expert Coders and Supervised Classifiers at Annotating Political Social Media Messages","volume":"43","author":[{"family":"Törnberg","given":"Petter"}],"issued":{"date-parts":[["2025",12,1]]}}}],"schema":"https://github.com/citation-style-language/schema/raw/master/csl-citation.json"} </w:instrText>
      </w:r>
      <w:r>
        <w:fldChar w:fldCharType="separate"/>
      </w:r>
      <w:r w:rsidRPr="00EB2D5D">
        <w:rPr>
          <w:rFonts w:eastAsiaTheme="minorEastAsia"/>
          <w:szCs w:val="24"/>
          <w14:ligatures w14:val="standardContextual"/>
        </w:rPr>
        <w:t>Törnberg</w:t>
      </w:r>
      <w:r>
        <w:rPr>
          <w:rFonts w:eastAsiaTheme="minorEastAsia"/>
          <w:szCs w:val="24"/>
          <w14:ligatures w14:val="standardContextual"/>
        </w:rPr>
        <w:t xml:space="preserve"> (</w:t>
      </w:r>
      <w:r w:rsidRPr="00EB2D5D">
        <w:rPr>
          <w:rFonts w:eastAsiaTheme="minorEastAsia"/>
          <w:szCs w:val="24"/>
          <w14:ligatures w14:val="standardContextual"/>
        </w:rPr>
        <w:t>2025)</w:t>
      </w:r>
      <w:r>
        <w:fldChar w:fldCharType="end"/>
      </w:r>
      <w:r>
        <w:t xml:space="preserve"> annotated the political affiliation of politicians from a single social media message across eleven countries and found that an prompt-tuned model exceeded both supervised classifiers and human coders in every language and country context, reaching an accuracy of 0.93 in the United States case. The study further reports that GPT-4, unlike the supervised classifiers, correctly annotated messages requiring interpretation of implicit references or reasoning from contextual knowledge, which is the capacity a single sentence most demands. </w:t>
      </w:r>
      <w:r>
        <w:fldChar w:fldCharType="begin"/>
      </w:r>
      <w:r>
        <w:instrText xml:space="preserve"> ADDIN ZOTERO_ITEM CSL_CITATION {"citationID":"WJiB4cfF","properties":{"unsorted":false,"formattedCitation":"(Le Mens &amp; Gallego, 2025)","plainCitation":"(Le Mens &amp; Gallego, 2025)","dontUpdate":true,"noteIndex":0},"citationItems":[{"id":9471,"uris":["http://zotero.org/users/6825464/items/T5RDD8ZW"],"itemData":{"id":9471,"type":"article-journal","container-title":"Political Analysis","DOI":"10.1017/pan.2024.24","issue":"3","note":"citation-key: MensGallego2025","page":"399-416","title":"Positioning Political Texts with Large Language Models by Asking and Averaging","volume":"33","author":[{"family":"Le Mens","given":"Gaël"},{"family":"Gallego","given":"Aina"}],"issued":{"date-parts":[["2025"]]}}}],"schema":"https://github.com/citation-style-language/schema/raw/master/csl-citation.json"} </w:instrText>
      </w:r>
      <w:r>
        <w:fldChar w:fldCharType="separate"/>
      </w:r>
      <w:r>
        <w:rPr>
          <w:noProof/>
        </w:rPr>
        <w:t>Le Mens &amp; Gallego (2025)</w:t>
      </w:r>
      <w:r>
        <w:fldChar w:fldCharType="end"/>
      </w:r>
      <w:r>
        <w:t>, separately, show that a model can be prompted directly for a continuous position estimate rather than for a discrete label. Our instrument requires both properties at once, since it annotates a single sentence and returns a position on a scale.</w:t>
      </w:r>
    </w:p>
    <w:p w14:paraId="57F1EC62" w14:textId="77777777" w:rsidR="00EE60D6" w:rsidRDefault="00EE60D6" w:rsidP="00EE60D6"/>
    <w:p w14:paraId="7706558C" w14:textId="77777777" w:rsidR="00EE60D6" w:rsidRDefault="00EE60D6" w:rsidP="00EE60D6">
      <w:r>
        <w:t>The literature that establishes this capability does not, however, specify how to build the entire LLM annotation suite. Performance varies with prompt wording, supplied context, and model (</w:t>
      </w:r>
      <w:r>
        <w:fldChar w:fldCharType="begin"/>
      </w:r>
      <w:r>
        <w:instrText xml:space="preserve"> ADDIN ZOTERO_ITEM CSL_CITATION {"citationID":"tx5csuza","properties":{"unsorted":false,"formattedCitation":"(Ornstein et al., 2025)","plainCitation":"(Ornstein et al., 2025)","dontUpdate":true,"noteIndex":0},"citationItems":[{"id":9648,"uris":["http://zotero.org/users/6825464/items/G7RQJK2Q"],"itemData":{"id":9648,"type":"article-journal","abstract":"We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fldChar w:fldCharType="separate"/>
      </w:r>
      <w:r>
        <w:rPr>
          <w:noProof/>
        </w:rPr>
        <w:t>Ornstein et al., 2025)</w:t>
      </w:r>
      <w:r>
        <w:fldChar w:fldCharType="end"/>
      </w:r>
      <w:r>
        <w:t xml:space="preserve">. General guidance exists on how to construct prompts for text analysis </w:t>
      </w:r>
      <w:r>
        <w:fldChar w:fldCharType="begin"/>
      </w:r>
      <w:r>
        <w:instrText xml:space="preserve"> ADDIN ZOTERO_ITEM CSL_CITATION {"citationID":"qo9MyueQ","properties":{"unsorted":false,"formattedCitation":"(T\\uc0\\u246{}rnberg, 2024)","plainCitation":"(Törnberg, 2024)","noteIndex":0},"citationItems":[{"id":9427,"uris":["http://zotero.org/users/6825464/items/6NJF65VK"],"itemData":{"id":9427,"type":"article-journal","container-title":"Sociologica","DOI":"10.6092/issn.1971-8853/19461","issue":"2","page":"67-85","title":"Best Practices for Text Annotation with Large Language Models","volume":"18","author":[{"family":"Törnberg","given":"Petter"}],"issued":{"date-parts":[["2024"]]}}}],"schema":"https://github.com/citation-style-language/schema/raw/master/csl-citation.json"} </w:instrText>
      </w:r>
      <w:r>
        <w:fldChar w:fldCharType="separate"/>
      </w:r>
      <w:r w:rsidRPr="00136B84">
        <w:rPr>
          <w:rFonts w:eastAsiaTheme="minorEastAsia"/>
          <w:szCs w:val="24"/>
          <w14:ligatures w14:val="standardContextual"/>
        </w:rPr>
        <w:t>(Törnberg, 2024)</w:t>
      </w:r>
      <w:r>
        <w:fldChar w:fldCharType="end"/>
      </w:r>
      <w:r>
        <w:t xml:space="preserve">. However, specific validated protocol for evaluating party position on multiple predetermine foreign policy dimension from a single news sentence does not exist. Where the available guidance does promote a choice, it does not always promote a consistent one. </w:t>
      </w:r>
      <w:r>
        <w:fldChar w:fldCharType="begin"/>
      </w:r>
      <w:r>
        <w:instrText xml:space="preserve"> ADDIN ZOTERO_ITEM CSL_CITATION {"citationID":"cSzz9k5N","properties":{"unsorted":false,"formattedCitation":"(Ornstein et al., 2025)","plainCitation":"(Ornstein et al., 2025)","dontUpdate":true,"noteIndex":0},"citationItems":[{"id":9648,"uris":["http://zotero.org/users/6825464/items/G7RQJK2Q"],"itemData":{"id":9648,"type":"article-journal","abstract":"We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fldChar w:fldCharType="separate"/>
      </w:r>
      <w:r>
        <w:rPr>
          <w:noProof/>
        </w:rPr>
        <w:t>Ornstein et al. (2025)</w:t>
      </w:r>
      <w:r>
        <w:fldChar w:fldCharType="end"/>
      </w:r>
      <w:r>
        <w:t xml:space="preserve"> recommend few-shot prompts and find that additional examples improve performance, whereas </w:t>
      </w:r>
      <w:r>
        <w:fldChar w:fldCharType="begin"/>
      </w:r>
      <w:r>
        <w:instrText xml:space="preserve"> ADDIN ZOTERO_ITEM CSL_CITATION {"citationID":"Bc3q7LJt","properties":{"unsorted":false,"formattedCitation":"(T\\uc0\\u246{}rnberg, 2025)","plainCitation":"(Törnberg, 2025)","dontUpdate":true,"noteIndex":0},"citationItems":[{"id":9672,"uris":["http://zotero.org/users/6825464/items/CT5KGMRK"],"itemData":{"id":9672,"type":"article-journal","abstract":"Instruction-tuned Large Language Models (LLMs) have recently emerged as a powerful new tool for text analysis. As these models are capable of zero-shot annotation based on instructions written in natural language, they obviate the need of large sets of training data—and thus bring potential paradigm-shifting implications for using text as data. While the models show substantial promise, their relative performance compared to human coders and supervised models remains poorly understood and subject to significant academic debate. This paper assesses the strengths and weaknesses of popular fine-tuned AI models compared to both conventional supervised classifiers and manual annotation by experts and crowd workers. The task used is to identify the political affiliation of politicians based on a single X/Twitter message, focusing on data from 11 different countries. The paper finds that GPT-4 achieves higher accuracy than both supervised models and human coders across all languages and country contexts. In the US context, it achieves an accuracy of 0.934 and an inter-coder reliability of 0.982. Examining the cases where the models fail, the paper finds that the LLM—unlike the supervised models—correctly annotates messages that require interpretation of implicit or unspoken references, or reasoning on the basis of contextual knowledge—capacities that have traditionally been understood to be distinctly human. The paper thus contributes to our understanding of the revolutionary implications of LLMs for text analysis within the social sciences.","container-title":"Social Science Computer Review","DOI":"10.1177/08944393241286471","ISSN":"0894-4393","issue":"6","language":"EN","page":"1181-1195","publisher":"SAGE Publications Inc","source":"SAGE Journals","title":"Large Language Models Outperform Expert Coders and Supervised Classifiers at Annotating Political Social Media Messages","volume":"43","author":[{"family":"Törnberg","given":"Petter"}],"issued":{"date-parts":[["2025",12,1]]}}}],"schema":"https://github.com/citation-style-language/schema/raw/master/csl-citation.json"} </w:instrText>
      </w:r>
      <w:r>
        <w:fldChar w:fldCharType="separate"/>
      </w:r>
      <w:r w:rsidRPr="00860B19">
        <w:rPr>
          <w:rFonts w:eastAsiaTheme="minorEastAsia"/>
          <w:szCs w:val="24"/>
          <w14:ligatures w14:val="standardContextual"/>
        </w:rPr>
        <w:t>Törnberg</w:t>
      </w:r>
      <w:r>
        <w:rPr>
          <w:rFonts w:eastAsiaTheme="minorEastAsia"/>
          <w:szCs w:val="24"/>
          <w14:ligatures w14:val="standardContextual"/>
        </w:rPr>
        <w:t xml:space="preserve"> (</w:t>
      </w:r>
      <w:r w:rsidRPr="00860B19">
        <w:rPr>
          <w:rFonts w:eastAsiaTheme="minorEastAsia"/>
          <w:szCs w:val="24"/>
          <w14:ligatures w14:val="standardContextual"/>
        </w:rPr>
        <w:t>2025)</w:t>
      </w:r>
      <w:r>
        <w:fldChar w:fldCharType="end"/>
      </w:r>
      <w:r>
        <w:t xml:space="preserve"> obtains its results zero-shot, from instructions written in natural language and no labelled examples. We follow the latter suggestion, and we set out our reasons alongside the prompt in the Method section. </w:t>
      </w:r>
    </w:p>
    <w:p w14:paraId="490CD5EB" w14:textId="77777777" w:rsidR="00EE60D6" w:rsidRDefault="00EE60D6" w:rsidP="00EE60D6"/>
    <w:p w14:paraId="0C776E2B" w14:textId="77777777" w:rsidR="00EE60D6" w:rsidRDefault="00EE60D6" w:rsidP="00EE60D6">
      <w:r>
        <w:t xml:space="preserve">In the Method section, we address three things. </w:t>
      </w:r>
      <w:r w:rsidRPr="004D5CF5">
        <w:t xml:space="preserve">First, we specify </w:t>
      </w:r>
      <w:r>
        <w:t>our annotation suite</w:t>
      </w:r>
      <w:r w:rsidRPr="004D5CF5">
        <w:t xml:space="preserve">, </w:t>
      </w:r>
      <w:r>
        <w:t>report</w:t>
      </w:r>
      <w:r w:rsidRPr="004D5CF5">
        <w:t xml:space="preserve"> the model, the request settings, and the exact prompt. Second, we justify each choice on the general principles the literature does supply, since a task-specific standard is unavailable. Third, we validate.</w:t>
      </w:r>
      <w:r>
        <w:fldChar w:fldCharType="begin"/>
      </w:r>
      <w:r>
        <w:instrText xml:space="preserve"> ADDIN ZOTERO_ITEM CSL_CITATION {"citationID":"vA3F4qvV","properties":{"unsorted":false,"formattedCitation":"(Pangakis et al., 2023)","plainCitation":"(Pangakis et al., 2023)","dontUpdate":true,"noteIndex":0},"citationItems":[{"id":9429,"uris":["http://zotero.org/users/6825464/items/5U6A8C5J"],"itemData":{"id":9429,"type":"article","abstract":"Generative large language models (LLMs) can be a powerful tool for augmenting text annotation procedures, but their performance varies across annotation tasks due to prompt quality, text data idiosyncrasies, and conceptual difficulty. Because these challenges will persist even as LLM technology improves, we argue that any automated annotation process using an LLM must validate the LLM's performance against labels generated by humans. To this end, we outline a workflow to harness the annotation potential of LLMs in a principled, efficient way. Using GPT-4, we validate this approach by replicating 27 annotation tasks across 11 datasets from recent social science articles in high-impact journals. We find that LLM performance for text annotation is promising but highly contingent on both the dataset and the type of annotation task, which reinforces the necessity to validate on a task-by-task basis. We make available easy-to-use software designed to implement our workflow and streamline the deployment of LLMs for automated annotation.","note":"arXiv:2306.00176","title":"Automated Annotation with Generative AI Requires Validation","URL":"https://arxiv.org/abs/2306.00176","author":[{"family":"Pangakis","given":"Nicholas"},{"family":"Wolken","given":"Samuel"},{"family":"Fasching","given":"Neil"}],"issued":{"date-parts":[["2023",5,31]]}}}],"schema":"https://github.com/citation-style-language/schema/raw/master/csl-citation.json"} </w:instrText>
      </w:r>
      <w:r>
        <w:fldChar w:fldCharType="separate"/>
      </w:r>
      <w:r>
        <w:rPr>
          <w:noProof/>
        </w:rPr>
        <w:t xml:space="preserve"> Pangakis et al., (2023)</w:t>
      </w:r>
      <w:r>
        <w:fldChar w:fldCharType="end"/>
      </w:r>
      <w:r w:rsidRPr="004D5CF5">
        <w:t xml:space="preserve"> argue that automated annotation with generative models requires validation against human labels on the specific task rather than an assumption of transferable performance, and </w:t>
      </w:r>
      <w:r>
        <w:fldChar w:fldCharType="begin"/>
      </w:r>
      <w:r>
        <w:instrText xml:space="preserve"> ADDIN ZOTERO_ITEM CSL_CITATION {"citationID":"Fs7wHdOE","properties":{"unsorted":false,"formattedCitation":"(Ornstein et al., 2025)","plainCitation":"(Ornstein et al., 2025)","dontUpdate":true,"noteIndex":0},"citationItems":[{"id":9648,"uris":["http://zotero.org/users/6825464/items/G7RQJK2Q"],"itemData":{"id":9648,"type":"article-journal","abstract":"We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fldChar w:fldCharType="separate"/>
      </w:r>
      <w:r>
        <w:rPr>
          <w:noProof/>
        </w:rPr>
        <w:t>Ornstein et al. (2025)</w:t>
      </w:r>
      <w:r>
        <w:fldChar w:fldCharType="end"/>
      </w:r>
      <w:r w:rsidRPr="004D5CF5">
        <w:t xml:space="preserve"> treat comparison against human coding as </w:t>
      </w:r>
      <w:r>
        <w:t xml:space="preserve">“golden standard” </w:t>
      </w:r>
      <w:r w:rsidRPr="004D5CF5">
        <w:t>against bias introduced during prompt design. Validation against human labels alone, however, would not tell us whether our annotation instructions are reproducible, nor whether the model returns the same score on repeated presentation of the same sentence. We therefore evaluate three properties rather than one: agreement between human coders, which tests whether our instructions are reproducible by people; agreement between the model and human coders, which tests the annotation against human reference; and the model</w:t>
      </w:r>
      <w:r>
        <w:t>’</w:t>
      </w:r>
      <w:r w:rsidRPr="004D5CF5">
        <w:t>s agreement with itself across repeated trials, which tests reproducibility of the model</w:t>
      </w:r>
      <w:r>
        <w:t>’</w:t>
      </w:r>
      <w:r w:rsidRPr="004D5CF5">
        <w:t xml:space="preserve">s own output. </w:t>
      </w:r>
    </w:p>
    <w:p w14:paraId="5CCA1A45" w14:textId="77777777" w:rsidR="00EE60D6" w:rsidRPr="004D5CF5" w:rsidRDefault="00EE60D6" w:rsidP="00EE60D6"/>
    <w:p w14:paraId="505EC12D" w14:textId="77777777" w:rsidR="00EE60D6" w:rsidRPr="004D5CF5" w:rsidRDefault="00EE60D6" w:rsidP="00EE60D6">
      <w:r w:rsidRPr="004D5CF5">
        <w:t xml:space="preserve">Finally, </w:t>
      </w:r>
      <w:r w:rsidRPr="000A2254">
        <w:t>as Németh (2023) cautions, spurious results may arise when causal relations are inferred from textual data. Our</w:t>
      </w:r>
      <w:r>
        <w:t xml:space="preserve"> research</w:t>
      </w:r>
      <w:r w:rsidRPr="000A2254">
        <w:t xml:space="preserve"> concern the presence</w:t>
      </w:r>
      <w:r>
        <w:rPr>
          <w:rFonts w:hint="eastAsia"/>
        </w:rPr>
        <w:t xml:space="preserve">, timing and the correlational nature </w:t>
      </w:r>
      <w:r w:rsidRPr="000A2254">
        <w:t xml:space="preserve">of </w:t>
      </w:r>
      <w:r>
        <w:rPr>
          <w:rFonts w:hint="eastAsia"/>
        </w:rPr>
        <w:t>polarization and</w:t>
      </w:r>
      <w:r>
        <w:t xml:space="preserve"> the</w:t>
      </w:r>
      <w:r>
        <w:rPr>
          <w:rFonts w:hint="eastAsia"/>
        </w:rPr>
        <w:t xml:space="preserve"> coherence</w:t>
      </w:r>
      <w:r>
        <w:t xml:space="preserve"> of party elites on a given issue</w:t>
      </w:r>
      <w:r>
        <w:rPr>
          <w:rFonts w:hint="eastAsia"/>
        </w:rPr>
        <w:t xml:space="preserve">. Given that our data is limited to the supply side, our observational design cannot </w:t>
      </w:r>
      <w:r>
        <w:t>establish</w:t>
      </w:r>
      <w:r>
        <w:rPr>
          <w:rFonts w:hint="eastAsia"/>
        </w:rPr>
        <w:t xml:space="preserve"> whether the temporal progression observed induces a measured downstream voter effect. </w:t>
      </w:r>
      <w:r w:rsidRPr="004D5CF5">
        <w:t xml:space="preserve">Whether the progression of perceived party brand, polarization, and within-party </w:t>
      </w:r>
      <w:r w:rsidRPr="004D5CF5">
        <w:lastRenderedPageBreak/>
        <w:t>coherence correlates with or leads to changes in partisanship and voting behavior remains a separate empirical matter.</w:t>
      </w:r>
    </w:p>
    <w:p w14:paraId="5E25BBB4" w14:textId="77777777" w:rsidR="00EE60D6" w:rsidRDefault="00EE60D6" w:rsidP="00EE60D6">
      <w:pPr>
        <w:pStyle w:val="2"/>
      </w:pPr>
      <w:r>
        <w:rPr>
          <w:rFonts w:hint="eastAsia"/>
        </w:rPr>
        <w:t>Hypothesis</w:t>
      </w:r>
    </w:p>
    <w:p w14:paraId="689ED8DB" w14:textId="77777777" w:rsidR="00EE60D6" w:rsidRPr="000648D4" w:rsidRDefault="00EE60D6" w:rsidP="00EE60D6">
      <w:r w:rsidRPr="000648D4">
        <w:t>The</w:t>
      </w:r>
      <w:r w:rsidRPr="000648D4">
        <w:rPr>
          <w:color w:val="1F1F1F"/>
        </w:rPr>
        <w:t xml:space="preserve"> </w:t>
      </w:r>
      <w:r w:rsidRPr="000648D4">
        <w:t>preceding</w:t>
      </w:r>
      <w:r w:rsidRPr="000648D4">
        <w:rPr>
          <w:color w:val="1F1F1F"/>
        </w:rPr>
        <w:t xml:space="preserve"> </w:t>
      </w:r>
      <w:r>
        <w:rPr>
          <w:rFonts w:hint="eastAsia"/>
        </w:rPr>
        <w:t>review</w:t>
      </w:r>
      <w:r w:rsidRPr="000648D4">
        <w:rPr>
          <w:color w:val="1F1F1F"/>
        </w:rPr>
        <w:t xml:space="preserve"> </w:t>
      </w:r>
      <w:r w:rsidRPr="000648D4">
        <w:t>motivates</w:t>
      </w:r>
      <w:r w:rsidRPr="000648D4">
        <w:rPr>
          <w:color w:val="1F1F1F"/>
        </w:rPr>
        <w:t xml:space="preserve"> </w:t>
      </w:r>
      <w:r w:rsidRPr="000648D4">
        <w:t>a</w:t>
      </w:r>
      <w:r w:rsidRPr="000648D4">
        <w:rPr>
          <w:color w:val="1F1F1F"/>
        </w:rPr>
        <w:t xml:space="preserve"> </w:t>
      </w:r>
      <w:r w:rsidRPr="000648D4">
        <w:t>longitudinal</w:t>
      </w:r>
      <w:r w:rsidRPr="000648D4">
        <w:rPr>
          <w:color w:val="1F1F1F"/>
        </w:rPr>
        <w:t xml:space="preserve"> </w:t>
      </w:r>
      <w:r w:rsidRPr="000648D4">
        <w:t>account</w:t>
      </w:r>
      <w:r w:rsidRPr="000648D4">
        <w:rPr>
          <w:color w:val="1F1F1F"/>
        </w:rPr>
        <w:t xml:space="preserve"> </w:t>
      </w:r>
      <w:r w:rsidRPr="000648D4">
        <w:t>of</w:t>
      </w:r>
      <w:r>
        <w:rPr>
          <w:rFonts w:hint="eastAsia"/>
        </w:rPr>
        <w:t xml:space="preserve"> perceived party brand that separates </w:t>
      </w:r>
    </w:p>
    <w:p w14:paraId="30F23C0D" w14:textId="77777777" w:rsidR="00EE60D6" w:rsidRPr="000648D4" w:rsidRDefault="00EE60D6" w:rsidP="00EE60D6">
      <w:pPr>
        <w:rPr>
          <w:color w:val="1F1F1F"/>
        </w:rPr>
      </w:pPr>
      <w:r w:rsidRPr="000648D4">
        <w:t>temporal</w:t>
      </w:r>
      <w:r w:rsidRPr="000648D4">
        <w:rPr>
          <w:color w:val="1F1F1F"/>
        </w:rPr>
        <w:t xml:space="preserve"> </w:t>
      </w:r>
      <w:r w:rsidRPr="000648D4">
        <w:t>development,</w:t>
      </w:r>
      <w:r w:rsidRPr="000648D4">
        <w:rPr>
          <w:color w:val="1F1F1F"/>
        </w:rPr>
        <w:t xml:space="preserve"> </w:t>
      </w:r>
      <w:r w:rsidRPr="000648D4">
        <w:t>party</w:t>
      </w:r>
      <w:r w:rsidRPr="000648D4">
        <w:rPr>
          <w:color w:val="1F1F1F"/>
        </w:rPr>
        <w:t xml:space="preserve"> </w:t>
      </w:r>
      <w:r w:rsidRPr="000648D4">
        <w:t>contribution,</w:t>
      </w:r>
      <w:r w:rsidRPr="000648D4">
        <w:rPr>
          <w:color w:val="1F1F1F"/>
        </w:rPr>
        <w:t xml:space="preserve"> </w:t>
      </w:r>
      <w:r w:rsidRPr="000648D4">
        <w:t>cross-dimensional</w:t>
      </w:r>
      <w:r w:rsidRPr="000648D4">
        <w:rPr>
          <w:color w:val="1F1F1F"/>
        </w:rPr>
        <w:t xml:space="preserve"> </w:t>
      </w:r>
      <w:r w:rsidRPr="000648D4">
        <w:t>alignment,</w:t>
      </w:r>
      <w:r w:rsidRPr="000648D4">
        <w:rPr>
          <w:color w:val="1F1F1F"/>
        </w:rPr>
        <w:t xml:space="preserve"> </w:t>
      </w:r>
      <w:r>
        <w:rPr>
          <w:rFonts w:hint="eastAsia"/>
          <w:color w:val="1F1F1F"/>
        </w:rPr>
        <w:t xml:space="preserve">coherence of </w:t>
      </w:r>
      <w:r>
        <w:rPr>
          <w:rFonts w:hint="eastAsia"/>
        </w:rPr>
        <w:t>within-party message</w:t>
      </w:r>
      <w:r w:rsidRPr="000648D4">
        <w:t>.</w:t>
      </w:r>
      <w:r w:rsidRPr="000648D4">
        <w:rPr>
          <w:color w:val="1F1F1F"/>
        </w:rPr>
        <w:t xml:space="preserve"> </w:t>
      </w:r>
      <w:r>
        <w:rPr>
          <w:rFonts w:hint="eastAsia"/>
        </w:rPr>
        <w:t>We therefore</w:t>
      </w:r>
      <w:r w:rsidRPr="000648D4">
        <w:rPr>
          <w:color w:val="1F1F1F"/>
        </w:rPr>
        <w:t xml:space="preserve"> </w:t>
      </w:r>
      <w:r>
        <w:rPr>
          <w:rFonts w:hint="eastAsia"/>
        </w:rPr>
        <w:t>organize the empirical investigation</w:t>
      </w:r>
      <w:r w:rsidRPr="000648D4">
        <w:rPr>
          <w:color w:val="1F1F1F"/>
        </w:rPr>
        <w:t xml:space="preserve"> </w:t>
      </w:r>
      <w:r w:rsidRPr="000648D4">
        <w:t>by</w:t>
      </w:r>
      <w:r w:rsidRPr="000648D4">
        <w:rPr>
          <w:color w:val="1F1F1F"/>
        </w:rPr>
        <w:t xml:space="preserve"> </w:t>
      </w:r>
      <w:r w:rsidRPr="000648D4">
        <w:t>the</w:t>
      </w:r>
      <w:r w:rsidRPr="000648D4">
        <w:rPr>
          <w:color w:val="1F1F1F"/>
        </w:rPr>
        <w:t xml:space="preserve"> </w:t>
      </w:r>
      <w:r w:rsidRPr="000648D4">
        <w:t>following</w:t>
      </w:r>
      <w:r w:rsidRPr="000648D4">
        <w:rPr>
          <w:color w:val="1F1F1F"/>
        </w:rPr>
        <w:t xml:space="preserve"> </w:t>
      </w:r>
      <w:r w:rsidRPr="000648D4">
        <w:t>research</w:t>
      </w:r>
      <w:r w:rsidRPr="000648D4">
        <w:rPr>
          <w:color w:val="1F1F1F"/>
        </w:rPr>
        <w:t xml:space="preserve"> </w:t>
      </w:r>
      <w:r w:rsidRPr="000648D4">
        <w:t>questions</w:t>
      </w:r>
      <w:r w:rsidRPr="000648D4">
        <w:rPr>
          <w:color w:val="1F1F1F"/>
        </w:rPr>
        <w:t xml:space="preserve"> </w:t>
      </w:r>
      <w:r w:rsidRPr="000648D4">
        <w:t>and</w:t>
      </w:r>
      <w:r w:rsidRPr="000648D4">
        <w:rPr>
          <w:color w:val="1F1F1F"/>
        </w:rPr>
        <w:t xml:space="preserve"> </w:t>
      </w:r>
      <w:r w:rsidRPr="000648D4">
        <w:t>hypotheses.</w:t>
      </w:r>
    </w:p>
    <w:p w14:paraId="57F6872D" w14:textId="77777777" w:rsidR="00EE60D6" w:rsidRPr="000648D4" w:rsidRDefault="00EE60D6" w:rsidP="00EE60D6">
      <w:pPr>
        <w:rPr>
          <w:color w:val="1F1F1F"/>
        </w:rPr>
      </w:pPr>
    </w:p>
    <w:p w14:paraId="27ACBBFD" w14:textId="77777777" w:rsidR="00EE60D6" w:rsidRPr="000648D4" w:rsidRDefault="00EE60D6" w:rsidP="00EE60D6">
      <w:pPr>
        <w:rPr>
          <w:color w:val="1F1F1F"/>
        </w:rPr>
      </w:pPr>
      <w:r w:rsidRPr="00FD19AB">
        <w:rPr>
          <w:b/>
          <w:bCs/>
        </w:rPr>
        <w:t>RQ1.</w:t>
      </w:r>
      <w:r w:rsidRPr="000648D4">
        <w:rPr>
          <w:color w:val="1F1F1F"/>
        </w:rPr>
        <w:t xml:space="preserve"> </w:t>
      </w:r>
      <w:r w:rsidRPr="000648D4">
        <w:t>How</w:t>
      </w:r>
      <w:r w:rsidRPr="000648D4">
        <w:rPr>
          <w:color w:val="1F1F1F"/>
        </w:rPr>
        <w:t xml:space="preserve"> </w:t>
      </w:r>
      <w:r w:rsidRPr="000648D4">
        <w:t>did</w:t>
      </w:r>
      <w:r w:rsidRPr="000648D4">
        <w:rPr>
          <w:color w:val="1F1F1F"/>
        </w:rPr>
        <w:t xml:space="preserve"> </w:t>
      </w:r>
      <w:r w:rsidRPr="000648D4">
        <w:t>General</w:t>
      </w:r>
      <w:r w:rsidRPr="000648D4">
        <w:rPr>
          <w:color w:val="1F1F1F"/>
        </w:rPr>
        <w:t xml:space="preserve"> </w:t>
      </w:r>
      <w:r w:rsidRPr="000648D4">
        <w:t>Ukraine</w:t>
      </w:r>
      <w:r w:rsidRPr="000648D4">
        <w:rPr>
          <w:color w:val="1F1F1F"/>
        </w:rPr>
        <w:t xml:space="preserve"> </w:t>
      </w:r>
      <w:r w:rsidRPr="000648D4">
        <w:t>Aid</w:t>
      </w:r>
      <w:r w:rsidRPr="000648D4">
        <w:rPr>
          <w:color w:val="1F1F1F"/>
        </w:rPr>
        <w:t xml:space="preserve"> </w:t>
      </w:r>
      <w:r w:rsidRPr="000648D4">
        <w:t>Stance</w:t>
      </w:r>
      <w:r w:rsidRPr="000648D4">
        <w:rPr>
          <w:color w:val="1F1F1F"/>
        </w:rPr>
        <w:t xml:space="preserve"> </w:t>
      </w:r>
      <w:r w:rsidRPr="000648D4">
        <w:t>polarization</w:t>
      </w:r>
      <w:r w:rsidRPr="000648D4">
        <w:rPr>
          <w:color w:val="1F1F1F"/>
        </w:rPr>
        <w:t xml:space="preserve"> </w:t>
      </w:r>
      <w:r w:rsidRPr="000648D4">
        <w:t>develop</w:t>
      </w:r>
      <w:r w:rsidRPr="000648D4">
        <w:rPr>
          <w:color w:val="1F1F1F"/>
        </w:rPr>
        <w:t xml:space="preserve"> </w:t>
      </w:r>
      <w:r w:rsidRPr="000648D4">
        <w:t>from</w:t>
      </w:r>
      <w:r w:rsidRPr="000648D4">
        <w:rPr>
          <w:color w:val="1F1F1F"/>
        </w:rPr>
        <w:t xml:space="preserve"> </w:t>
      </w:r>
      <w:r w:rsidRPr="000648D4">
        <w:t>March</w:t>
      </w:r>
      <w:r w:rsidRPr="000648D4">
        <w:rPr>
          <w:color w:val="1F1F1F"/>
        </w:rPr>
        <w:t xml:space="preserve"> </w:t>
      </w:r>
      <w:r w:rsidRPr="000648D4">
        <w:t>2022</w:t>
      </w:r>
      <w:r w:rsidRPr="000648D4">
        <w:rPr>
          <w:color w:val="1F1F1F"/>
        </w:rPr>
        <w:t xml:space="preserve"> </w:t>
      </w:r>
      <w:r w:rsidRPr="000648D4">
        <w:t>through</w:t>
      </w:r>
      <w:r w:rsidRPr="000648D4">
        <w:rPr>
          <w:color w:val="1F1F1F"/>
        </w:rPr>
        <w:t xml:space="preserve"> </w:t>
      </w:r>
      <w:r w:rsidRPr="000648D4">
        <w:t>December</w:t>
      </w:r>
      <w:r w:rsidRPr="000648D4">
        <w:rPr>
          <w:color w:val="1F1F1F"/>
        </w:rPr>
        <w:t xml:space="preserve"> </w:t>
      </w:r>
      <w:r w:rsidRPr="000648D4">
        <w:t>2024?</w:t>
      </w:r>
    </w:p>
    <w:p w14:paraId="28B4AF4E" w14:textId="77777777" w:rsidR="00EE60D6" w:rsidRDefault="00EE60D6" w:rsidP="00EE60D6">
      <w:pPr>
        <w:ind w:left="720"/>
        <w:rPr>
          <w:color w:val="1F1F1F"/>
        </w:rPr>
      </w:pPr>
      <w:r w:rsidRPr="00FD19AB">
        <w:rPr>
          <w:i/>
          <w:iCs/>
        </w:rPr>
        <w:t>H1a.</w:t>
      </w:r>
      <w:r w:rsidRPr="000648D4">
        <w:rPr>
          <w:color w:val="1F1F1F"/>
        </w:rPr>
        <w:t xml:space="preserve"> </w:t>
      </w:r>
      <w:r w:rsidRPr="000648D4">
        <w:t>Elite</w:t>
      </w:r>
      <w:r w:rsidRPr="000648D4">
        <w:rPr>
          <w:color w:val="1F1F1F"/>
        </w:rPr>
        <w:t xml:space="preserve"> </w:t>
      </w:r>
      <w:r w:rsidRPr="000648D4">
        <w:t>discourse</w:t>
      </w:r>
      <w:r>
        <w:rPr>
          <w:rStyle w:val="aff"/>
        </w:rPr>
        <w:footnoteReference w:id="1"/>
      </w:r>
      <w:r w:rsidRPr="000648D4">
        <w:rPr>
          <w:color w:val="1F1F1F"/>
        </w:rPr>
        <w:t xml:space="preserve"> </w:t>
      </w:r>
      <w:r w:rsidRPr="000648D4">
        <w:t>on</w:t>
      </w:r>
      <w:r w:rsidRPr="000648D4">
        <w:rPr>
          <w:color w:val="1F1F1F"/>
        </w:rPr>
        <w:t xml:space="preserve"> </w:t>
      </w:r>
      <w:r w:rsidRPr="000648D4">
        <w:t>Ukraine</w:t>
      </w:r>
      <w:r w:rsidRPr="000648D4">
        <w:rPr>
          <w:color w:val="1F1F1F"/>
        </w:rPr>
        <w:t xml:space="preserve"> </w:t>
      </w:r>
      <w:r w:rsidRPr="000648D4">
        <w:t>aid</w:t>
      </w:r>
      <w:r w:rsidRPr="000648D4">
        <w:rPr>
          <w:color w:val="1F1F1F"/>
        </w:rPr>
        <w:t xml:space="preserve"> </w:t>
      </w:r>
      <w:r w:rsidRPr="000648D4">
        <w:t>exhibits</w:t>
      </w:r>
      <w:r w:rsidRPr="000648D4">
        <w:rPr>
          <w:color w:val="1F1F1F"/>
        </w:rPr>
        <w:t xml:space="preserve"> </w:t>
      </w:r>
      <w:r w:rsidRPr="000648D4">
        <w:t>increasing</w:t>
      </w:r>
      <w:r w:rsidRPr="000648D4">
        <w:rPr>
          <w:color w:val="1F1F1F"/>
        </w:rPr>
        <w:t xml:space="preserve"> </w:t>
      </w:r>
      <w:r w:rsidRPr="000648D4">
        <w:t>polarization</w:t>
      </w:r>
      <w:r w:rsidRPr="000648D4">
        <w:rPr>
          <w:color w:val="1F1F1F"/>
        </w:rPr>
        <w:t xml:space="preserve"> </w:t>
      </w:r>
      <w:r w:rsidRPr="000648D4">
        <w:t>from</w:t>
      </w:r>
      <w:r w:rsidRPr="000648D4">
        <w:rPr>
          <w:color w:val="1F1F1F"/>
        </w:rPr>
        <w:t xml:space="preserve"> </w:t>
      </w:r>
      <w:r w:rsidRPr="000648D4">
        <w:t>March</w:t>
      </w:r>
      <w:r w:rsidRPr="000648D4">
        <w:rPr>
          <w:color w:val="1F1F1F"/>
        </w:rPr>
        <w:t xml:space="preserve"> </w:t>
      </w:r>
      <w:r w:rsidRPr="000648D4">
        <w:t>2022</w:t>
      </w:r>
      <w:r w:rsidRPr="000648D4">
        <w:rPr>
          <w:color w:val="1F1F1F"/>
        </w:rPr>
        <w:t xml:space="preserve"> </w:t>
      </w:r>
      <w:r w:rsidRPr="000648D4">
        <w:t>to</w:t>
      </w:r>
      <w:r w:rsidRPr="000648D4">
        <w:rPr>
          <w:color w:val="1F1F1F"/>
        </w:rPr>
        <w:t xml:space="preserve"> </w:t>
      </w:r>
      <w:r w:rsidRPr="000648D4">
        <w:t>December</w:t>
      </w:r>
      <w:r w:rsidRPr="000648D4">
        <w:rPr>
          <w:color w:val="1F1F1F"/>
        </w:rPr>
        <w:t xml:space="preserve"> </w:t>
      </w:r>
      <w:r w:rsidRPr="000648D4">
        <w:t>2024,</w:t>
      </w:r>
      <w:r w:rsidRPr="000648D4">
        <w:rPr>
          <w:color w:val="1F1F1F"/>
        </w:rPr>
        <w:t xml:space="preserve"> </w:t>
      </w:r>
      <w:r w:rsidRPr="000648D4">
        <w:t>with</w:t>
      </w:r>
      <w:r w:rsidRPr="000648D4">
        <w:rPr>
          <w:color w:val="1F1F1F"/>
        </w:rPr>
        <w:t xml:space="preserve"> </w:t>
      </w:r>
      <w:r w:rsidRPr="000648D4">
        <w:t>partisan</w:t>
      </w:r>
      <w:r w:rsidRPr="000648D4">
        <w:rPr>
          <w:color w:val="1F1F1F"/>
        </w:rPr>
        <w:t xml:space="preserve"> </w:t>
      </w:r>
      <w:r w:rsidRPr="000648D4">
        <w:t>divergence</w:t>
      </w:r>
      <w:r w:rsidRPr="000648D4">
        <w:rPr>
          <w:color w:val="1F1F1F"/>
        </w:rPr>
        <w:t xml:space="preserve"> </w:t>
      </w:r>
      <w:r w:rsidRPr="000648D4">
        <w:t>on</w:t>
      </w:r>
      <w:r w:rsidRPr="000648D4">
        <w:rPr>
          <w:color w:val="1F1F1F"/>
        </w:rPr>
        <w:t xml:space="preserve"> </w:t>
      </w:r>
      <w:r w:rsidRPr="000648D4">
        <w:t>general</w:t>
      </w:r>
      <w:r w:rsidRPr="000648D4">
        <w:rPr>
          <w:color w:val="1F1F1F"/>
        </w:rPr>
        <w:t xml:space="preserve"> </w:t>
      </w:r>
      <w:r w:rsidRPr="000648D4">
        <w:t>aid</w:t>
      </w:r>
      <w:r w:rsidRPr="000648D4">
        <w:rPr>
          <w:color w:val="1F1F1F"/>
        </w:rPr>
        <w:t xml:space="preserve"> </w:t>
      </w:r>
      <w:r w:rsidRPr="000648D4">
        <w:t>stance</w:t>
      </w:r>
      <w:r w:rsidRPr="000648D4">
        <w:rPr>
          <w:color w:val="1F1F1F"/>
        </w:rPr>
        <w:t xml:space="preserve"> </w:t>
      </w:r>
      <w:r w:rsidRPr="000648D4">
        <w:rPr>
          <w:color w:val="374151"/>
        </w:rPr>
        <w:t>(</w:t>
      </w:r>
      <w:r w:rsidRPr="000648D4">
        <w:t>Q1</w:t>
      </w:r>
      <w:r w:rsidRPr="000648D4">
        <w:rPr>
          <w:color w:val="374151"/>
        </w:rPr>
        <w:t>)</w:t>
      </w:r>
      <w:r w:rsidRPr="000648D4">
        <w:rPr>
          <w:color w:val="1F1F1F"/>
        </w:rPr>
        <w:t xml:space="preserve"> </w:t>
      </w:r>
      <w:r w:rsidRPr="000648D4">
        <w:t>significantly</w:t>
      </w:r>
      <w:r w:rsidRPr="000648D4">
        <w:rPr>
          <w:color w:val="1F1F1F"/>
        </w:rPr>
        <w:t xml:space="preserve"> </w:t>
      </w:r>
      <w:r w:rsidRPr="000648D4">
        <w:t>greater</w:t>
      </w:r>
      <w:r w:rsidRPr="000648D4">
        <w:rPr>
          <w:color w:val="1F1F1F"/>
        </w:rPr>
        <w:t xml:space="preserve"> </w:t>
      </w:r>
      <w:r w:rsidRPr="000648D4">
        <w:t>at</w:t>
      </w:r>
      <w:r w:rsidRPr="000648D4">
        <w:rPr>
          <w:color w:val="1F1F1F"/>
        </w:rPr>
        <w:t xml:space="preserve"> </w:t>
      </w:r>
      <w:r w:rsidRPr="000648D4">
        <w:t>the</w:t>
      </w:r>
      <w:r w:rsidRPr="000648D4">
        <w:rPr>
          <w:color w:val="1F1F1F"/>
        </w:rPr>
        <w:t xml:space="preserve"> </w:t>
      </w:r>
      <w:r w:rsidRPr="000648D4">
        <w:t>study</w:t>
      </w:r>
      <w:r>
        <w:t>’</w:t>
      </w:r>
      <w:r>
        <w:rPr>
          <w:rFonts w:hint="eastAsia"/>
        </w:rPr>
        <w:t>s</w:t>
      </w:r>
      <w:r w:rsidRPr="000648D4">
        <w:rPr>
          <w:color w:val="1F1F1F"/>
        </w:rPr>
        <w:t xml:space="preserve"> </w:t>
      </w:r>
      <w:r w:rsidRPr="000648D4">
        <w:t>end</w:t>
      </w:r>
      <w:r w:rsidRPr="000648D4">
        <w:rPr>
          <w:color w:val="1F1F1F"/>
        </w:rPr>
        <w:t xml:space="preserve"> </w:t>
      </w:r>
      <w:r w:rsidRPr="000648D4">
        <w:t>than</w:t>
      </w:r>
      <w:r w:rsidRPr="000648D4">
        <w:rPr>
          <w:color w:val="1F1F1F"/>
        </w:rPr>
        <w:t xml:space="preserve"> </w:t>
      </w:r>
      <w:r w:rsidRPr="000648D4">
        <w:t>at</w:t>
      </w:r>
      <w:r w:rsidRPr="000648D4">
        <w:rPr>
          <w:color w:val="1F1F1F"/>
        </w:rPr>
        <w:t xml:space="preserve"> </w:t>
      </w:r>
      <w:r w:rsidRPr="000648D4">
        <w:t>its</w:t>
      </w:r>
      <w:r w:rsidRPr="000648D4">
        <w:rPr>
          <w:color w:val="1F1F1F"/>
        </w:rPr>
        <w:t xml:space="preserve"> </w:t>
      </w:r>
      <w:r w:rsidRPr="000648D4">
        <w:t>beginning.</w:t>
      </w:r>
    </w:p>
    <w:p w14:paraId="36B6075F" w14:textId="77777777" w:rsidR="00EE60D6" w:rsidRPr="000648D4" w:rsidRDefault="00EE60D6" w:rsidP="00EE60D6">
      <w:pPr>
        <w:ind w:left="720"/>
        <w:rPr>
          <w:color w:val="1F1F1F"/>
        </w:rPr>
      </w:pPr>
      <w:r w:rsidRPr="00853A5A">
        <w:rPr>
          <w:i/>
          <w:iCs/>
        </w:rPr>
        <w:t>H1b</w:t>
      </w:r>
      <w:r w:rsidRPr="00B866BB">
        <w:rPr>
          <w:i/>
          <w:iCs/>
        </w:rPr>
        <w:t>.</w:t>
      </w:r>
      <w:r w:rsidRPr="00B866BB">
        <w:rPr>
          <w:rFonts w:hint="eastAsia"/>
          <w:i/>
          <w:iCs/>
          <w:color w:val="374151"/>
        </w:rPr>
        <w:t xml:space="preserve"> </w:t>
      </w:r>
      <w:r w:rsidRPr="000648D4">
        <w:t>This</w:t>
      </w:r>
      <w:r w:rsidRPr="000648D4">
        <w:rPr>
          <w:color w:val="1F1F1F"/>
        </w:rPr>
        <w:t xml:space="preserve"> </w:t>
      </w:r>
      <w:r w:rsidRPr="000648D4">
        <w:t>increase</w:t>
      </w:r>
      <w:r w:rsidRPr="000648D4">
        <w:rPr>
          <w:color w:val="1F1F1F"/>
        </w:rPr>
        <w:t xml:space="preserve"> </w:t>
      </w:r>
      <w:r w:rsidRPr="000648D4">
        <w:t>in</w:t>
      </w:r>
      <w:r w:rsidRPr="000648D4">
        <w:rPr>
          <w:color w:val="1F1F1F"/>
        </w:rPr>
        <w:t xml:space="preserve"> </w:t>
      </w:r>
      <w:r w:rsidRPr="000648D4">
        <w:t>polarization</w:t>
      </w:r>
      <w:r w:rsidRPr="000648D4">
        <w:rPr>
          <w:color w:val="1F1F1F"/>
        </w:rPr>
        <w:t xml:space="preserve"> </w:t>
      </w:r>
      <w:r w:rsidRPr="000648D4">
        <w:t>reflects</w:t>
      </w:r>
      <w:r w:rsidRPr="000648D4">
        <w:rPr>
          <w:color w:val="1F1F1F"/>
        </w:rPr>
        <w:t xml:space="preserve"> </w:t>
      </w:r>
      <w:r w:rsidRPr="000648D4">
        <w:t>punctuated</w:t>
      </w:r>
      <w:r w:rsidRPr="000648D4">
        <w:rPr>
          <w:color w:val="1F1F1F"/>
        </w:rPr>
        <w:t xml:space="preserve"> </w:t>
      </w:r>
      <w:r w:rsidRPr="000648D4">
        <w:t>shifts</w:t>
      </w:r>
      <w:r w:rsidRPr="000648D4">
        <w:rPr>
          <w:color w:val="1F1F1F"/>
        </w:rPr>
        <w:t xml:space="preserve"> </w:t>
      </w:r>
      <w:r w:rsidRPr="000648D4">
        <w:t>rather</w:t>
      </w:r>
      <w:r w:rsidRPr="000648D4">
        <w:rPr>
          <w:color w:val="1F1F1F"/>
        </w:rPr>
        <w:t xml:space="preserve"> </w:t>
      </w:r>
      <w:r w:rsidRPr="000648D4">
        <w:t>than</w:t>
      </w:r>
      <w:r w:rsidRPr="000648D4">
        <w:rPr>
          <w:color w:val="1F1F1F"/>
        </w:rPr>
        <w:t xml:space="preserve"> </w:t>
      </w:r>
      <w:r w:rsidRPr="000648D4">
        <w:t>a</w:t>
      </w:r>
      <w:r w:rsidRPr="000648D4">
        <w:rPr>
          <w:color w:val="1F1F1F"/>
        </w:rPr>
        <w:t xml:space="preserve"> </w:t>
      </w:r>
      <w:r w:rsidRPr="000648D4">
        <w:t>pattern</w:t>
      </w:r>
      <w:r w:rsidRPr="000648D4">
        <w:rPr>
          <w:color w:val="1F1F1F"/>
        </w:rPr>
        <w:t xml:space="preserve"> </w:t>
      </w:r>
      <w:r w:rsidRPr="000648D4">
        <w:t>of</w:t>
      </w:r>
      <w:r w:rsidRPr="000648D4">
        <w:rPr>
          <w:color w:val="1F1F1F"/>
        </w:rPr>
        <w:t xml:space="preserve"> </w:t>
      </w:r>
      <w:r w:rsidRPr="000648D4">
        <w:t>gradual</w:t>
      </w:r>
      <w:r w:rsidRPr="000648D4">
        <w:rPr>
          <w:color w:val="1F1F1F"/>
        </w:rPr>
        <w:t xml:space="preserve"> </w:t>
      </w:r>
      <w:r w:rsidRPr="000648D4">
        <w:t>drift</w:t>
      </w:r>
      <w:r w:rsidRPr="000648D4">
        <w:rPr>
          <w:color w:val="1F1F1F"/>
        </w:rPr>
        <w:t xml:space="preserve"> </w:t>
      </w:r>
      <w:r w:rsidRPr="000648D4">
        <w:t>over</w:t>
      </w:r>
      <w:r w:rsidRPr="000648D4">
        <w:rPr>
          <w:color w:val="1F1F1F"/>
        </w:rPr>
        <w:t xml:space="preserve"> </w:t>
      </w:r>
      <w:r w:rsidRPr="000648D4">
        <w:t>time.</w:t>
      </w:r>
      <w:r>
        <w:rPr>
          <w:rFonts w:hint="eastAsia"/>
        </w:rPr>
        <w:t xml:space="preserve"> </w:t>
      </w:r>
    </w:p>
    <w:p w14:paraId="00459EA8" w14:textId="77777777" w:rsidR="00EE60D6" w:rsidRPr="000648D4" w:rsidRDefault="00EE60D6" w:rsidP="00EE60D6">
      <w:pPr>
        <w:rPr>
          <w:color w:val="1F1F1F"/>
        </w:rPr>
      </w:pPr>
    </w:p>
    <w:p w14:paraId="09E45007" w14:textId="77777777" w:rsidR="00EE60D6" w:rsidRPr="000648D4" w:rsidRDefault="00EE60D6" w:rsidP="00EE60D6">
      <w:pPr>
        <w:rPr>
          <w:color w:val="1F1F1F"/>
        </w:rPr>
      </w:pPr>
      <w:r w:rsidRPr="00B30149">
        <w:rPr>
          <w:b/>
          <w:bCs/>
        </w:rPr>
        <w:t>RQ2</w:t>
      </w:r>
      <w:r>
        <w:rPr>
          <w:rFonts w:hint="eastAsia"/>
          <w:b/>
          <w:bCs/>
        </w:rPr>
        <w:t>a</w:t>
      </w:r>
      <w:r w:rsidRPr="00B30149">
        <w:rPr>
          <w:rFonts w:hint="eastAsia"/>
          <w:b/>
          <w:bCs/>
        </w:rPr>
        <w:t>.</w:t>
      </w:r>
      <w:r w:rsidRPr="000648D4">
        <w:rPr>
          <w:color w:val="1F1F1F"/>
        </w:rPr>
        <w:t xml:space="preserve"> </w:t>
      </w:r>
      <w:r w:rsidRPr="000648D4">
        <w:t>Which</w:t>
      </w:r>
      <w:r w:rsidRPr="000648D4">
        <w:rPr>
          <w:color w:val="1F1F1F"/>
        </w:rPr>
        <w:t xml:space="preserve"> </w:t>
      </w:r>
      <w:r w:rsidRPr="000648D4">
        <w:t>party</w:t>
      </w:r>
      <w:r w:rsidRPr="000648D4">
        <w:rPr>
          <w:color w:val="1F1F1F"/>
        </w:rPr>
        <w:t xml:space="preserve"> </w:t>
      </w:r>
      <w:r w:rsidRPr="000648D4">
        <w:t>contributed</w:t>
      </w:r>
      <w:r w:rsidRPr="000648D4">
        <w:rPr>
          <w:color w:val="1F1F1F"/>
        </w:rPr>
        <w:t xml:space="preserve"> </w:t>
      </w:r>
      <w:r w:rsidRPr="000648D4">
        <w:t>more</w:t>
      </w:r>
      <w:r w:rsidRPr="000648D4">
        <w:rPr>
          <w:color w:val="1F1F1F"/>
        </w:rPr>
        <w:t xml:space="preserve"> </w:t>
      </w:r>
      <w:r w:rsidRPr="000648D4">
        <w:t>to</w:t>
      </w:r>
      <w:r w:rsidRPr="000648D4">
        <w:rPr>
          <w:color w:val="1F1F1F"/>
        </w:rPr>
        <w:t xml:space="preserve"> </w:t>
      </w:r>
      <w:r w:rsidRPr="000648D4">
        <w:t>the</w:t>
      </w:r>
      <w:r w:rsidRPr="000648D4">
        <w:rPr>
          <w:color w:val="1F1F1F"/>
        </w:rPr>
        <w:t xml:space="preserve"> </w:t>
      </w:r>
      <w:r w:rsidRPr="000648D4">
        <w:t>General</w:t>
      </w:r>
      <w:r w:rsidRPr="000648D4">
        <w:rPr>
          <w:color w:val="1F1F1F"/>
        </w:rPr>
        <w:t xml:space="preserve"> </w:t>
      </w:r>
      <w:r w:rsidRPr="000648D4">
        <w:t>Ukraine</w:t>
      </w:r>
      <w:r w:rsidRPr="000648D4">
        <w:rPr>
          <w:color w:val="1F1F1F"/>
        </w:rPr>
        <w:t xml:space="preserve"> </w:t>
      </w:r>
      <w:r w:rsidRPr="000648D4">
        <w:t>Aid</w:t>
      </w:r>
      <w:r w:rsidRPr="000648D4">
        <w:rPr>
          <w:color w:val="1F1F1F"/>
        </w:rPr>
        <w:t xml:space="preserve"> </w:t>
      </w:r>
      <w:r w:rsidRPr="000648D4">
        <w:t>Stance</w:t>
      </w:r>
      <w:r w:rsidRPr="000648D4">
        <w:rPr>
          <w:color w:val="1F1F1F"/>
        </w:rPr>
        <w:t xml:space="preserve"> </w:t>
      </w:r>
      <w:r w:rsidRPr="000648D4">
        <w:t>gap?</w:t>
      </w:r>
    </w:p>
    <w:p w14:paraId="16DECA7A" w14:textId="77777777" w:rsidR="00EE60D6" w:rsidRPr="000648D4" w:rsidRDefault="00EE60D6" w:rsidP="00EE60D6">
      <w:pPr>
        <w:ind w:left="720"/>
        <w:rPr>
          <w:color w:val="1F1F1F"/>
        </w:rPr>
      </w:pPr>
      <w:r w:rsidRPr="00B30149">
        <w:rPr>
          <w:i/>
          <w:iCs/>
        </w:rPr>
        <w:t>H2</w:t>
      </w:r>
      <w:r>
        <w:rPr>
          <w:rFonts w:hint="eastAsia"/>
          <w:i/>
          <w:iCs/>
        </w:rPr>
        <w:t>a</w:t>
      </w:r>
      <w:r w:rsidRPr="00B30149">
        <w:rPr>
          <w:i/>
          <w:iCs/>
        </w:rPr>
        <w:t>.</w:t>
      </w:r>
      <w:r w:rsidRPr="000648D4">
        <w:rPr>
          <w:color w:val="1F1F1F"/>
        </w:rPr>
        <w:t xml:space="preserve"> </w:t>
      </w:r>
      <w:r w:rsidRPr="000648D4">
        <w:t>Polarization</w:t>
      </w:r>
      <w:r w:rsidRPr="000648D4">
        <w:rPr>
          <w:color w:val="1F1F1F"/>
        </w:rPr>
        <w:t xml:space="preserve"> </w:t>
      </w:r>
      <w:r w:rsidRPr="000648D4">
        <w:t>was</w:t>
      </w:r>
      <w:r w:rsidRPr="000648D4">
        <w:rPr>
          <w:color w:val="1F1F1F"/>
        </w:rPr>
        <w:t xml:space="preserve"> </w:t>
      </w:r>
      <w:r w:rsidRPr="000648D4">
        <w:t>driven</w:t>
      </w:r>
      <w:r w:rsidRPr="000648D4">
        <w:rPr>
          <w:color w:val="1F1F1F"/>
        </w:rPr>
        <w:t xml:space="preserve"> </w:t>
      </w:r>
      <w:r w:rsidRPr="000648D4">
        <w:t>asymmetrically,</w:t>
      </w:r>
      <w:r w:rsidRPr="000648D4">
        <w:rPr>
          <w:color w:val="1F1F1F"/>
        </w:rPr>
        <w:t xml:space="preserve"> </w:t>
      </w:r>
      <w:r w:rsidRPr="000648D4">
        <w:t>with</w:t>
      </w:r>
      <w:r w:rsidRPr="000648D4">
        <w:rPr>
          <w:color w:val="1F1F1F"/>
        </w:rPr>
        <w:t xml:space="preserve"> </w:t>
      </w:r>
      <w:r w:rsidRPr="000648D4">
        <w:t>Republicans</w:t>
      </w:r>
      <w:r w:rsidRPr="000648D4">
        <w:rPr>
          <w:color w:val="1F1F1F"/>
        </w:rPr>
        <w:t xml:space="preserve"> </w:t>
      </w:r>
      <w:r w:rsidRPr="000648D4">
        <w:t>exhibiting</w:t>
      </w:r>
      <w:r w:rsidRPr="000648D4">
        <w:rPr>
          <w:color w:val="1F1F1F"/>
        </w:rPr>
        <w:t xml:space="preserve"> </w:t>
      </w:r>
      <w:r w:rsidRPr="000648D4">
        <w:t>greater</w:t>
      </w:r>
      <w:r w:rsidRPr="000648D4">
        <w:rPr>
          <w:color w:val="1F1F1F"/>
        </w:rPr>
        <w:t xml:space="preserve"> </w:t>
      </w:r>
      <w:r w:rsidRPr="000648D4">
        <w:t>positional</w:t>
      </w:r>
      <w:r w:rsidRPr="000648D4">
        <w:rPr>
          <w:color w:val="1F1F1F"/>
        </w:rPr>
        <w:t xml:space="preserve"> </w:t>
      </w:r>
      <w:r w:rsidRPr="000648D4">
        <w:t>movement</w:t>
      </w:r>
      <w:r w:rsidRPr="000648D4">
        <w:rPr>
          <w:color w:val="1F1F1F"/>
        </w:rPr>
        <w:t xml:space="preserve"> </w:t>
      </w:r>
      <w:r w:rsidRPr="000648D4">
        <w:t>toward</w:t>
      </w:r>
      <w:r w:rsidRPr="000648D4">
        <w:rPr>
          <w:color w:val="1F1F1F"/>
        </w:rPr>
        <w:t xml:space="preserve"> </w:t>
      </w:r>
      <w:r w:rsidRPr="000648D4">
        <w:t>opposition</w:t>
      </w:r>
      <w:r w:rsidRPr="000648D4">
        <w:rPr>
          <w:color w:val="1F1F1F"/>
        </w:rPr>
        <w:t xml:space="preserve"> </w:t>
      </w:r>
      <w:r w:rsidRPr="000648D4">
        <w:t>than</w:t>
      </w:r>
      <w:r w:rsidRPr="000648D4">
        <w:rPr>
          <w:color w:val="1F1F1F"/>
        </w:rPr>
        <w:t xml:space="preserve"> </w:t>
      </w:r>
      <w:r w:rsidRPr="000648D4">
        <w:t>Democrats,</w:t>
      </w:r>
      <w:r w:rsidRPr="000648D4">
        <w:rPr>
          <w:color w:val="1F1F1F"/>
        </w:rPr>
        <w:t xml:space="preserve"> </w:t>
      </w:r>
      <w:r w:rsidRPr="000648D4">
        <w:t>consistent</w:t>
      </w:r>
      <w:r w:rsidRPr="000648D4">
        <w:rPr>
          <w:color w:val="1F1F1F"/>
        </w:rPr>
        <w:t xml:space="preserve"> </w:t>
      </w:r>
      <w:r w:rsidRPr="000648D4">
        <w:t>with</w:t>
      </w:r>
      <w:r w:rsidRPr="000648D4">
        <w:rPr>
          <w:color w:val="1F1F1F"/>
        </w:rPr>
        <w:t xml:space="preserve"> </w:t>
      </w:r>
      <w:r w:rsidRPr="000648D4">
        <w:t>minority</w:t>
      </w:r>
      <w:r w:rsidRPr="000648D4">
        <w:rPr>
          <w:color w:val="1F1F1F"/>
        </w:rPr>
        <w:t xml:space="preserve"> </w:t>
      </w:r>
      <w:r w:rsidRPr="000648D4">
        <w:t>party</w:t>
      </w:r>
      <w:r w:rsidRPr="000648D4">
        <w:rPr>
          <w:color w:val="1F1F1F"/>
        </w:rPr>
        <w:t xml:space="preserve"> </w:t>
      </w:r>
      <w:r w:rsidRPr="000648D4">
        <w:t>incentives</w:t>
      </w:r>
      <w:r w:rsidRPr="000648D4">
        <w:rPr>
          <w:color w:val="1F1F1F"/>
        </w:rPr>
        <w:t xml:space="preserve"> </w:t>
      </w:r>
      <w:r w:rsidRPr="000648D4">
        <w:t>to</w:t>
      </w:r>
      <w:r w:rsidRPr="000648D4">
        <w:rPr>
          <w:color w:val="1F1F1F"/>
        </w:rPr>
        <w:t xml:space="preserve"> </w:t>
      </w:r>
      <w:r w:rsidRPr="000648D4">
        <w:t>differentiate</w:t>
      </w:r>
      <w:r w:rsidRPr="000648D4">
        <w:rPr>
          <w:color w:val="1F1F1F"/>
        </w:rPr>
        <w:t xml:space="preserve"> </w:t>
      </w:r>
      <w:r w:rsidRPr="000648D4">
        <w:t>on</w:t>
      </w:r>
      <w:r w:rsidRPr="000648D4">
        <w:rPr>
          <w:color w:val="1F1F1F"/>
        </w:rPr>
        <w:t xml:space="preserve"> </w:t>
      </w:r>
      <w:r w:rsidRPr="000648D4">
        <w:t>emerging</w:t>
      </w:r>
      <w:r w:rsidRPr="000648D4">
        <w:rPr>
          <w:color w:val="1F1F1F"/>
        </w:rPr>
        <w:t xml:space="preserve"> </w:t>
      </w:r>
      <w:r w:rsidRPr="000648D4">
        <w:t>issues.</w:t>
      </w:r>
    </w:p>
    <w:p w14:paraId="7C0A796F" w14:textId="77777777" w:rsidR="00EE60D6" w:rsidRDefault="00EE60D6" w:rsidP="00EE60D6">
      <w:pPr>
        <w:rPr>
          <w:b/>
          <w:bCs/>
        </w:rPr>
      </w:pPr>
    </w:p>
    <w:p w14:paraId="38E18116" w14:textId="77777777" w:rsidR="00EE60D6" w:rsidRDefault="00EE60D6" w:rsidP="00EE60D6">
      <w:r w:rsidRPr="00503AAB">
        <w:rPr>
          <w:b/>
          <w:bCs/>
        </w:rPr>
        <w:t>RQ2</w:t>
      </w:r>
      <w:r>
        <w:rPr>
          <w:rFonts w:hint="eastAsia"/>
          <w:b/>
          <w:bCs/>
        </w:rPr>
        <w:t>b</w:t>
      </w:r>
      <w:r w:rsidRPr="00503AAB">
        <w:rPr>
          <w:rFonts w:hint="eastAsia"/>
          <w:b/>
          <w:bCs/>
        </w:rPr>
        <w:t>.</w:t>
      </w:r>
      <w:r w:rsidRPr="000648D4">
        <w:rPr>
          <w:color w:val="1F1F1F"/>
        </w:rPr>
        <w:t xml:space="preserve"> </w:t>
      </w:r>
      <w:r w:rsidRPr="000648D4">
        <w:t>How</w:t>
      </w:r>
      <w:r w:rsidRPr="000648D4">
        <w:rPr>
          <w:color w:val="1F1F1F"/>
        </w:rPr>
        <w:t xml:space="preserve"> </w:t>
      </w:r>
      <w:r w:rsidRPr="000648D4">
        <w:t>did</w:t>
      </w:r>
      <w:r w:rsidRPr="000648D4">
        <w:rPr>
          <w:color w:val="1F1F1F"/>
        </w:rPr>
        <w:t xml:space="preserve"> </w:t>
      </w:r>
      <w:r w:rsidRPr="000648D4">
        <w:t>Ukraine</w:t>
      </w:r>
      <w:r w:rsidRPr="000648D4">
        <w:rPr>
          <w:color w:val="1F1F1F"/>
        </w:rPr>
        <w:t xml:space="preserve"> </w:t>
      </w:r>
      <w:r w:rsidRPr="000648D4">
        <w:t>Characterization,</w:t>
      </w:r>
      <w:r w:rsidRPr="000648D4">
        <w:rPr>
          <w:color w:val="1F1F1F"/>
        </w:rPr>
        <w:t xml:space="preserve"> </w:t>
      </w:r>
      <w:r>
        <w:t>Threat Priority</w:t>
      </w:r>
      <w:r w:rsidRPr="000648D4">
        <w:t>,</w:t>
      </w:r>
      <w:r w:rsidRPr="000648D4">
        <w:rPr>
          <w:color w:val="1F1F1F"/>
        </w:rPr>
        <w:t xml:space="preserve"> </w:t>
      </w:r>
      <w:r w:rsidRPr="000648D4">
        <w:t>and</w:t>
      </w:r>
      <w:r w:rsidRPr="000648D4">
        <w:rPr>
          <w:color w:val="1F1F1F"/>
        </w:rPr>
        <w:t xml:space="preserve"> </w:t>
      </w:r>
      <w:r w:rsidRPr="000648D4">
        <w:t>Resource</w:t>
      </w:r>
      <w:r w:rsidRPr="000648D4">
        <w:rPr>
          <w:color w:val="1F1F1F"/>
        </w:rPr>
        <w:t xml:space="preserve"> </w:t>
      </w:r>
      <w:r w:rsidRPr="000648D4">
        <w:t>Allocation</w:t>
      </w:r>
      <w:r w:rsidRPr="000648D4">
        <w:rPr>
          <w:color w:val="1F1F1F"/>
        </w:rPr>
        <w:t xml:space="preserve"> </w:t>
      </w:r>
      <w:r w:rsidRPr="000648D4">
        <w:t>align</w:t>
      </w:r>
      <w:r w:rsidRPr="000648D4">
        <w:rPr>
          <w:color w:val="1F1F1F"/>
        </w:rPr>
        <w:t xml:space="preserve"> </w:t>
      </w:r>
      <w:r w:rsidRPr="000648D4">
        <w:t>contemporaneously</w:t>
      </w:r>
      <w:r w:rsidRPr="000648D4">
        <w:rPr>
          <w:color w:val="1F1F1F"/>
        </w:rPr>
        <w:t xml:space="preserve"> </w:t>
      </w:r>
      <w:r w:rsidRPr="000648D4">
        <w:t>with</w:t>
      </w:r>
      <w:r w:rsidRPr="000648D4">
        <w:rPr>
          <w:color w:val="1F1F1F"/>
        </w:rPr>
        <w:t xml:space="preserve"> </w:t>
      </w:r>
      <w:r w:rsidRPr="000648D4">
        <w:t>General</w:t>
      </w:r>
      <w:r w:rsidRPr="000648D4">
        <w:rPr>
          <w:color w:val="1F1F1F"/>
        </w:rPr>
        <w:t xml:space="preserve"> </w:t>
      </w:r>
      <w:r w:rsidRPr="000648D4">
        <w:t>Ukraine</w:t>
      </w:r>
      <w:r w:rsidRPr="000648D4">
        <w:rPr>
          <w:color w:val="1F1F1F"/>
        </w:rPr>
        <w:t xml:space="preserve"> </w:t>
      </w:r>
      <w:r w:rsidRPr="000648D4">
        <w:t>Aid</w:t>
      </w:r>
      <w:r w:rsidRPr="000648D4">
        <w:rPr>
          <w:color w:val="1F1F1F"/>
        </w:rPr>
        <w:t xml:space="preserve"> </w:t>
      </w:r>
      <w:r w:rsidRPr="000648D4">
        <w:t>Stance</w:t>
      </w:r>
      <w:r w:rsidRPr="000648D4">
        <w:rPr>
          <w:color w:val="1F1F1F"/>
        </w:rPr>
        <w:t xml:space="preserve"> </w:t>
      </w:r>
      <w:r w:rsidRPr="000648D4">
        <w:t>polarization?</w:t>
      </w:r>
    </w:p>
    <w:p w14:paraId="3E21FE7C" w14:textId="77777777" w:rsidR="00EE60D6" w:rsidRPr="000E5FA8" w:rsidRDefault="00EE60D6" w:rsidP="00EE60D6">
      <w:pPr>
        <w:ind w:left="720"/>
      </w:pPr>
      <w:r w:rsidRPr="00B30149">
        <w:rPr>
          <w:i/>
          <w:iCs/>
        </w:rPr>
        <w:t>H2</w:t>
      </w:r>
      <w:r>
        <w:rPr>
          <w:rFonts w:hint="eastAsia"/>
          <w:i/>
          <w:iCs/>
        </w:rPr>
        <w:t>b</w:t>
      </w:r>
      <w:r w:rsidRPr="00B30149">
        <w:rPr>
          <w:i/>
          <w:iCs/>
        </w:rPr>
        <w:t>.</w:t>
      </w:r>
      <w:r w:rsidRPr="000648D4">
        <w:rPr>
          <w:color w:val="1F1F1F"/>
        </w:rPr>
        <w:t xml:space="preserve"> </w:t>
      </w:r>
      <w:r w:rsidRPr="00B643ED">
        <w:t xml:space="preserve">Among the </w:t>
      </w:r>
      <w:r>
        <w:rPr>
          <w:rFonts w:hint="eastAsia"/>
        </w:rPr>
        <w:t>explanatory</w:t>
      </w:r>
      <w:r w:rsidRPr="00B643ED">
        <w:t xml:space="preserve"> dimensions (</w:t>
      </w:r>
      <w:r w:rsidRPr="000648D4">
        <w:t>Ukraine</w:t>
      </w:r>
      <w:r w:rsidRPr="000648D4">
        <w:rPr>
          <w:color w:val="1F1F1F"/>
        </w:rPr>
        <w:t xml:space="preserve"> </w:t>
      </w:r>
      <w:r w:rsidRPr="000648D4">
        <w:t>Characterization,</w:t>
      </w:r>
      <w:r w:rsidRPr="000648D4">
        <w:rPr>
          <w:color w:val="1F1F1F"/>
        </w:rPr>
        <w:t xml:space="preserve"> </w:t>
      </w:r>
      <w:r>
        <w:t>Threat Priority</w:t>
      </w:r>
      <w:r w:rsidRPr="000648D4">
        <w:t>,</w:t>
      </w:r>
      <w:r w:rsidRPr="000648D4">
        <w:rPr>
          <w:color w:val="1F1F1F"/>
        </w:rPr>
        <w:t xml:space="preserve"> </w:t>
      </w:r>
      <w:r w:rsidRPr="000648D4">
        <w:t>and</w:t>
      </w:r>
      <w:r w:rsidRPr="000648D4">
        <w:rPr>
          <w:color w:val="1F1F1F"/>
        </w:rPr>
        <w:t xml:space="preserve"> </w:t>
      </w:r>
      <w:r w:rsidRPr="000648D4">
        <w:t>Resource</w:t>
      </w:r>
      <w:r w:rsidRPr="000648D4">
        <w:rPr>
          <w:color w:val="1F1F1F"/>
        </w:rPr>
        <w:t xml:space="preserve"> </w:t>
      </w:r>
      <w:r w:rsidRPr="000648D4">
        <w:t>Allocation</w:t>
      </w:r>
      <w:r w:rsidRPr="00B643ED">
        <w:t xml:space="preserve">), </w:t>
      </w:r>
      <w:r>
        <w:rPr>
          <w:rFonts w:hint="eastAsia"/>
        </w:rPr>
        <w:t>R</w:t>
      </w:r>
      <w:r w:rsidRPr="00B643ED">
        <w:t xml:space="preserve">esource </w:t>
      </w:r>
      <w:r>
        <w:rPr>
          <w:rFonts w:hint="eastAsia"/>
        </w:rPr>
        <w:t>A</w:t>
      </w:r>
      <w:r w:rsidRPr="00B643ED">
        <w:t xml:space="preserve">llocation framing </w:t>
      </w:r>
      <w:r>
        <w:rPr>
          <w:rFonts w:hint="eastAsia"/>
        </w:rPr>
        <w:t>aligns most</w:t>
      </w:r>
      <w:r w:rsidRPr="00B643ED">
        <w:t xml:space="preserve"> strongly </w:t>
      </w:r>
      <w:r>
        <w:rPr>
          <w:rFonts w:hint="eastAsia"/>
        </w:rPr>
        <w:t xml:space="preserve">temporally to the </w:t>
      </w:r>
      <w:r w:rsidRPr="00B643ED">
        <w:t xml:space="preserve">polarization on </w:t>
      </w:r>
      <w:r>
        <w:rPr>
          <w:rFonts w:hint="eastAsia"/>
        </w:rPr>
        <w:t>General</w:t>
      </w:r>
      <w:r w:rsidRPr="00B643ED">
        <w:t xml:space="preserve"> </w:t>
      </w:r>
      <w:r>
        <w:rPr>
          <w:rFonts w:hint="eastAsia"/>
        </w:rPr>
        <w:t>Aid</w:t>
      </w:r>
      <w:r w:rsidRPr="00B643ED">
        <w:t xml:space="preserve"> </w:t>
      </w:r>
      <w:r>
        <w:rPr>
          <w:rFonts w:hint="eastAsia"/>
        </w:rPr>
        <w:t>Stance.</w:t>
      </w:r>
    </w:p>
    <w:p w14:paraId="392CBE8D" w14:textId="77777777" w:rsidR="00EE60D6" w:rsidRPr="000648D4" w:rsidRDefault="00EE60D6" w:rsidP="00EE60D6">
      <w:pPr>
        <w:rPr>
          <w:color w:val="1F1F1F"/>
        </w:rPr>
      </w:pPr>
    </w:p>
    <w:p w14:paraId="04970975" w14:textId="77777777" w:rsidR="00EE60D6" w:rsidRPr="000648D4" w:rsidRDefault="00EE60D6" w:rsidP="00EE60D6">
      <w:pPr>
        <w:rPr>
          <w:color w:val="1F1F1F"/>
        </w:rPr>
      </w:pPr>
      <w:r w:rsidRPr="008070A4">
        <w:rPr>
          <w:b/>
          <w:bCs/>
        </w:rPr>
        <w:t>RQ3.</w:t>
      </w:r>
      <w:r w:rsidRPr="000648D4">
        <w:rPr>
          <w:color w:val="1F1F1F"/>
        </w:rPr>
        <w:t xml:space="preserve"> </w:t>
      </w:r>
      <w:r w:rsidRPr="000648D4">
        <w:t>How</w:t>
      </w:r>
      <w:r w:rsidRPr="000648D4">
        <w:rPr>
          <w:color w:val="1F1F1F"/>
        </w:rPr>
        <w:t xml:space="preserve"> </w:t>
      </w:r>
      <w:r w:rsidRPr="000648D4">
        <w:t>is</w:t>
      </w:r>
      <w:r w:rsidRPr="000648D4">
        <w:rPr>
          <w:color w:val="1F1F1F"/>
        </w:rPr>
        <w:t xml:space="preserve"> </w:t>
      </w:r>
      <w:r w:rsidRPr="000648D4">
        <w:t>General</w:t>
      </w:r>
      <w:r w:rsidRPr="000648D4">
        <w:rPr>
          <w:color w:val="1F1F1F"/>
        </w:rPr>
        <w:t xml:space="preserve"> </w:t>
      </w:r>
      <w:r w:rsidRPr="000648D4">
        <w:t>Ukraine</w:t>
      </w:r>
      <w:r w:rsidRPr="000648D4">
        <w:rPr>
          <w:color w:val="1F1F1F"/>
        </w:rPr>
        <w:t xml:space="preserve"> </w:t>
      </w:r>
      <w:r w:rsidRPr="000648D4">
        <w:t>Aid</w:t>
      </w:r>
      <w:r w:rsidRPr="000648D4">
        <w:rPr>
          <w:color w:val="1F1F1F"/>
        </w:rPr>
        <w:t xml:space="preserve"> </w:t>
      </w:r>
      <w:r w:rsidRPr="000648D4">
        <w:t>Stance</w:t>
      </w:r>
      <w:r w:rsidRPr="000648D4">
        <w:rPr>
          <w:color w:val="1F1F1F"/>
        </w:rPr>
        <w:t xml:space="preserve"> </w:t>
      </w:r>
      <w:r w:rsidRPr="000648D4">
        <w:t>polarization</w:t>
      </w:r>
      <w:r w:rsidRPr="000648D4">
        <w:rPr>
          <w:color w:val="1F1F1F"/>
        </w:rPr>
        <w:t xml:space="preserve"> </w:t>
      </w:r>
      <w:r w:rsidRPr="000648D4">
        <w:t>related</w:t>
      </w:r>
      <w:r w:rsidRPr="000648D4">
        <w:rPr>
          <w:color w:val="1F1F1F"/>
        </w:rPr>
        <w:t xml:space="preserve"> </w:t>
      </w:r>
      <w:r w:rsidRPr="000648D4">
        <w:t>to</w:t>
      </w:r>
      <w:r w:rsidRPr="000648D4">
        <w:rPr>
          <w:color w:val="1F1F1F"/>
        </w:rPr>
        <w:t xml:space="preserve"> </w:t>
      </w:r>
      <w:r w:rsidRPr="000648D4">
        <w:t>Republican</w:t>
      </w:r>
      <w:r w:rsidRPr="000648D4">
        <w:rPr>
          <w:color w:val="1F1F1F"/>
        </w:rPr>
        <w:t xml:space="preserve"> </w:t>
      </w:r>
      <w:r w:rsidRPr="000648D4">
        <w:t>and</w:t>
      </w:r>
      <w:r w:rsidRPr="000648D4">
        <w:rPr>
          <w:color w:val="1F1F1F"/>
        </w:rPr>
        <w:t xml:space="preserve"> </w:t>
      </w:r>
      <w:r w:rsidRPr="000648D4">
        <w:t>Democratic</w:t>
      </w:r>
      <w:r w:rsidRPr="000648D4">
        <w:rPr>
          <w:color w:val="1F1F1F"/>
        </w:rPr>
        <w:t xml:space="preserve"> </w:t>
      </w:r>
      <w:r w:rsidRPr="000648D4">
        <w:t>message</w:t>
      </w:r>
      <w:r w:rsidRPr="000648D4">
        <w:rPr>
          <w:color w:val="1F1F1F"/>
        </w:rPr>
        <w:t xml:space="preserve"> </w:t>
      </w:r>
      <w:r w:rsidRPr="000648D4">
        <w:t>coherence?</w:t>
      </w:r>
      <w:r>
        <w:rPr>
          <w:rFonts w:hint="eastAsia"/>
        </w:rPr>
        <w:t xml:space="preserve"> </w:t>
      </w:r>
    </w:p>
    <w:p w14:paraId="31528600" w14:textId="77777777" w:rsidR="00EE60D6" w:rsidRPr="000648D4" w:rsidRDefault="00EE60D6" w:rsidP="00EE60D6">
      <w:pPr>
        <w:ind w:left="720"/>
        <w:rPr>
          <w:color w:val="1F1F1F"/>
        </w:rPr>
      </w:pPr>
      <w:r w:rsidRPr="008070A4">
        <w:rPr>
          <w:i/>
          <w:iCs/>
        </w:rPr>
        <w:t>H3.</w:t>
      </w:r>
      <w:r w:rsidRPr="000648D4">
        <w:rPr>
          <w:color w:val="1F1F1F"/>
        </w:rPr>
        <w:t xml:space="preserve"> </w:t>
      </w:r>
      <w:r w:rsidRPr="000648D4">
        <w:t>As</w:t>
      </w:r>
      <w:r w:rsidRPr="000648D4">
        <w:rPr>
          <w:color w:val="1F1F1F"/>
        </w:rPr>
        <w:t xml:space="preserve"> </w:t>
      </w:r>
      <w:r w:rsidRPr="000648D4">
        <w:t>polarization</w:t>
      </w:r>
      <w:r w:rsidRPr="000648D4">
        <w:rPr>
          <w:color w:val="1F1F1F"/>
        </w:rPr>
        <w:t xml:space="preserve"> </w:t>
      </w:r>
      <w:r>
        <w:t>moves on the temporal trajectory</w:t>
      </w:r>
      <w:r w:rsidRPr="000648D4">
        <w:t>,</w:t>
      </w:r>
      <w:r w:rsidRPr="000648D4">
        <w:rPr>
          <w:color w:val="1F1F1F"/>
        </w:rPr>
        <w:t xml:space="preserve"> </w:t>
      </w:r>
      <w:r>
        <w:rPr>
          <w:color w:val="1F1F1F"/>
        </w:rPr>
        <w:t xml:space="preserve">both </w:t>
      </w:r>
      <w:r>
        <w:t xml:space="preserve">party’s within-party coherence also moves with it contemporaneous. </w:t>
      </w:r>
    </w:p>
    <w:p w14:paraId="45EB8631" w14:textId="77777777" w:rsidR="00EE60D6" w:rsidRPr="00E96D0F" w:rsidRDefault="00EE60D6" w:rsidP="00EE60D6">
      <w:pPr>
        <w:rPr>
          <w:color w:val="1F1F1F"/>
        </w:rPr>
      </w:pPr>
    </w:p>
    <w:p w14:paraId="7787D79F" w14:textId="77777777" w:rsidR="00EE60D6" w:rsidRDefault="00EE60D6" w:rsidP="00EE60D6">
      <w:r w:rsidRPr="007C5C1D">
        <w:rPr>
          <w:b/>
          <w:bCs/>
        </w:rPr>
        <w:t>RQ</w:t>
      </w:r>
      <w:r>
        <w:rPr>
          <w:rFonts w:hint="eastAsia"/>
          <w:b/>
          <w:bCs/>
        </w:rPr>
        <w:t>4</w:t>
      </w:r>
      <w:r w:rsidRPr="007C5C1D">
        <w:rPr>
          <w:b/>
          <w:bCs/>
        </w:rPr>
        <w:t>.</w:t>
      </w:r>
      <w:r w:rsidRPr="007C5C1D">
        <w:rPr>
          <w:b/>
          <w:bCs/>
          <w:color w:val="1F1F1F"/>
        </w:rPr>
        <w:t xml:space="preserve"> </w:t>
      </w:r>
      <w:r w:rsidRPr="000648D4">
        <w:t>How</w:t>
      </w:r>
      <w:r w:rsidRPr="000648D4">
        <w:rPr>
          <w:color w:val="1F1F1F"/>
        </w:rPr>
        <w:t xml:space="preserve"> </w:t>
      </w:r>
      <w:r w:rsidRPr="000648D4">
        <w:t>did</w:t>
      </w:r>
      <w:r w:rsidRPr="000648D4">
        <w:rPr>
          <w:color w:val="1F1F1F"/>
        </w:rPr>
        <w:t xml:space="preserve"> </w:t>
      </w:r>
      <w:r w:rsidRPr="000648D4">
        <w:t>the</w:t>
      </w:r>
      <w:r w:rsidRPr="000648D4">
        <w:rPr>
          <w:color w:val="1F1F1F"/>
        </w:rPr>
        <w:t xml:space="preserve"> </w:t>
      </w:r>
      <w:r w:rsidRPr="000648D4">
        <w:t>Party</w:t>
      </w:r>
      <w:r w:rsidRPr="000648D4">
        <w:rPr>
          <w:color w:val="1F1F1F"/>
        </w:rPr>
        <w:t xml:space="preserve"> </w:t>
      </w:r>
      <w:r w:rsidRPr="000648D4">
        <w:t>Brand</w:t>
      </w:r>
      <w:r w:rsidRPr="000648D4">
        <w:rPr>
          <w:color w:val="1F1F1F"/>
        </w:rPr>
        <w:t xml:space="preserve"> </w:t>
      </w:r>
      <w:r w:rsidRPr="000648D4">
        <w:t>Index</w:t>
      </w:r>
      <w:r w:rsidRPr="000648D4">
        <w:rPr>
          <w:color w:val="1F1F1F"/>
        </w:rPr>
        <w:t xml:space="preserve"> </w:t>
      </w:r>
      <w:r w:rsidRPr="000648D4">
        <w:t>evolve</w:t>
      </w:r>
      <w:r w:rsidRPr="000648D4">
        <w:rPr>
          <w:color w:val="1F1F1F"/>
        </w:rPr>
        <w:t xml:space="preserve"> </w:t>
      </w:r>
      <w:r w:rsidRPr="000648D4">
        <w:t>over</w:t>
      </w:r>
      <w:r w:rsidRPr="000648D4">
        <w:rPr>
          <w:color w:val="1F1F1F"/>
        </w:rPr>
        <w:t xml:space="preserve"> </w:t>
      </w:r>
      <w:r w:rsidRPr="000648D4">
        <w:t>the</w:t>
      </w:r>
      <w:r w:rsidRPr="000648D4">
        <w:rPr>
          <w:color w:val="1F1F1F"/>
        </w:rPr>
        <w:t xml:space="preserve"> </w:t>
      </w:r>
      <w:r w:rsidRPr="000648D4">
        <w:t>study</w:t>
      </w:r>
      <w:r w:rsidRPr="000648D4">
        <w:rPr>
          <w:color w:val="1F1F1F"/>
        </w:rPr>
        <w:t xml:space="preserve"> </w:t>
      </w:r>
      <w:r w:rsidRPr="000648D4">
        <w:t>period,</w:t>
      </w:r>
      <w:r w:rsidRPr="000648D4">
        <w:rPr>
          <w:color w:val="1F1F1F"/>
        </w:rPr>
        <w:t xml:space="preserve"> </w:t>
      </w:r>
      <w:r w:rsidRPr="000648D4">
        <w:t>and</w:t>
      </w:r>
      <w:r w:rsidRPr="000648D4">
        <w:rPr>
          <w:color w:val="1F1F1F"/>
        </w:rPr>
        <w:t xml:space="preserve"> </w:t>
      </w:r>
      <w:r w:rsidRPr="000648D4">
        <w:t>what</w:t>
      </w:r>
      <w:r w:rsidRPr="000648D4">
        <w:rPr>
          <w:color w:val="1F1F1F"/>
        </w:rPr>
        <w:t xml:space="preserve"> </w:t>
      </w:r>
      <w:r w:rsidRPr="000648D4">
        <w:t>temporal</w:t>
      </w:r>
      <w:r w:rsidRPr="000648D4">
        <w:rPr>
          <w:color w:val="1F1F1F"/>
        </w:rPr>
        <w:t xml:space="preserve"> </w:t>
      </w:r>
      <w:r w:rsidRPr="000648D4">
        <w:t>changes</w:t>
      </w:r>
      <w:r w:rsidRPr="000648D4">
        <w:rPr>
          <w:color w:val="1F1F1F"/>
        </w:rPr>
        <w:t xml:space="preserve"> </w:t>
      </w:r>
      <w:r w:rsidRPr="000648D4">
        <w:t>characterized</w:t>
      </w:r>
      <w:r w:rsidRPr="000648D4">
        <w:rPr>
          <w:color w:val="1F1F1F"/>
        </w:rPr>
        <w:t xml:space="preserve"> </w:t>
      </w:r>
      <w:r w:rsidRPr="000648D4">
        <w:t>its</w:t>
      </w:r>
      <w:r w:rsidRPr="000648D4">
        <w:rPr>
          <w:color w:val="1F1F1F"/>
        </w:rPr>
        <w:t xml:space="preserve"> </w:t>
      </w:r>
      <w:r w:rsidRPr="000648D4">
        <w:t>trajectory?</w:t>
      </w:r>
    </w:p>
    <w:p w14:paraId="3167D617" w14:textId="77777777" w:rsidR="00EE60D6" w:rsidRDefault="00EE60D6" w:rsidP="00EE60D6"/>
    <w:p w14:paraId="778CF669" w14:textId="77777777" w:rsidR="00EE60D6" w:rsidRPr="008F63D2" w:rsidRDefault="00EE60D6" w:rsidP="00EE60D6">
      <w:r>
        <w:rPr>
          <w:rFonts w:hint="eastAsia"/>
        </w:rPr>
        <w:t>Overall, our empirical point of interest is how parties are represented in news sentences, as annotated by LLMs and by the four aforementioned dimensions. As we detail later in Method, w</w:t>
      </w:r>
      <w:r>
        <w:t xml:space="preserve">e </w:t>
      </w:r>
      <w:r>
        <w:rPr>
          <w:rFonts w:hint="eastAsia"/>
        </w:rPr>
        <w:t xml:space="preserve">build the necessary empirical measurement in three stages. </w:t>
      </w:r>
      <w:r>
        <w:t xml:space="preserve">We annotated individual sentences on four dimensions, averaged </w:t>
      </w:r>
      <w:r>
        <w:lastRenderedPageBreak/>
        <w:t xml:space="preserve">those annotations within each article so that an article contributes one observation per party and dimension rather than one observation per sentence, and then aggregated articles into monthly series. </w:t>
      </w:r>
    </w:p>
    <w:p w14:paraId="75D613FA" w14:textId="77777777" w:rsidR="00EE60D6" w:rsidRDefault="00EE60D6" w:rsidP="00EE60D6">
      <w:pPr>
        <w:pStyle w:val="1"/>
      </w:pPr>
      <w:bookmarkStart w:id="2" w:name="_Hlk238403493"/>
      <w:r>
        <w:t>Method</w:t>
      </w:r>
    </w:p>
    <w:p w14:paraId="30C944FF" w14:textId="77777777" w:rsidR="00EE60D6" w:rsidRDefault="00EE60D6" w:rsidP="00EE60D6">
      <w:pPr>
        <w:pStyle w:val="2"/>
      </w:pPr>
      <w:r>
        <w:t>Data</w:t>
      </w:r>
    </w:p>
    <w:p w14:paraId="3468C91F" w14:textId="77777777" w:rsidR="00EE60D6" w:rsidRDefault="00EE60D6" w:rsidP="00EE60D6">
      <w:r>
        <w:rPr>
          <w:rFonts w:hint="eastAsia"/>
        </w:rPr>
        <w:t xml:space="preserve">We </w:t>
      </w:r>
      <w:r>
        <w:t>retrieved</w:t>
      </w:r>
      <w:r>
        <w:rPr>
          <w:rFonts w:hint="eastAsia"/>
        </w:rPr>
        <w:t xml:space="preserve"> United States news articles published between March 2022 and December 2024 from Factiva. To identify coverage in which the war was not a passing reference, we required each article to mention Ukraine-related terms at least five times. To identify coverage in which party elite were connected to the Ukraine-related term, we required at least one reference to a U.S. party </w:t>
      </w:r>
      <w:r>
        <w:t>institut</w:t>
      </w:r>
      <w:r>
        <w:rPr>
          <w:rFonts w:hint="eastAsia"/>
        </w:rPr>
        <w:t xml:space="preserve">ion or elite. We excluded press releases, regulatory filings, and congressional, government </w:t>
      </w:r>
      <w:r>
        <w:t>documents</w:t>
      </w:r>
      <w:r>
        <w:rPr>
          <w:rFonts w:hint="eastAsia"/>
        </w:rPr>
        <w:t xml:space="preserve"> and wire services to focus solely on media representation of party positions rather than direct communication. We removed exact duplicate articles within Factiva and performed further deduplication by matching article titles and body content. The initial query return 24,721 articles and 23,630 articles after both deduplication. </w:t>
      </w:r>
    </w:p>
    <w:p w14:paraId="32F885FA" w14:textId="77777777" w:rsidR="00EE60D6" w:rsidRDefault="00EE60D6" w:rsidP="00EE60D6"/>
    <w:p w14:paraId="033887E3" w14:textId="77777777" w:rsidR="00EE60D6" w:rsidRDefault="00EE60D6" w:rsidP="00EE60D6">
      <w:r>
        <w:rPr>
          <w:rFonts w:hint="eastAsia"/>
        </w:rPr>
        <w:t>The studied period captured</w:t>
      </w:r>
      <w:r w:rsidRPr="00BB3A14">
        <w:t xml:space="preserve"> key legislative debates</w:t>
      </w:r>
      <w:r>
        <w:rPr>
          <w:rFonts w:hint="eastAsia"/>
        </w:rPr>
        <w:t xml:space="preserve"> between the two parties,</w:t>
      </w:r>
      <w:r w:rsidRPr="00BB3A14">
        <w:t xml:space="preserve"> including </w:t>
      </w:r>
      <w:r>
        <w:rPr>
          <w:rFonts w:hint="eastAsia"/>
        </w:rPr>
        <w:t xml:space="preserve">the </w:t>
      </w:r>
      <w:r w:rsidRPr="00BE279D">
        <w:t>first</w:t>
      </w:r>
      <w:r w:rsidRPr="00BE279D">
        <w:rPr>
          <w:color w:val="1F1F1F"/>
        </w:rPr>
        <w:t xml:space="preserve"> </w:t>
      </w:r>
      <w:r w:rsidRPr="00BE279D">
        <w:t>complete</w:t>
      </w:r>
      <w:r w:rsidRPr="00BE279D">
        <w:rPr>
          <w:color w:val="1F1F1F"/>
        </w:rPr>
        <w:t xml:space="preserve"> </w:t>
      </w:r>
      <w:r w:rsidRPr="00BE279D">
        <w:t>post-invasion</w:t>
      </w:r>
      <w:r w:rsidRPr="00BE279D">
        <w:rPr>
          <w:color w:val="1F1F1F"/>
        </w:rPr>
        <w:t xml:space="preserve"> </w:t>
      </w:r>
      <w:r w:rsidRPr="00BE279D">
        <w:t>month,</w:t>
      </w:r>
      <w:r>
        <w:rPr>
          <w:rFonts w:hint="eastAsia"/>
        </w:rPr>
        <w:t xml:space="preserve"> the initial bipartisan fund approval, </w:t>
      </w:r>
      <w:r w:rsidRPr="00BB3A14">
        <w:t>the prolonged negotiations surrounding subsequent aid packages, and the evolving Republican position following the 2022 midterm elections and throughout the 2024 presidential campaign</w:t>
      </w:r>
      <w:r>
        <w:rPr>
          <w:rFonts w:hint="eastAsia"/>
        </w:rPr>
        <w:t>. We adopted month as the observational interval since it preserves sustained development that a coarser interval could collapse and foreclose the questions about trajectory that RQ1 and RQ4 asks, and that it reduces</w:t>
      </w:r>
      <w:r w:rsidRPr="00BE279D">
        <w:rPr>
          <w:color w:val="1F1F1F"/>
        </w:rPr>
        <w:t xml:space="preserve"> </w:t>
      </w:r>
      <w:r w:rsidRPr="00BE279D">
        <w:t>the</w:t>
      </w:r>
      <w:r w:rsidRPr="00BE279D">
        <w:rPr>
          <w:color w:val="1F1F1F"/>
        </w:rPr>
        <w:t xml:space="preserve"> </w:t>
      </w:r>
      <w:r w:rsidRPr="00BE279D">
        <w:t>influence</w:t>
      </w:r>
      <w:r w:rsidRPr="00BE279D">
        <w:rPr>
          <w:color w:val="1F1F1F"/>
        </w:rPr>
        <w:t xml:space="preserve"> </w:t>
      </w:r>
      <w:r w:rsidRPr="00BE279D">
        <w:t>of</w:t>
      </w:r>
      <w:r w:rsidRPr="00BE279D">
        <w:rPr>
          <w:color w:val="1F1F1F"/>
        </w:rPr>
        <w:t xml:space="preserve"> </w:t>
      </w:r>
      <w:r w:rsidRPr="00BE279D">
        <w:t>individual</w:t>
      </w:r>
      <w:r w:rsidRPr="00BE279D">
        <w:rPr>
          <w:color w:val="1F1F1F"/>
        </w:rPr>
        <w:t xml:space="preserve"> </w:t>
      </w:r>
      <w:r>
        <w:rPr>
          <w:rFonts w:hint="eastAsia"/>
        </w:rPr>
        <w:t>news</w:t>
      </w:r>
      <w:r w:rsidRPr="00BE279D">
        <w:rPr>
          <w:color w:val="1F1F1F"/>
        </w:rPr>
        <w:t xml:space="preserve"> </w:t>
      </w:r>
      <w:r w:rsidRPr="00BE279D">
        <w:t>and</w:t>
      </w:r>
      <w:r w:rsidRPr="00BE279D">
        <w:rPr>
          <w:color w:val="1F1F1F"/>
        </w:rPr>
        <w:t xml:space="preserve"> </w:t>
      </w:r>
      <w:r w:rsidRPr="00BE279D">
        <w:t>day-to-day</w:t>
      </w:r>
      <w:r w:rsidRPr="00BE279D">
        <w:rPr>
          <w:color w:val="1F1F1F"/>
        </w:rPr>
        <w:t xml:space="preserve"> </w:t>
      </w:r>
      <w:r w:rsidRPr="00BE279D">
        <w:t>variation</w:t>
      </w:r>
      <w:r w:rsidRPr="00BE279D">
        <w:rPr>
          <w:color w:val="1F1F1F"/>
        </w:rPr>
        <w:t xml:space="preserve"> </w:t>
      </w:r>
      <w:r w:rsidRPr="00BE279D">
        <w:t>that</w:t>
      </w:r>
      <w:r w:rsidRPr="00BE279D">
        <w:rPr>
          <w:color w:val="1F1F1F"/>
        </w:rPr>
        <w:t xml:space="preserve"> </w:t>
      </w:r>
      <w:r>
        <w:rPr>
          <w:rFonts w:hint="eastAsia"/>
        </w:rPr>
        <w:t>may</w:t>
      </w:r>
      <w:r w:rsidRPr="00BE279D">
        <w:rPr>
          <w:color w:val="1F1F1F"/>
        </w:rPr>
        <w:t xml:space="preserve"> </w:t>
      </w:r>
      <w:r w:rsidRPr="00BE279D">
        <w:t>not</w:t>
      </w:r>
      <w:r w:rsidRPr="00BE279D">
        <w:rPr>
          <w:color w:val="1F1F1F"/>
        </w:rPr>
        <w:t xml:space="preserve"> </w:t>
      </w:r>
      <w:r w:rsidRPr="00BE279D">
        <w:t>represent</w:t>
      </w:r>
      <w:r w:rsidRPr="00BE279D">
        <w:rPr>
          <w:color w:val="1F1F1F"/>
        </w:rPr>
        <w:t xml:space="preserve"> </w:t>
      </w:r>
      <w:r w:rsidRPr="00BE279D">
        <w:t>durable</w:t>
      </w:r>
      <w:r w:rsidRPr="00BE279D">
        <w:rPr>
          <w:color w:val="1F1F1F"/>
        </w:rPr>
        <w:t xml:space="preserve"> </w:t>
      </w:r>
      <w:r>
        <w:rPr>
          <w:rFonts w:hint="eastAsia"/>
        </w:rPr>
        <w:t>perception.</w:t>
      </w:r>
    </w:p>
    <w:p w14:paraId="2AC1CE8E" w14:textId="77777777" w:rsidR="00EE60D6" w:rsidRDefault="00EE60D6" w:rsidP="00EE60D6">
      <w:pPr>
        <w:pStyle w:val="2"/>
      </w:pPr>
      <w:r w:rsidRPr="007A657B">
        <w:t>Constructing</w:t>
      </w:r>
      <w:r w:rsidRPr="007A657B">
        <w:rPr>
          <w:color w:val="1F1F1F"/>
        </w:rPr>
        <w:t xml:space="preserve"> </w:t>
      </w:r>
      <w:r w:rsidRPr="007A657B">
        <w:t>party-attributed</w:t>
      </w:r>
      <w:r w:rsidRPr="007A657B">
        <w:rPr>
          <w:color w:val="1F1F1F"/>
        </w:rPr>
        <w:t xml:space="preserve"> </w:t>
      </w:r>
      <w:r>
        <w:rPr>
          <w:rFonts w:hint="eastAsia"/>
        </w:rPr>
        <w:t>annotation</w:t>
      </w:r>
    </w:p>
    <w:p w14:paraId="681DF52D" w14:textId="77777777" w:rsidR="00EE60D6" w:rsidRPr="00FB31CD" w:rsidRDefault="00EE60D6" w:rsidP="00EE60D6">
      <w:pPr>
        <w:rPr>
          <w:rFonts w:eastAsia="Times New Roman"/>
        </w:rPr>
      </w:pPr>
      <w:r>
        <w:rPr>
          <w:rFonts w:hint="eastAsia"/>
        </w:rPr>
        <w:t>W</w:t>
      </w:r>
      <w:r w:rsidRPr="00972D83">
        <w:t xml:space="preserve">e segmented article </w:t>
      </w:r>
      <w:r>
        <w:rPr>
          <w:rFonts w:hint="eastAsia"/>
        </w:rPr>
        <w:t>content</w:t>
      </w:r>
      <w:r w:rsidRPr="00972D83">
        <w:t xml:space="preserve"> into sentences with spaCy </w:t>
      </w:r>
      <w:r w:rsidRPr="00972D83">
        <w:fldChar w:fldCharType="begin"/>
      </w:r>
      <w:r w:rsidRPr="00972D83">
        <w:instrText xml:space="preserve"> ADDIN ZOTERO_ITEM CSL_CITATION {"citationID":"wHm5UQKF","properties":{"unsorted":false,"formattedCitation":"(Honnibal et al., 2014/2020)","plainCitation":"(Honnibal et al., 2014/2020)","noteIndex":0},"citationItems":[{"id":8350,"uris":["http://zotero.org/users/6825464/items/6J3VGBFM"],"itemData":{"id":8350,"type":"software","abstract":"</w:instrText>
      </w:r>
      <w:r w:rsidRPr="00972D83">
        <w:rPr>
          <w:rFonts w:ascii="Apple Color Emoji" w:hAnsi="Apple Color Emoji" w:cs="Apple Color Emoji"/>
        </w:rPr>
        <w:instrText>💫</w:instrText>
      </w:r>
      <w:r w:rsidRPr="00972D83">
        <w:instrText xml:space="preserve"> Industrial-strength Natural Language Processing (NLP) in Python","citation-key":"honnibalSpaCyIndustrialstrengthNatural2020","DOI":"10.5281/zenodo.1212303","genre":"Python","license":"MIT","note":"original-date: 2014-07-03T15:15:40Z","source":"GitHub","title":"spaCy: Industrial-strength Natural Language Processing in Python","title-short":"spaCy","URL":"https://github.com/explosion/spaCy","author":[{"family":"Honnibal","given":"Matthew"},{"family":"Montani","given":"Ines"},{"family":"Van Landeghem","given":"Sofie"},{"family":"Boyd","given":"Adriane"}],"accessed":{"date-parts":[["2025",12,31]]},"issued":{"date-parts":[["2020"]]}}}],"schema":"https://github.com/citation-style-language/schema/raw/master/csl-citation.json"} </w:instrText>
      </w:r>
      <w:r w:rsidRPr="00972D83">
        <w:fldChar w:fldCharType="separate"/>
      </w:r>
      <w:r w:rsidRPr="00972D83">
        <w:t>(Honnibal et al., 2014/2020)</w:t>
      </w:r>
      <w:r w:rsidRPr="00972D83">
        <w:fldChar w:fldCharType="end"/>
      </w:r>
      <w:r w:rsidRPr="00972D83">
        <w:t xml:space="preserve"> and retained only sentences containing a match to the prespecified Ukraine, Ukrainian-person, aid, or conflict vocabulary.</w:t>
      </w:r>
      <w:r>
        <w:rPr>
          <w:rFonts w:hint="eastAsia"/>
        </w:rPr>
        <w:t xml:space="preserve"> </w:t>
      </w:r>
      <w:r w:rsidRPr="00972D83">
        <w:t xml:space="preserve">To attribute </w:t>
      </w:r>
      <w:r>
        <w:rPr>
          <w:rFonts w:hint="eastAsia"/>
        </w:rPr>
        <w:t xml:space="preserve">positions to </w:t>
      </w:r>
      <w:r w:rsidRPr="00972D83">
        <w:t>parties</w:t>
      </w:r>
      <w:r>
        <w:rPr>
          <w:rFonts w:hint="eastAsia"/>
        </w:rPr>
        <w:t xml:space="preserve"> and</w:t>
      </w:r>
      <w:r w:rsidRPr="00972D83">
        <w:t xml:space="preserve"> party elites, </w:t>
      </w:r>
      <w:r>
        <w:rPr>
          <w:rFonts w:hint="eastAsia"/>
        </w:rPr>
        <w:t xml:space="preserve">we also required each retained sentence to contain terms for one party and none for the other, so that each sentence can be cleanly attributed to either the Democratic or the Republican Party. </w:t>
      </w:r>
      <w:r w:rsidRPr="009E3FAD">
        <w:rPr>
          <w:rFonts w:hint="eastAsia"/>
          <w:color w:val="000000" w:themeColor="text1"/>
        </w:rPr>
        <w:t xml:space="preserve">While this </w:t>
      </w:r>
      <w:r>
        <w:rPr>
          <w:rFonts w:hint="eastAsia"/>
          <w:color w:val="000000" w:themeColor="text1"/>
        </w:rPr>
        <w:t>eligibility</w:t>
      </w:r>
      <w:r w:rsidRPr="009E3FAD">
        <w:rPr>
          <w:rFonts w:hint="eastAsia"/>
          <w:color w:val="000000" w:themeColor="text1"/>
        </w:rPr>
        <w:t xml:space="preserve"> limits our capacity to draw </w:t>
      </w:r>
      <w:r>
        <w:rPr>
          <w:rFonts w:hint="eastAsia"/>
          <w:color w:val="000000" w:themeColor="text1"/>
        </w:rPr>
        <w:t>insights</w:t>
      </w:r>
      <w:r w:rsidRPr="009E3FAD">
        <w:rPr>
          <w:rFonts w:hint="eastAsia"/>
          <w:color w:val="000000" w:themeColor="text1"/>
        </w:rPr>
        <w:t xml:space="preserve"> from instances where both parties are mentioned in relation to Ukraine aid, such as in a comparative sense,</w:t>
      </w:r>
      <w:r>
        <w:rPr>
          <w:rFonts w:hint="eastAsia"/>
          <w:color w:val="000000" w:themeColor="text1"/>
        </w:rPr>
        <w:t xml:space="preserve"> we</w:t>
      </w:r>
      <w:r>
        <w:rPr>
          <w:rFonts w:eastAsia="Times New Roman" w:hint="eastAsia"/>
        </w:rPr>
        <w:t xml:space="preserve"> accepted this loss since the alternative is worse for our purpose. Polarization is a signed contrast between two parties, but assigning a mixed-party sentence to one side of that contrast would require an inference that the annotator, which does not see the party labels from the sentences, is in no position to make. </w:t>
      </w:r>
    </w:p>
    <w:p w14:paraId="6053BD27" w14:textId="77777777" w:rsidR="00EE60D6" w:rsidRDefault="00EE60D6" w:rsidP="00EE60D6">
      <w:pPr>
        <w:rPr>
          <w:rFonts w:eastAsia="Times New Roman"/>
        </w:rPr>
      </w:pPr>
    </w:p>
    <w:p w14:paraId="078C5A09" w14:textId="77777777" w:rsidR="00EE60D6" w:rsidRPr="009F60C8" w:rsidRDefault="00EE60D6" w:rsidP="00EE60D6">
      <w:r>
        <w:rPr>
          <w:rFonts w:eastAsia="Times New Roman" w:hint="eastAsia"/>
        </w:rPr>
        <w:t xml:space="preserve">We drew all politician and party terms from the Congress Legislators Database </w:t>
      </w:r>
      <w:r w:rsidRPr="00A70682">
        <w:fldChar w:fldCharType="begin"/>
      </w:r>
      <w:r>
        <w:instrText xml:space="preserve"> ADDIN ZOTERO_ITEM CSL_CITATION {"citationID":"6e6P42Nq","properties":{"unsorted":false,"formattedCitation":"(@unitedstates, 2012/2025)","plainCitation":"(@unitedstates, 2012/2025)","noteIndex":0},"citationItems":[{"id":8502,"uris":["http://zotero.org/users/6825464/items/K5V86H6D"],"itemData":{"id":8502,"type":"software","abstract":"Members of the United States Congress, 1789-Present, in YAML/JSON/CSV, as well as committees, presidents, and vice presidents.","citation-key":"UnitedstatesCongresslegislators2025","genre":"Python","license":"CC0-1.0","note":"original-date: 2012-09-27T23:10:05Z","publisher":"@unitedstates","source":"GitHub","title":"unitedstates/congress-legislators","URL":"https://github.com/unitedstates/congress-legislators","accessed":{"date-parts":[["2025",12,31]]},"issued":{"date-parts":[["2025",12,30]]}}}],"schema":"https://github.com/citation-style-language/schema/raw/master/csl-citation.json"} </w:instrText>
      </w:r>
      <w:r w:rsidRPr="00A70682">
        <w:fldChar w:fldCharType="separate"/>
      </w:r>
      <w:r w:rsidRPr="0052177D">
        <w:t>(@unitedstates, 2012/2025)</w:t>
      </w:r>
      <w:r w:rsidRPr="00A70682">
        <w:fldChar w:fldCharType="end"/>
      </w:r>
      <w:r w:rsidRPr="00A70682">
        <w:rPr>
          <w:rFonts w:hint="eastAsia"/>
        </w:rPr>
        <w:t xml:space="preserve"> </w:t>
      </w:r>
      <w:r>
        <w:t>together</w:t>
      </w:r>
      <w:r>
        <w:rPr>
          <w:rFonts w:hint="eastAsia"/>
        </w:rPr>
        <w:t xml:space="preserve"> with</w:t>
      </w:r>
      <w:r w:rsidRPr="00A70682">
        <w:rPr>
          <w:rFonts w:hint="eastAsia"/>
        </w:rPr>
        <w:t xml:space="preserve"> </w:t>
      </w:r>
      <w:r w:rsidRPr="00A70682">
        <w:t>a list of prominent political figures relevant to Ukraine policy debates</w:t>
      </w:r>
      <w:r>
        <w:rPr>
          <w:rFonts w:hint="eastAsia"/>
        </w:rPr>
        <w:t xml:space="preserve">. </w:t>
      </w:r>
      <w:r>
        <w:t xml:space="preserve">We masked party and politician references because the annotator would otherwise be able to infer a position from prior association with a party rather than from what the sentence conveys. This risk is not hypothetical. </w:t>
      </w:r>
      <w:r>
        <w:fldChar w:fldCharType="begin"/>
      </w:r>
      <w:r>
        <w:instrText xml:space="preserve"> ADDIN ZOTERO_ITEM CSL_CITATION {"citationID":"O2o90db4","properties":{"unsorted":false,"formattedCitation":"(T\\uc0\\u246{}rnberg, 2025)","plainCitation":"(Törnberg, 2025)","dontUpdate":true,"noteIndex":0},"citationItems":[{"id":9672,"uris":["http://zotero.org/users/6825464/items/CT5KGMRK"],"itemData":{"id":9672,"type":"article-journal","abstract":"Instruction-tuned Large Language Models (LLMs) have recently emerged as a powerful new tool for text analysis. As these models are capable of zero-shot annotation based on instructions written in natural language, they obviate the need of large sets of training data—and thus bring potential paradigm-shifting implications for using text as data. While the models show substantial promise, their relative performance compared to human coders and supervised models remains poorly understood and subject to significant academic debate. This paper assesses the strengths and weaknesses of popular fine-tuned AI models compared to both conventional supervised classifiers and manual annotation by experts and crowd workers. The task used is to identify the political affiliation of politicians based on a single X/Twitter message, focusing on data from 11 different countries. The paper finds that GPT-4 achieves higher accuracy than both supervised models and human coders across all languages and country contexts. In the US context, it achieves an accuracy of 0.934 and an inter-coder reliability of 0.982. Examining the cases where the models fail, the paper finds that the LLM—unlike the supervised models—correctly annotates messages that require interpretation of implicit or unspoken references, or reasoning on the basis of contextual knowledge—capacities that have traditionally been understood to be distinctly human. The paper thus contributes to our understanding of the revolutionary implications of LLMs for text analysis within the social sciences.","container-title":"Social Science Computer Review","DOI":"10.1177/08944393241286471","ISSN":"0894-4393","issue":"6","language":"EN","page":"1181-1195","publisher":"SAGE Publications Inc","source":"SAGE Journals","title":"Large Language Models Outperform Expert Coders and Supervised Classifiers at Annotating Political Social Media Messages","volume":"43","author":[{"family":"Törnberg","given":"Petter"}],"issued":{"date-parts":[["2025",12,1]]}}}],"schema":"https://github.com/citation-style-language/schema/raw/master/csl-citation.json"} </w:instrText>
      </w:r>
      <w:r>
        <w:fldChar w:fldCharType="separate"/>
      </w:r>
      <w:r w:rsidRPr="007B3495">
        <w:rPr>
          <w:rFonts w:eastAsiaTheme="minorEastAsia"/>
          <w:szCs w:val="24"/>
          <w14:ligatures w14:val="standardContextual"/>
        </w:rPr>
        <w:t>Törnberg</w:t>
      </w:r>
      <w:r>
        <w:rPr>
          <w:rFonts w:eastAsiaTheme="minorEastAsia"/>
          <w:szCs w:val="24"/>
          <w14:ligatures w14:val="standardContextual"/>
        </w:rPr>
        <w:t xml:space="preserve"> (</w:t>
      </w:r>
      <w:r w:rsidRPr="007B3495">
        <w:rPr>
          <w:rFonts w:eastAsiaTheme="minorEastAsia"/>
          <w:szCs w:val="24"/>
          <w14:ligatures w14:val="standardContextual"/>
        </w:rPr>
        <w:t>2025)</w:t>
      </w:r>
      <w:r>
        <w:fldChar w:fldCharType="end"/>
      </w:r>
      <w:r>
        <w:t xml:space="preserve"> shows that an instruction-tuned model identifies the party affiliation of a politician from a single social media message with an accuracy of 0.93 in the United States context, </w:t>
      </w:r>
      <w:r>
        <w:lastRenderedPageBreak/>
        <w:t>which establishes that party is recoverable from short political text even where it is not stated. The failure mode is specific to our design. Because polarization is the signed difference between two party means, an annotator that assigned scores partly on the basis of inferred party membership would manufacture the very quantity we set out to measure. We therefore removed political titles, replaced all Democrat and Republican terms with the token [ENTITY], and instructed the model not to infer which party [ENTITY] represents. We</w:t>
      </w:r>
      <w:r>
        <w:rPr>
          <w:rFonts w:hint="eastAsia"/>
        </w:rPr>
        <w:t xml:space="preserve"> also </w:t>
      </w:r>
      <w:r w:rsidRPr="00A70682">
        <w:rPr>
          <w:rFonts w:hint="eastAsia"/>
        </w:rPr>
        <w:t xml:space="preserve">removed political titles (e.g., </w:t>
      </w:r>
      <w:r>
        <w:t>“</w:t>
      </w:r>
      <w:r w:rsidRPr="00A70682">
        <w:rPr>
          <w:rFonts w:hint="eastAsia"/>
        </w:rPr>
        <w:t>Senator</w:t>
      </w:r>
      <w:r>
        <w:t>”</w:t>
      </w:r>
      <w:r w:rsidRPr="00A70682">
        <w:rPr>
          <w:rFonts w:hint="eastAsia"/>
        </w:rPr>
        <w:t xml:space="preserve">, </w:t>
      </w:r>
      <w:r>
        <w:t>“</w:t>
      </w:r>
      <w:r w:rsidRPr="00A70682">
        <w:rPr>
          <w:rFonts w:hint="eastAsia"/>
        </w:rPr>
        <w:t>Governor</w:t>
      </w:r>
      <w:r>
        <w:t>”</w:t>
      </w:r>
      <w:r w:rsidRPr="00A70682">
        <w:rPr>
          <w:rFonts w:hint="eastAsia"/>
        </w:rPr>
        <w:t>)</w:t>
      </w:r>
      <w:r>
        <w:rPr>
          <w:rFonts w:hint="eastAsia"/>
        </w:rPr>
        <w:t xml:space="preserve">. Where adjacent </w:t>
      </w:r>
      <w:r>
        <w:t>“</w:t>
      </w:r>
      <w:r w:rsidRPr="00A70682">
        <w:rPr>
          <w:rFonts w:hint="eastAsia"/>
        </w:rPr>
        <w:t>[ENTITY]</w:t>
      </w:r>
      <w:r>
        <w:t>”</w:t>
      </w:r>
      <w:r w:rsidRPr="00A70682">
        <w:rPr>
          <w:rFonts w:hint="eastAsia"/>
        </w:rPr>
        <w:t xml:space="preserve">s </w:t>
      </w:r>
      <w:r>
        <w:rPr>
          <w:rFonts w:hint="eastAsia"/>
        </w:rPr>
        <w:t xml:space="preserve">tokens </w:t>
      </w:r>
      <w:r>
        <w:t>appear</w:t>
      </w:r>
      <w:r>
        <w:rPr>
          <w:rFonts w:hint="eastAsia"/>
        </w:rPr>
        <w:t xml:space="preserve"> </w:t>
      </w:r>
      <w:r w:rsidRPr="00A70682">
        <w:rPr>
          <w:rFonts w:hint="eastAsia"/>
        </w:rPr>
        <w:t xml:space="preserve">within the same sentence, we </w:t>
      </w:r>
      <w:r w:rsidRPr="00A70682">
        <w:t>merge</w:t>
      </w:r>
      <w:r w:rsidRPr="00A70682">
        <w:rPr>
          <w:rFonts w:hint="eastAsia"/>
        </w:rPr>
        <w:t xml:space="preserve"> </w:t>
      </w:r>
      <w:r>
        <w:rPr>
          <w:rFonts w:hint="eastAsia"/>
        </w:rPr>
        <w:t xml:space="preserve">them </w:t>
      </w:r>
      <w:r w:rsidRPr="00A70682">
        <w:rPr>
          <w:rFonts w:hint="eastAsia"/>
        </w:rPr>
        <w:t>into a single token</w:t>
      </w:r>
      <w:r>
        <w:rPr>
          <w:rFonts w:hint="eastAsia"/>
        </w:rPr>
        <w:t xml:space="preserve"> so that a party reference would not read as multiple. In total, we extracted and annotated 37,312 sentences with all </w:t>
      </w:r>
      <w:r>
        <w:t xml:space="preserve">eligible </w:t>
      </w:r>
      <w:r>
        <w:rPr>
          <w:rFonts w:hint="eastAsia"/>
        </w:rPr>
        <w:t xml:space="preserve">articles on average having </w:t>
      </w:r>
      <w:r>
        <w:t>3.16</w:t>
      </w:r>
      <w:r>
        <w:rPr>
          <w:rFonts w:hint="eastAsia"/>
        </w:rPr>
        <w:t xml:space="preserve"> Ukraine-related Democrat or Republican sentences. </w:t>
      </w:r>
    </w:p>
    <w:p w14:paraId="2E66CF15" w14:textId="77777777" w:rsidR="00EE60D6" w:rsidRDefault="00EE60D6" w:rsidP="00EE60D6">
      <w:pPr>
        <w:pStyle w:val="2"/>
      </w:pPr>
      <w:r>
        <w:rPr>
          <w:rFonts w:hint="eastAsia"/>
        </w:rPr>
        <w:t>Annotation</w:t>
      </w:r>
    </w:p>
    <w:p w14:paraId="39231ADE" w14:textId="77777777" w:rsidR="00EE60D6" w:rsidRDefault="00EE60D6" w:rsidP="00EE60D6">
      <w:pPr>
        <w:pStyle w:val="3"/>
      </w:pPr>
      <w:r>
        <w:rPr>
          <w:rFonts w:hint="eastAsia"/>
        </w:rPr>
        <w:t>Scoring Framework</w:t>
      </w:r>
    </w:p>
    <w:p w14:paraId="12CA8002" w14:textId="77777777" w:rsidR="00EE60D6" w:rsidRPr="005A7D8A" w:rsidRDefault="00EE60D6" w:rsidP="00EE60D6">
      <w:pPr>
        <w:rPr>
          <w:color w:val="1F1F1F"/>
        </w:rPr>
      </w:pPr>
      <w:r w:rsidRPr="00845FF0">
        <w:t>A</w:t>
      </w:r>
      <w:r w:rsidRPr="00845FF0">
        <w:rPr>
          <w:color w:val="1F1F1F"/>
        </w:rPr>
        <w:t xml:space="preserve"> </w:t>
      </w:r>
      <w:r w:rsidRPr="00845FF0">
        <w:t>single</w:t>
      </w:r>
      <w:r w:rsidRPr="00845FF0">
        <w:rPr>
          <w:color w:val="1F1F1F"/>
        </w:rPr>
        <w:t xml:space="preserve"> </w:t>
      </w:r>
      <w:r w:rsidRPr="00845FF0">
        <w:t>support-opposition</w:t>
      </w:r>
      <w:r w:rsidRPr="00845FF0">
        <w:rPr>
          <w:color w:val="1F1F1F"/>
        </w:rPr>
        <w:t xml:space="preserve"> </w:t>
      </w:r>
      <w:r w:rsidRPr="00845FF0">
        <w:t>scale</w:t>
      </w:r>
      <w:r w:rsidRPr="00845FF0">
        <w:rPr>
          <w:color w:val="1F1F1F"/>
        </w:rPr>
        <w:t xml:space="preserve"> </w:t>
      </w:r>
      <w:r w:rsidRPr="00845FF0">
        <w:t>would</w:t>
      </w:r>
      <w:r w:rsidRPr="00845FF0">
        <w:rPr>
          <w:color w:val="1F1F1F"/>
        </w:rPr>
        <w:t xml:space="preserve"> </w:t>
      </w:r>
      <w:r w:rsidRPr="00845FF0">
        <w:t>conflate</w:t>
      </w:r>
      <w:r w:rsidRPr="00845FF0">
        <w:rPr>
          <w:color w:val="1F1F1F"/>
        </w:rPr>
        <w:t xml:space="preserve"> </w:t>
      </w:r>
      <w:r w:rsidRPr="00845FF0">
        <w:t>substantively</w:t>
      </w:r>
      <w:r w:rsidRPr="00845FF0">
        <w:rPr>
          <w:color w:val="1F1F1F"/>
        </w:rPr>
        <w:t xml:space="preserve"> </w:t>
      </w:r>
      <w:r w:rsidRPr="00845FF0">
        <w:t>different</w:t>
      </w:r>
      <w:r w:rsidRPr="00845FF0">
        <w:rPr>
          <w:color w:val="1F1F1F"/>
        </w:rPr>
        <w:t xml:space="preserve"> </w:t>
      </w:r>
      <w:r w:rsidRPr="00845FF0">
        <w:t>judgments</w:t>
      </w:r>
      <w:r>
        <w:rPr>
          <w:rFonts w:hint="eastAsia"/>
        </w:rPr>
        <w:t xml:space="preserve"> about the aid</w:t>
      </w:r>
      <w:r w:rsidRPr="00845FF0">
        <w:t>.</w:t>
      </w:r>
      <w:r w:rsidRPr="00845FF0">
        <w:rPr>
          <w:color w:val="1F1F1F"/>
        </w:rPr>
        <w:t xml:space="preserve"> </w:t>
      </w:r>
      <w:r>
        <w:rPr>
          <w:rFonts w:hint="eastAsia"/>
          <w:color w:val="1F1F1F"/>
        </w:rPr>
        <w:t xml:space="preserve">A politician can </w:t>
      </w:r>
      <w:r>
        <w:rPr>
          <w:color w:val="1F1F1F"/>
        </w:rPr>
        <w:t>favor</w:t>
      </w:r>
      <w:r>
        <w:rPr>
          <w:rFonts w:hint="eastAsia"/>
          <w:color w:val="1F1F1F"/>
        </w:rPr>
        <w:t xml:space="preserve"> continuing aid while seeing alternative regions other than Russia as the primary threat, or can accept Ukraine as democratic while not </w:t>
      </w:r>
      <w:r>
        <w:rPr>
          <w:color w:val="1F1F1F"/>
        </w:rPr>
        <w:t>favoring</w:t>
      </w:r>
      <w:r>
        <w:rPr>
          <w:rFonts w:hint="eastAsia"/>
          <w:color w:val="1F1F1F"/>
        </w:rPr>
        <w:t xml:space="preserve"> further aid. Collapsing these into one single dimension would record agreement where the underlying reason may diverge. We therefore annotated four dimensions independently</w:t>
      </w:r>
      <w:r w:rsidRPr="00845FF0">
        <w:t>.</w:t>
      </w:r>
      <w:r w:rsidRPr="00845FF0">
        <w:rPr>
          <w:color w:val="1F1F1F"/>
        </w:rPr>
        <w:t xml:space="preserve"> </w:t>
      </w:r>
      <w:r w:rsidRPr="005A7D8A">
        <w:rPr>
          <w:highlight w:val="yellow"/>
        </w:rPr>
        <w:t>Table</w:t>
      </w:r>
      <w:r>
        <w:rPr>
          <w:rFonts w:hint="eastAsia"/>
          <w:highlight w:val="yellow"/>
        </w:rPr>
        <w:t xml:space="preserve"> 1</w:t>
      </w:r>
      <w:r w:rsidRPr="005A7D8A">
        <w:rPr>
          <w:highlight w:val="yellow"/>
        </w:rPr>
        <w:t xml:space="preserve"> presents each</w:t>
      </w:r>
      <w:r>
        <w:rPr>
          <w:rFonts w:hint="eastAsia"/>
          <w:highlight w:val="yellow"/>
        </w:rPr>
        <w:t xml:space="preserve"> dimension</w:t>
      </w:r>
      <w:r w:rsidRPr="005A7D8A">
        <w:rPr>
          <w:highlight w:val="yellow"/>
        </w:rPr>
        <w:t xml:space="preserve"> with scale anchors.</w:t>
      </w:r>
    </w:p>
    <w:p w14:paraId="7D9D7988" w14:textId="77777777" w:rsidR="00EE60D6" w:rsidRPr="00A73D21" w:rsidRDefault="00EE60D6" w:rsidP="00EE60D6"/>
    <w:p w14:paraId="1D4C4813" w14:textId="77777777" w:rsidR="00EE60D6" w:rsidRPr="000205C9" w:rsidRDefault="00EE60D6" w:rsidP="00EE60D6">
      <w:r w:rsidRPr="000205C9">
        <w:rPr>
          <w:b/>
          <w:bCs/>
        </w:rPr>
        <w:t xml:space="preserve">Table </w:t>
      </w:r>
      <w:r>
        <w:rPr>
          <w:rFonts w:hint="eastAsia"/>
          <w:b/>
          <w:bCs/>
        </w:rPr>
        <w:t xml:space="preserve">1: </w:t>
      </w:r>
      <w:r w:rsidRPr="000205C9">
        <w:t>Ideological Dimensions and Scale Anchors</w:t>
      </w:r>
    </w:p>
    <w:tbl>
      <w:tblPr>
        <w:tblW w:w="0" w:type="auto"/>
        <w:tblBorders>
          <w:top w:val="single" w:sz="8" w:space="0" w:color="auto"/>
          <w:bottom w:val="single" w:sz="8" w:space="0" w:color="auto"/>
          <w:insideH w:val="single" w:sz="8" w:space="0" w:color="auto"/>
        </w:tblBorders>
        <w:tblCellMar>
          <w:top w:w="15" w:type="dxa"/>
          <w:left w:w="15" w:type="dxa"/>
          <w:bottom w:w="15" w:type="dxa"/>
          <w:right w:w="15" w:type="dxa"/>
        </w:tblCellMar>
        <w:tblLook w:val="04A0" w:firstRow="1" w:lastRow="0" w:firstColumn="1" w:lastColumn="0" w:noHBand="0" w:noVBand="1"/>
      </w:tblPr>
      <w:tblGrid>
        <w:gridCol w:w="1831"/>
        <w:gridCol w:w="2910"/>
        <w:gridCol w:w="2193"/>
        <w:gridCol w:w="2426"/>
      </w:tblGrid>
      <w:tr w:rsidR="00EE60D6" w:rsidRPr="000205C9" w14:paraId="2FCCD6F3" w14:textId="77777777" w:rsidTr="00831018">
        <w:trPr>
          <w:tblHeader/>
        </w:trPr>
        <w:tc>
          <w:tcPr>
            <w:tcW w:w="0" w:type="auto"/>
            <w:vAlign w:val="center"/>
            <w:hideMark/>
          </w:tcPr>
          <w:p w14:paraId="1275C983" w14:textId="77777777" w:rsidR="00EE60D6" w:rsidRPr="0093508E" w:rsidRDefault="00EE60D6" w:rsidP="00831018">
            <w:pPr>
              <w:rPr>
                <w:b/>
                <w:bCs/>
              </w:rPr>
            </w:pPr>
            <w:r w:rsidRPr="0093508E">
              <w:rPr>
                <w:rFonts w:hint="eastAsia"/>
                <w:b/>
                <w:bCs/>
              </w:rPr>
              <w:t>Dimension</w:t>
            </w:r>
          </w:p>
        </w:tc>
        <w:tc>
          <w:tcPr>
            <w:tcW w:w="0" w:type="auto"/>
            <w:vAlign w:val="center"/>
          </w:tcPr>
          <w:p w14:paraId="4BC05A71" w14:textId="77777777" w:rsidR="00EE60D6" w:rsidRPr="0093508E" w:rsidRDefault="00EE60D6" w:rsidP="00831018">
            <w:pPr>
              <w:rPr>
                <w:b/>
                <w:bCs/>
              </w:rPr>
            </w:pPr>
            <w:r>
              <w:rPr>
                <w:rFonts w:hint="eastAsia"/>
                <w:b/>
                <w:bCs/>
              </w:rPr>
              <w:t>Conceptual Purpose</w:t>
            </w:r>
          </w:p>
        </w:tc>
        <w:tc>
          <w:tcPr>
            <w:tcW w:w="0" w:type="auto"/>
            <w:vAlign w:val="center"/>
            <w:hideMark/>
          </w:tcPr>
          <w:p w14:paraId="2D5A6F34" w14:textId="77777777" w:rsidR="00EE60D6" w:rsidRPr="0093508E" w:rsidRDefault="00EE60D6" w:rsidP="00831018">
            <w:pPr>
              <w:rPr>
                <w:b/>
                <w:bCs/>
              </w:rPr>
            </w:pPr>
            <w:r w:rsidRPr="0093508E">
              <w:rPr>
                <w:b/>
                <w:bCs/>
              </w:rPr>
              <w:t xml:space="preserve">0 </w:t>
            </w:r>
            <w:r>
              <w:rPr>
                <w:rFonts w:hint="eastAsia"/>
                <w:b/>
                <w:bCs/>
              </w:rPr>
              <w:t>End Point</w:t>
            </w:r>
          </w:p>
        </w:tc>
        <w:tc>
          <w:tcPr>
            <w:tcW w:w="0" w:type="auto"/>
            <w:vAlign w:val="center"/>
            <w:hideMark/>
          </w:tcPr>
          <w:p w14:paraId="0168E2AE" w14:textId="77777777" w:rsidR="00EE60D6" w:rsidRPr="0093508E" w:rsidRDefault="00EE60D6" w:rsidP="00831018">
            <w:pPr>
              <w:rPr>
                <w:b/>
                <w:bCs/>
              </w:rPr>
            </w:pPr>
            <w:r w:rsidRPr="0093508E">
              <w:rPr>
                <w:b/>
                <w:bCs/>
              </w:rPr>
              <w:t xml:space="preserve">100 </w:t>
            </w:r>
            <w:r>
              <w:rPr>
                <w:rFonts w:hint="eastAsia"/>
                <w:b/>
                <w:bCs/>
              </w:rPr>
              <w:t>End Point</w:t>
            </w:r>
          </w:p>
        </w:tc>
      </w:tr>
      <w:tr w:rsidR="00EE60D6" w:rsidRPr="000205C9" w14:paraId="28208A2D" w14:textId="77777777" w:rsidTr="00831018">
        <w:tc>
          <w:tcPr>
            <w:tcW w:w="0" w:type="auto"/>
            <w:vAlign w:val="center"/>
            <w:hideMark/>
          </w:tcPr>
          <w:p w14:paraId="605EE26C" w14:textId="77777777" w:rsidR="00EE60D6" w:rsidRPr="000205C9" w:rsidRDefault="00EE60D6" w:rsidP="00831018">
            <w:r>
              <w:rPr>
                <w:rFonts w:hint="eastAsia"/>
              </w:rPr>
              <w:t xml:space="preserve">General Ukraine </w:t>
            </w:r>
            <w:r w:rsidRPr="000205C9">
              <w:t>Aid Stance</w:t>
            </w:r>
          </w:p>
        </w:tc>
        <w:tc>
          <w:tcPr>
            <w:tcW w:w="0" w:type="auto"/>
            <w:vAlign w:val="center"/>
          </w:tcPr>
          <w:p w14:paraId="33212CC7" w14:textId="77777777" w:rsidR="00EE60D6" w:rsidRPr="000205C9" w:rsidRDefault="00EE60D6" w:rsidP="00831018">
            <w:r>
              <w:rPr>
                <w:rFonts w:hint="eastAsia"/>
              </w:rPr>
              <w:t xml:space="preserve">Whether military and financial </w:t>
            </w:r>
            <w:r>
              <w:t>support</w:t>
            </w:r>
            <w:r>
              <w:rPr>
                <w:rFonts w:hint="eastAsia"/>
              </w:rPr>
              <w:t xml:space="preserve"> should continue</w:t>
            </w:r>
          </w:p>
        </w:tc>
        <w:tc>
          <w:tcPr>
            <w:tcW w:w="0" w:type="auto"/>
            <w:vAlign w:val="center"/>
            <w:hideMark/>
          </w:tcPr>
          <w:p w14:paraId="1ABFA0DE" w14:textId="77777777" w:rsidR="00EE60D6" w:rsidRPr="000205C9" w:rsidRDefault="00EE60D6" w:rsidP="00831018">
            <w:r w:rsidRPr="000205C9">
              <w:t>Strong support for providing aid</w:t>
            </w:r>
          </w:p>
        </w:tc>
        <w:tc>
          <w:tcPr>
            <w:tcW w:w="0" w:type="auto"/>
            <w:vAlign w:val="center"/>
            <w:hideMark/>
          </w:tcPr>
          <w:p w14:paraId="448B1E91" w14:textId="77777777" w:rsidR="00EE60D6" w:rsidRPr="000205C9" w:rsidRDefault="00EE60D6" w:rsidP="00831018">
            <w:r w:rsidRPr="000205C9">
              <w:t>Strong opposition to providing aid</w:t>
            </w:r>
          </w:p>
        </w:tc>
      </w:tr>
      <w:tr w:rsidR="00EE60D6" w:rsidRPr="000205C9" w14:paraId="429AF0A7" w14:textId="77777777" w:rsidTr="00831018">
        <w:tc>
          <w:tcPr>
            <w:tcW w:w="0" w:type="auto"/>
            <w:vAlign w:val="center"/>
            <w:hideMark/>
          </w:tcPr>
          <w:p w14:paraId="0361B09A" w14:textId="77777777" w:rsidR="00EE60D6" w:rsidRPr="000205C9" w:rsidRDefault="00EE60D6" w:rsidP="00831018">
            <w:r w:rsidRPr="000205C9">
              <w:t>Ukraine Characterization</w:t>
            </w:r>
          </w:p>
        </w:tc>
        <w:tc>
          <w:tcPr>
            <w:tcW w:w="0" w:type="auto"/>
            <w:vAlign w:val="center"/>
          </w:tcPr>
          <w:p w14:paraId="55C0A5A9" w14:textId="77777777" w:rsidR="00EE60D6" w:rsidRPr="000205C9" w:rsidRDefault="00EE60D6" w:rsidP="00831018">
            <w:r w:rsidRPr="009A21BC">
              <w:t xml:space="preserve">How the </w:t>
            </w:r>
            <w:r>
              <w:rPr>
                <w:rFonts w:hint="eastAsia"/>
              </w:rPr>
              <w:t xml:space="preserve">Ukraine </w:t>
            </w:r>
            <w:r w:rsidRPr="009A21BC">
              <w:t xml:space="preserve">is </w:t>
            </w:r>
            <w:r>
              <w:rPr>
                <w:rFonts w:hint="eastAsia"/>
              </w:rPr>
              <w:t>seen</w:t>
            </w:r>
            <w:r w:rsidRPr="009A21BC">
              <w:t xml:space="preserve"> </w:t>
            </w:r>
          </w:p>
        </w:tc>
        <w:tc>
          <w:tcPr>
            <w:tcW w:w="0" w:type="auto"/>
            <w:vAlign w:val="center"/>
            <w:hideMark/>
          </w:tcPr>
          <w:p w14:paraId="5AA03A8E" w14:textId="77777777" w:rsidR="00EE60D6" w:rsidRPr="000205C9" w:rsidRDefault="00EE60D6" w:rsidP="00831018">
            <w:r w:rsidRPr="000205C9">
              <w:t>Democratic ally defending Western values</w:t>
            </w:r>
          </w:p>
        </w:tc>
        <w:tc>
          <w:tcPr>
            <w:tcW w:w="0" w:type="auto"/>
            <w:vAlign w:val="center"/>
            <w:hideMark/>
          </w:tcPr>
          <w:p w14:paraId="4FF34495" w14:textId="77777777" w:rsidR="00EE60D6" w:rsidRPr="000205C9" w:rsidRDefault="00EE60D6" w:rsidP="00831018">
            <w:r w:rsidRPr="000205C9">
              <w:t>Corrupt</w:t>
            </w:r>
            <w:r>
              <w:rPr>
                <w:rFonts w:hint="eastAsia"/>
              </w:rPr>
              <w:t>, futile, or outside</w:t>
            </w:r>
            <w:r w:rsidRPr="000205C9">
              <w:t xml:space="preserve"> U.S. concern</w:t>
            </w:r>
          </w:p>
        </w:tc>
      </w:tr>
      <w:tr w:rsidR="00EE60D6" w:rsidRPr="000205C9" w14:paraId="418C8143" w14:textId="77777777" w:rsidTr="00831018">
        <w:tc>
          <w:tcPr>
            <w:tcW w:w="0" w:type="auto"/>
            <w:vAlign w:val="center"/>
            <w:hideMark/>
          </w:tcPr>
          <w:p w14:paraId="4D0F1F6B" w14:textId="77777777" w:rsidR="00EE60D6" w:rsidRPr="000205C9" w:rsidRDefault="00EE60D6" w:rsidP="00831018">
            <w:r>
              <w:t>Threat Priority</w:t>
            </w:r>
          </w:p>
        </w:tc>
        <w:tc>
          <w:tcPr>
            <w:tcW w:w="0" w:type="auto"/>
            <w:vAlign w:val="center"/>
          </w:tcPr>
          <w:p w14:paraId="58352329" w14:textId="77777777" w:rsidR="00EE60D6" w:rsidRPr="000205C9" w:rsidRDefault="00EE60D6" w:rsidP="00831018">
            <w:r w:rsidRPr="00366020">
              <w:t>Which external threat receives priority</w:t>
            </w:r>
          </w:p>
        </w:tc>
        <w:tc>
          <w:tcPr>
            <w:tcW w:w="0" w:type="auto"/>
            <w:vAlign w:val="center"/>
            <w:hideMark/>
          </w:tcPr>
          <w:p w14:paraId="0992CD31" w14:textId="77777777" w:rsidR="00EE60D6" w:rsidRPr="000205C9" w:rsidRDefault="00EE60D6" w:rsidP="00831018">
            <w:r w:rsidRPr="000205C9">
              <w:t>Russia as primary threat to contain</w:t>
            </w:r>
          </w:p>
        </w:tc>
        <w:tc>
          <w:tcPr>
            <w:tcW w:w="0" w:type="auto"/>
            <w:vAlign w:val="center"/>
            <w:hideMark/>
          </w:tcPr>
          <w:p w14:paraId="5FD6767D" w14:textId="77777777" w:rsidR="00EE60D6" w:rsidRPr="000205C9" w:rsidRDefault="00EE60D6" w:rsidP="00831018">
            <w:r w:rsidRPr="000205C9">
              <w:t>China/Indo-Pacific as primary focus</w:t>
            </w:r>
          </w:p>
        </w:tc>
      </w:tr>
      <w:tr w:rsidR="00EE60D6" w:rsidRPr="000205C9" w14:paraId="293886C3" w14:textId="77777777" w:rsidTr="00831018">
        <w:tc>
          <w:tcPr>
            <w:tcW w:w="0" w:type="auto"/>
            <w:vAlign w:val="center"/>
            <w:hideMark/>
          </w:tcPr>
          <w:p w14:paraId="4647B7BD" w14:textId="77777777" w:rsidR="00EE60D6" w:rsidRPr="000205C9" w:rsidRDefault="00EE60D6" w:rsidP="00831018">
            <w:r w:rsidRPr="000205C9">
              <w:t>Resource Allocation</w:t>
            </w:r>
          </w:p>
        </w:tc>
        <w:tc>
          <w:tcPr>
            <w:tcW w:w="0" w:type="auto"/>
            <w:vAlign w:val="center"/>
          </w:tcPr>
          <w:p w14:paraId="4860A3AD" w14:textId="77777777" w:rsidR="00EE60D6" w:rsidRPr="000205C9" w:rsidRDefault="00EE60D6" w:rsidP="00831018">
            <w:r w:rsidRPr="00180315">
              <w:t>Whether foreign commitments are weighed against domestic priorities</w:t>
            </w:r>
          </w:p>
        </w:tc>
        <w:tc>
          <w:tcPr>
            <w:tcW w:w="0" w:type="auto"/>
            <w:vAlign w:val="center"/>
            <w:hideMark/>
          </w:tcPr>
          <w:p w14:paraId="3E7411C5" w14:textId="77777777" w:rsidR="00EE60D6" w:rsidRPr="000205C9" w:rsidRDefault="00EE60D6" w:rsidP="00831018">
            <w:r w:rsidRPr="000205C9">
              <w:t>International commitments (NATO, alliances)</w:t>
            </w:r>
          </w:p>
        </w:tc>
        <w:tc>
          <w:tcPr>
            <w:tcW w:w="0" w:type="auto"/>
            <w:vAlign w:val="center"/>
            <w:hideMark/>
          </w:tcPr>
          <w:p w14:paraId="05DA77F4" w14:textId="77777777" w:rsidR="00EE60D6" w:rsidRPr="000205C9" w:rsidRDefault="00EE60D6" w:rsidP="00831018">
            <w:r w:rsidRPr="000205C9">
              <w:t>Domestic priorities (border, infrastructure, economy)</w:t>
            </w:r>
          </w:p>
        </w:tc>
      </w:tr>
    </w:tbl>
    <w:p w14:paraId="7896A660" w14:textId="77777777" w:rsidR="00EE60D6" w:rsidRPr="000205C9" w:rsidRDefault="00EE60D6" w:rsidP="00EE60D6">
      <w:r w:rsidRPr="000205C9">
        <w:rPr>
          <w:i/>
          <w:iCs/>
        </w:rPr>
        <w:t>Note.</w:t>
      </w:r>
      <w:r w:rsidRPr="000205C9">
        <w:t xml:space="preserve"> Higher scores across all dimensions indicate positions more aligned with conservative or isolationist foreign policy orientations, while lower scores indicate positions more aligned with liberal internationalist orientations.</w:t>
      </w:r>
    </w:p>
    <w:p w14:paraId="4679B247" w14:textId="77777777" w:rsidR="00EE60D6" w:rsidRPr="00C602A7" w:rsidRDefault="00EE60D6" w:rsidP="00EE60D6">
      <w:pPr>
        <w:shd w:val="clear" w:color="auto" w:fill="FFFFFF"/>
        <w:spacing w:line="315" w:lineRule="atLeast"/>
        <w:rPr>
          <w:rFonts w:eastAsia="宋体"/>
          <w:color w:val="1F1F1F"/>
          <w:sz w:val="21"/>
          <w:szCs w:val="21"/>
        </w:rPr>
      </w:pPr>
    </w:p>
    <w:p w14:paraId="45B91BF1" w14:textId="77777777" w:rsidR="00EE60D6" w:rsidRDefault="00EE60D6" w:rsidP="00EE60D6">
      <w:r>
        <w:rPr>
          <w:rFonts w:hint="eastAsia"/>
        </w:rPr>
        <w:t>The general</w:t>
      </w:r>
      <w:r>
        <w:t xml:space="preserve"> dimension captures the most direct policy position relevant to legislative votes on Ukraine </w:t>
      </w:r>
      <w:r>
        <w:rPr>
          <w:rFonts w:hint="eastAsia"/>
        </w:rPr>
        <w:t xml:space="preserve">aid </w:t>
      </w:r>
      <w:r>
        <w:t>packages.</w:t>
      </w:r>
      <w:r>
        <w:rPr>
          <w:rFonts w:hint="eastAsia"/>
        </w:rPr>
        <w:t xml:space="preserve"> Ukraine Characterization dimension </w:t>
      </w:r>
      <w:r>
        <w:t xml:space="preserve">reflects the framing contests over Ukraine’s worthiness as an aid recipient </w:t>
      </w:r>
      <w:r>
        <w:rPr>
          <w:rFonts w:hint="eastAsia"/>
        </w:rPr>
        <w:t xml:space="preserve">in congressional hearings. Threat Priority </w:t>
      </w:r>
      <w:r>
        <w:t>dimension captures the geopolitical framing that has been central to Republican critiques arguing that Ukraine assistance diverts attention and resources from the China challenge.</w:t>
      </w:r>
      <w:r>
        <w:rPr>
          <w:rFonts w:hint="eastAsia"/>
        </w:rPr>
        <w:t xml:space="preserve"> Resource Allocation </w:t>
      </w:r>
      <w:r>
        <w:t>reflects the America First versus internationalist tension that crosscuts the Ukraine debate.</w:t>
      </w:r>
      <w:r>
        <w:rPr>
          <w:rFonts w:hint="eastAsia"/>
        </w:rPr>
        <w:t xml:space="preserve"> </w:t>
      </w:r>
    </w:p>
    <w:p w14:paraId="6971D7B2" w14:textId="77777777" w:rsidR="00EE60D6" w:rsidRDefault="00EE60D6" w:rsidP="00EE60D6"/>
    <w:p w14:paraId="4F6CBE20" w14:textId="77777777" w:rsidR="00EE60D6" w:rsidRDefault="00EE60D6" w:rsidP="00EE60D6">
      <w:pPr>
        <w:pStyle w:val="3"/>
      </w:pPr>
      <w:r>
        <w:lastRenderedPageBreak/>
        <w:t xml:space="preserve">Model </w:t>
      </w:r>
      <w:r>
        <w:rPr>
          <w:rFonts w:hint="eastAsia"/>
        </w:rPr>
        <w:t>and Prompt for Annotation</w:t>
      </w:r>
    </w:p>
    <w:p w14:paraId="19C6B223" w14:textId="77777777" w:rsidR="00EE60D6" w:rsidRDefault="00EE60D6" w:rsidP="00EE60D6">
      <w:r>
        <w:t xml:space="preserve">We employed OpenAI’s </w:t>
      </w:r>
      <w:r>
        <w:rPr>
          <w:rFonts w:hint="eastAsia"/>
        </w:rPr>
        <w:t>GPT</w:t>
      </w:r>
      <w:r>
        <w:t>-5.1-2025-11-13 for</w:t>
      </w:r>
      <w:r>
        <w:rPr>
          <w:rFonts w:hint="eastAsia"/>
        </w:rPr>
        <w:t xml:space="preserve"> annotation. </w:t>
      </w:r>
      <w:r w:rsidRPr="00024A0F">
        <w:rPr>
          <w:highlight w:val="yellow"/>
        </w:rPr>
        <w:t xml:space="preserve">Table </w:t>
      </w:r>
      <w:r>
        <w:rPr>
          <w:rFonts w:hint="eastAsia"/>
        </w:rPr>
        <w:t xml:space="preserve">2 </w:t>
      </w:r>
      <w:r>
        <w:t>presents the</w:t>
      </w:r>
      <w:r w:rsidRPr="00A70682">
        <w:rPr>
          <w:rFonts w:hint="eastAsia"/>
        </w:rPr>
        <w:t xml:space="preserve"> </w:t>
      </w:r>
      <w:r>
        <w:t xml:space="preserve">system and user prompt for annotation. First, we asked for a numeric position directly rather than supplying labelled examples. </w:t>
      </w:r>
      <w:r>
        <w:fldChar w:fldCharType="begin"/>
      </w:r>
      <w:r>
        <w:instrText xml:space="preserve"> ADDIN ZOTERO_ITEM CSL_CITATION {"citationID":"MnNj941C","properties":{"unsorted":false,"formattedCitation":"(Ornstein et al., 2025)","plainCitation":"(Ornstein et al., 2025)","dontUpdate":true,"noteIndex":0},"citationItems":[{"id":9648,"uris":["http://zotero.org/users/6825464/items/G7RQJK2Q"],"itemData":{"id":9648,"type":"article-journal","abstract":"We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fldChar w:fldCharType="separate"/>
      </w:r>
      <w:r>
        <w:rPr>
          <w:noProof/>
        </w:rPr>
        <w:t>Ornstein et al. (2025)</w:t>
      </w:r>
      <w:r>
        <w:fldChar w:fldCharType="end"/>
      </w:r>
      <w:r>
        <w:t xml:space="preserve"> recommend few-shot prompts and find that additional examples improve performance, but their applications read probability distributions over discrete labels. </w:t>
      </w:r>
      <w:r>
        <w:fldChar w:fldCharType="begin"/>
      </w:r>
      <w:r>
        <w:instrText xml:space="preserve"> ADDIN ZOTERO_ITEM CSL_CITATION {"citationID":"GTRaTs4L","properties":{"unsorted":false,"formattedCitation":"(T\\uc0\\u246{}rnberg, 2025)","plainCitation":"(Törnberg, 2025)","dontUpdate":true,"noteIndex":0},"citationItems":[{"id":9672,"uris":["http://zotero.org/users/6825464/items/CT5KGMRK"],"itemData":{"id":9672,"type":"article-journal","abstract":"Instruction-tuned Large Language Models (LLMs) have recently emerged as a powerful new tool for text analysis. As these models are capable of zero-shot annotation based on instructions written in natural language, they obviate the need of large sets of training data—and thus bring potential paradigm-shifting implications for using text as data. While the models show substantial promise, their relative performance compared to human coders and supervised models remains poorly understood and subject to significant academic debate. This paper assesses the strengths and weaknesses of popular fine-tuned AI models compared to both conventional supervised classifiers and manual annotation by experts and crowd workers. The task used is to identify the political affiliation of politicians based on a single X/Twitter message, focusing on data from 11 different countries. The paper finds that GPT-4 achieves higher accuracy than both supervised models and human coders across all languages and country contexts. In the US context, it achieves an accuracy of 0.934 and an inter-coder reliability of 0.982. Examining the cases where the models fail, the paper finds that the LLM—unlike the supervised models—correctly annotates messages that require interpretation of implicit or unspoken references, or reasoning on the basis of contextual knowledge—capacities that have traditionally been understood to be distinctly human. The paper thus contributes to our understanding of the revolutionary implications of LLMs for text analysis within the social sciences.","container-title":"Social Science Computer Review","DOI":"10.1177/08944393241286471","ISSN":"0894-4393","issue":"6","language":"EN","page":"1181-1195","publisher":"SAGE Publications Inc","source":"SAGE Journals","title":"Large Language Models Outperform Expert Coders and Supervised Classifiers at Annotating Political Social Media Messages","volume":"43","author":[{"family":"Törnberg","given":"Petter"}],"issued":{"date-parts":[["2025",12,1]]}}}],"schema":"https://github.com/citation-style-language/schema/raw/master/csl-citation.json"} </w:instrText>
      </w:r>
      <w:r>
        <w:fldChar w:fldCharType="separate"/>
      </w:r>
      <w:r w:rsidRPr="002F42B0">
        <w:rPr>
          <w:rFonts w:eastAsiaTheme="minorEastAsia"/>
          <w:szCs w:val="24"/>
          <w14:ligatures w14:val="standardContextual"/>
        </w:rPr>
        <w:t>Törnberg</w:t>
      </w:r>
      <w:r>
        <w:rPr>
          <w:rFonts w:eastAsiaTheme="minorEastAsia"/>
          <w:szCs w:val="24"/>
          <w14:ligatures w14:val="standardContextual"/>
        </w:rPr>
        <w:t xml:space="preserve"> (</w:t>
      </w:r>
      <w:r w:rsidRPr="002F42B0">
        <w:rPr>
          <w:rFonts w:eastAsiaTheme="minorEastAsia"/>
          <w:szCs w:val="24"/>
          <w14:ligatures w14:val="standardContextual"/>
        </w:rPr>
        <w:t>2025)</w:t>
      </w:r>
      <w:r>
        <w:fldChar w:fldCharType="end"/>
      </w:r>
      <w:r>
        <w:t xml:space="preserve"> obtains its results zero-shot from instructions written in natural language, and </w:t>
      </w:r>
      <w:r>
        <w:fldChar w:fldCharType="begin"/>
      </w:r>
      <w:r>
        <w:instrText xml:space="preserve"> ADDIN ZOTERO_ITEM CSL_CITATION {"citationID":"vVX98j8r","properties":{"unsorted":false,"formattedCitation":"(Le Mens &amp; Gallego, 2025)","plainCitation":"(Le Mens &amp; Gallego, 2025)","dontUpdate":true,"noteIndex":0},"citationItems":[{"id":9471,"uris":["http://zotero.org/users/6825464/items/T5RDD8ZW"],"itemData":{"id":9471,"type":"article-journal","container-title":"Political Analysis","DOI":"10.1017/pan.2024.24","issue":"3","note":"citation-key: MensGallego2025","page":"399-416","title":"Positioning Political Texts with Large Language Models by Asking and Averaging","volume":"33","author":[{"family":"Le Mens","given":"Gaël"},{"family":"Gallego","given":"Aina"}],"issued":{"date-parts":[["2025"]]}}}],"schema":"https://github.com/citation-style-language/schema/raw/master/csl-citation.json"} </w:instrText>
      </w:r>
      <w:r>
        <w:fldChar w:fldCharType="separate"/>
      </w:r>
      <w:r>
        <w:rPr>
          <w:noProof/>
        </w:rPr>
        <w:t>Le Mens &amp; Gallego (2025)</w:t>
      </w:r>
      <w:r>
        <w:fldChar w:fldCharType="end"/>
      </w:r>
      <w:r>
        <w:t xml:space="preserve"> annotated on a continuous scale directly, which is the structure our dimensions require. Supplying examples would also anchor the model on the particular sentences we chose, and that risk is greater when the output is a point on a scale than when it is a category. Second, we set temperature to zero so that the same sentence returns the same score on repeated presentation. Our downstream measures are monthly aggregates whose comparability across months depends on the annotation being stable rather than resampled. Third, we anchored both ends of every scale with substantive descriptions rather than numeric labels alone, so that a score of 30 carries the same meaning in March 2022 as it does in December 2024. Comparability across months is a requirement of RQ1 and RQ4 and cannot be recovered after annotation.</w:t>
      </w:r>
    </w:p>
    <w:p w14:paraId="76AC9A64" w14:textId="77777777" w:rsidR="00EE60D6" w:rsidRDefault="00EE60D6" w:rsidP="00EE60D6"/>
    <w:p w14:paraId="56ABD893" w14:textId="77777777" w:rsidR="00EE60D6" w:rsidRPr="009A0856" w:rsidRDefault="00EE60D6" w:rsidP="00EE60D6">
      <w:r>
        <w:rPr>
          <w:rFonts w:hint="eastAsia"/>
        </w:rPr>
        <w:t>Because some sentences lack sufficient information for confident assessment on a given dimension, we permitted an explicit NA response rather than forcing an answer. For instance, a</w:t>
      </w:r>
      <w:r w:rsidRPr="00D96C43">
        <w:t xml:space="preserve"> sentence discussing military aid may provide clear signal for</w:t>
      </w:r>
      <w:r>
        <w:rPr>
          <w:rFonts w:hint="eastAsia"/>
        </w:rPr>
        <w:t xml:space="preserve"> General </w:t>
      </w:r>
      <w:r w:rsidRPr="00D96C43">
        <w:t xml:space="preserve">Aid Stance while offering no discernible content </w:t>
      </w:r>
      <w:r>
        <w:rPr>
          <w:rFonts w:hint="eastAsia"/>
        </w:rPr>
        <w:t xml:space="preserve">about </w:t>
      </w:r>
      <w:r w:rsidRPr="00D96C43">
        <w:t>Ukraine Characterization</w:t>
      </w:r>
      <w:r>
        <w:rPr>
          <w:rFonts w:hint="eastAsia"/>
        </w:rPr>
        <w:t>.</w:t>
      </w:r>
      <w:r w:rsidRPr="00D96C43">
        <w:t xml:space="preserve"> Forcing numeric scores in such cases would introduce measurement noise by compelling the model to extrapolate beyond </w:t>
      </w:r>
      <w:r>
        <w:rPr>
          <w:rFonts w:hint="eastAsia"/>
        </w:rPr>
        <w:t>explicit</w:t>
      </w:r>
      <w:r w:rsidRPr="00D96C43">
        <w:t xml:space="preserve"> evidence. The NA option thus functions as an applicability filter rather than an indicator of data quality problems, and we report non-NA rates to characterize each dimension</w:t>
      </w:r>
      <w:r>
        <w:t>’</w:t>
      </w:r>
      <w:r w:rsidRPr="00D96C43">
        <w:t>s coverage within the corpus.</w:t>
      </w:r>
      <w:r w:rsidRPr="009A0856">
        <w:t xml:space="preserve"> </w:t>
      </w:r>
    </w:p>
    <w:p w14:paraId="19A06EF9" w14:textId="77777777" w:rsidR="00EE60D6" w:rsidRPr="00A70682" w:rsidRDefault="00EE60D6" w:rsidP="00EE60D6"/>
    <w:p w14:paraId="3ACE0BB1" w14:textId="77777777" w:rsidR="00EE60D6" w:rsidRPr="00D458BD" w:rsidRDefault="00EE60D6" w:rsidP="00EE60D6">
      <w:r w:rsidRPr="00A70682">
        <w:rPr>
          <w:b/>
          <w:bCs/>
        </w:rPr>
        <w:t xml:space="preserve">Table </w:t>
      </w:r>
      <w:r>
        <w:rPr>
          <w:rFonts w:hint="eastAsia"/>
          <w:b/>
          <w:bCs/>
        </w:rPr>
        <w:t>2:</w:t>
      </w:r>
      <w:r w:rsidRPr="00A70682">
        <w:rPr>
          <w:rFonts w:hint="eastAsia"/>
        </w:rPr>
        <w:t xml:space="preserve"> </w:t>
      </w:r>
      <w:r>
        <w:rPr>
          <w:rFonts w:hint="eastAsia"/>
        </w:rPr>
        <w:t>Annotation Prompt</w:t>
      </w:r>
    </w:p>
    <w:tbl>
      <w:tblPr>
        <w:tblW w:w="5000" w:type="pct"/>
        <w:tblBorders>
          <w:top w:val="single" w:sz="8" w:space="0" w:color="auto"/>
          <w:bottom w:val="single" w:sz="8" w:space="0" w:color="auto"/>
          <w:insideH w:val="single" w:sz="8" w:space="0" w:color="auto"/>
        </w:tblBorders>
        <w:tblCellMar>
          <w:top w:w="15" w:type="dxa"/>
          <w:left w:w="15" w:type="dxa"/>
          <w:bottom w:w="15" w:type="dxa"/>
          <w:right w:w="15" w:type="dxa"/>
        </w:tblCellMar>
        <w:tblLook w:val="0480" w:firstRow="0" w:lastRow="0" w:firstColumn="1" w:lastColumn="0" w:noHBand="0" w:noVBand="1"/>
      </w:tblPr>
      <w:tblGrid>
        <w:gridCol w:w="1031"/>
        <w:gridCol w:w="8329"/>
      </w:tblGrid>
      <w:tr w:rsidR="00EE60D6" w:rsidRPr="00D458BD" w14:paraId="29191553" w14:textId="77777777" w:rsidTr="00831018">
        <w:tc>
          <w:tcPr>
            <w:tcW w:w="551" w:type="pct"/>
            <w:vAlign w:val="center"/>
          </w:tcPr>
          <w:p w14:paraId="0DA358D9" w14:textId="77777777" w:rsidR="00EE60D6" w:rsidRDefault="00EE60D6" w:rsidP="00831018">
            <w:pPr>
              <w:rPr>
                <w:b/>
                <w:bCs/>
              </w:rPr>
            </w:pPr>
            <w:r>
              <w:rPr>
                <w:b/>
                <w:bCs/>
              </w:rPr>
              <w:t>System Prompt</w:t>
            </w:r>
          </w:p>
        </w:tc>
        <w:tc>
          <w:tcPr>
            <w:tcW w:w="4449" w:type="pct"/>
            <w:vAlign w:val="center"/>
          </w:tcPr>
          <w:p w14:paraId="4E94449D" w14:textId="77777777" w:rsidR="00EE60D6" w:rsidRDefault="00EE60D6" w:rsidP="00831018">
            <w:r>
              <w:t>You are a precise political text analyst. Return only valid JSON.</w:t>
            </w:r>
          </w:p>
        </w:tc>
      </w:tr>
      <w:tr w:rsidR="00EE60D6" w:rsidRPr="00D458BD" w14:paraId="593AFCB9" w14:textId="77777777" w:rsidTr="00831018">
        <w:tc>
          <w:tcPr>
            <w:tcW w:w="551" w:type="pct"/>
            <w:vAlign w:val="center"/>
          </w:tcPr>
          <w:p w14:paraId="4253E645" w14:textId="77777777" w:rsidR="00EE60D6" w:rsidRPr="00D458BD" w:rsidRDefault="00EE60D6" w:rsidP="00831018">
            <w:r>
              <w:rPr>
                <w:b/>
                <w:bCs/>
              </w:rPr>
              <w:t xml:space="preserve">User </w:t>
            </w:r>
            <w:r w:rsidRPr="00D458BD">
              <w:rPr>
                <w:b/>
                <w:bCs/>
              </w:rPr>
              <w:t>Prompt</w:t>
            </w:r>
          </w:p>
        </w:tc>
        <w:tc>
          <w:tcPr>
            <w:tcW w:w="4449" w:type="pct"/>
            <w:vAlign w:val="center"/>
          </w:tcPr>
          <w:p w14:paraId="27B5CC18" w14:textId="77777777" w:rsidR="00EE60D6" w:rsidRDefault="00EE60D6" w:rsidP="00831018">
            <w:r w:rsidRPr="00D458BD">
              <w:t>You will rate a sentence from U.S. news media. The sentence contains [ENTITY], which masks a U.S. political party or politician. If multiple [ENTITY] appear in a sentence, they all refer to members of the same party. Answer FOUR questions about [ENTITY]</w:t>
            </w:r>
            <w:r>
              <w:t>’</w:t>
            </w:r>
            <w:r w:rsidRPr="00D458BD">
              <w:t xml:space="preserve">s position as expressed in this sentence. Answer based on ONLY what this sentence explicitly conveys. Do NOT infer which party [ENTITY] represents. Answer each question independently. </w:t>
            </w:r>
          </w:p>
          <w:p w14:paraId="04638532" w14:textId="77777777" w:rsidR="00EE60D6" w:rsidRDefault="00EE60D6" w:rsidP="00831018"/>
          <w:p w14:paraId="78F985C9" w14:textId="77777777" w:rsidR="00EE60D6" w:rsidRDefault="00EE60D6" w:rsidP="00831018">
            <w:r w:rsidRPr="00D458BD">
              <w:t>Q1: What is [ENTITY]</w:t>
            </w:r>
            <w:r>
              <w:t>’</w:t>
            </w:r>
            <w:r w:rsidRPr="00D458BD">
              <w:t xml:space="preserve">s stance on providing military and financial aid to Ukraine? </w:t>
            </w:r>
          </w:p>
          <w:p w14:paraId="178E59D2" w14:textId="77777777" w:rsidR="00EE60D6" w:rsidRDefault="00EE60D6" w:rsidP="00831018">
            <w:r w:rsidRPr="00D458BD">
              <w:t xml:space="preserve">(0 = Strong support for providing aid; 100 = Strong opposition to providing aid). </w:t>
            </w:r>
          </w:p>
          <w:p w14:paraId="4B18930C" w14:textId="77777777" w:rsidR="00EE60D6" w:rsidRDefault="00EE60D6" w:rsidP="00831018">
            <w:r w:rsidRPr="00D458BD">
              <w:t xml:space="preserve">Q2: How does [ENTITY] characterize Ukraine? </w:t>
            </w:r>
          </w:p>
          <w:p w14:paraId="08CE1153" w14:textId="77777777" w:rsidR="00EE60D6" w:rsidRDefault="00EE60D6" w:rsidP="00831018">
            <w:r w:rsidRPr="00D458BD">
              <w:t xml:space="preserve">(0 = Democratic ally defending Western values; 100 = Corrupt country / not a U.S. concern / futile cause). </w:t>
            </w:r>
          </w:p>
          <w:p w14:paraId="647B4816" w14:textId="77777777" w:rsidR="00EE60D6" w:rsidRDefault="00EE60D6" w:rsidP="00831018">
            <w:r w:rsidRPr="00D458BD">
              <w:t xml:space="preserve">Q3: Which strategic threat does [ENTITY] prioritize? </w:t>
            </w:r>
          </w:p>
          <w:p w14:paraId="688950E7" w14:textId="77777777" w:rsidR="00EE60D6" w:rsidRDefault="00EE60D6" w:rsidP="00831018">
            <w:r w:rsidRPr="00D458BD">
              <w:t xml:space="preserve">(0 = Russia as primary threat to contain; 100 = China/Indo-Pacific as primary strategic focus). </w:t>
            </w:r>
          </w:p>
          <w:p w14:paraId="76F190BF" w14:textId="77777777" w:rsidR="00EE60D6" w:rsidRDefault="00EE60D6" w:rsidP="00831018">
            <w:r w:rsidRPr="00D458BD">
              <w:t xml:space="preserve">Q4: Where does [ENTITY] suggest resources should be allocated? </w:t>
            </w:r>
          </w:p>
          <w:p w14:paraId="2C4ADFA1" w14:textId="77777777" w:rsidR="00EE60D6" w:rsidRDefault="00EE60D6" w:rsidP="00831018">
            <w:r w:rsidRPr="00D458BD">
              <w:t xml:space="preserve">(0 = International commitments; 100 = Domestic priorities). </w:t>
            </w:r>
          </w:p>
          <w:p w14:paraId="4F720113" w14:textId="77777777" w:rsidR="00EE60D6" w:rsidRDefault="00EE60D6" w:rsidP="00831018"/>
          <w:p w14:paraId="63A00AB8" w14:textId="77777777" w:rsidR="00EE60D6" w:rsidRDefault="00EE60D6" w:rsidP="00831018">
            <w:r w:rsidRPr="00D458BD">
              <w:t xml:space="preserve">Return </w:t>
            </w:r>
            <w:r>
              <w:t>“</w:t>
            </w:r>
            <w:r>
              <w:rPr>
                <w:rFonts w:hint="eastAsia"/>
              </w:rPr>
              <w:t>NA</w:t>
            </w:r>
            <w:r>
              <w:t>”</w:t>
            </w:r>
            <w:r>
              <w:rPr>
                <w:rFonts w:hint="eastAsia"/>
              </w:rPr>
              <w:t xml:space="preserve"> </w:t>
            </w:r>
            <w:r w:rsidRPr="00D458BD">
              <w:t xml:space="preserve">when sentence is purely procedural, mentions [ENTITY] without expressing a stance, or concerns Ukraine without U.S. policy relevance. </w:t>
            </w:r>
          </w:p>
          <w:p w14:paraId="0DC8265D" w14:textId="77777777" w:rsidR="00EE60D6" w:rsidRDefault="00EE60D6" w:rsidP="00831018"/>
          <w:p w14:paraId="52747861" w14:textId="77777777" w:rsidR="00EE60D6" w:rsidRPr="00D458BD" w:rsidRDefault="00EE60D6" w:rsidP="00831018">
            <w:r w:rsidRPr="00D458BD">
              <w:t>Output: JSON only. {q1: &lt;0-100|NA&gt;, q2: &lt;0-100|NA&gt;, q3: &lt;0-100|NA&gt;, q4: &lt;0-100|NA&gt;}</w:t>
            </w:r>
          </w:p>
        </w:tc>
      </w:tr>
    </w:tbl>
    <w:p w14:paraId="46FE3D18" w14:textId="77777777" w:rsidR="00EE60D6" w:rsidRDefault="00EE60D6" w:rsidP="00EE60D6">
      <w:r w:rsidRPr="004B0D26">
        <w:rPr>
          <w:rFonts w:hint="eastAsia"/>
          <w:i/>
          <w:iCs/>
        </w:rPr>
        <w:lastRenderedPageBreak/>
        <w:t xml:space="preserve">Note. </w:t>
      </w:r>
      <w:r>
        <w:rPr>
          <w:rFonts w:hint="eastAsia"/>
        </w:rPr>
        <w:t xml:space="preserve">LLM </w:t>
      </w:r>
      <w:r w:rsidRPr="00D458BD">
        <w:t xml:space="preserve">temperature </w:t>
      </w:r>
      <w:r>
        <w:rPr>
          <w:rFonts w:hint="eastAsia"/>
        </w:rPr>
        <w:t>set to 0</w:t>
      </w:r>
    </w:p>
    <w:p w14:paraId="227A8D2C" w14:textId="77777777" w:rsidR="00EE60D6" w:rsidRDefault="00EE60D6" w:rsidP="00EE60D6"/>
    <w:p w14:paraId="5286A773" w14:textId="77777777" w:rsidR="00EE60D6" w:rsidRDefault="00EE60D6" w:rsidP="00EE60D6">
      <w:pPr>
        <w:pStyle w:val="3"/>
      </w:pPr>
      <w:r w:rsidRPr="003B28F8">
        <w:t xml:space="preserve">Validation of LLM </w:t>
      </w:r>
      <w:r>
        <w:rPr>
          <w:rFonts w:hint="eastAsia"/>
        </w:rPr>
        <w:t>Annotation</w:t>
      </w:r>
    </w:p>
    <w:p w14:paraId="12D2D826" w14:textId="77777777" w:rsidR="00EE60D6" w:rsidRDefault="00EE60D6" w:rsidP="00EE60D6">
      <w:r w:rsidRPr="003B28F8">
        <w:t xml:space="preserve">To </w:t>
      </w:r>
      <w:r>
        <w:rPr>
          <w:rFonts w:hint="eastAsia"/>
        </w:rPr>
        <w:t>validate</w:t>
      </w:r>
      <w:r w:rsidRPr="003B28F8">
        <w:t xml:space="preserve"> the reliability of </w:t>
      </w:r>
      <w:r>
        <w:rPr>
          <w:rFonts w:hint="eastAsia"/>
        </w:rPr>
        <w:t>LLM</w:t>
      </w:r>
      <w:r>
        <w:t>’</w:t>
      </w:r>
      <w:r>
        <w:rPr>
          <w:rFonts w:hint="eastAsia"/>
        </w:rPr>
        <w:t xml:space="preserve">s annotation, we </w:t>
      </w:r>
      <w:r w:rsidRPr="005C6342">
        <w:t>evaluated</w:t>
      </w:r>
      <w:r w:rsidRPr="005C6342">
        <w:rPr>
          <w:color w:val="1F1F1F"/>
        </w:rPr>
        <w:t xml:space="preserve"> </w:t>
      </w:r>
      <w:r w:rsidRPr="005C6342">
        <w:t>three</w:t>
      </w:r>
      <w:r w:rsidRPr="005C6342">
        <w:rPr>
          <w:color w:val="1F1F1F"/>
        </w:rPr>
        <w:t xml:space="preserve"> </w:t>
      </w:r>
      <w:r>
        <w:rPr>
          <w:rFonts w:hint="eastAsia"/>
          <w:color w:val="1F1F1F"/>
        </w:rPr>
        <w:t xml:space="preserve">distinct </w:t>
      </w:r>
      <w:r w:rsidRPr="005C6342">
        <w:t>properties</w:t>
      </w:r>
      <w:r>
        <w:rPr>
          <w:rFonts w:hint="eastAsia"/>
          <w:color w:val="1F1F1F"/>
        </w:rPr>
        <w:t xml:space="preserve">: </w:t>
      </w:r>
      <w:r w:rsidRPr="005C6342">
        <w:t>Human-to-human</w:t>
      </w:r>
      <w:r w:rsidRPr="005C6342">
        <w:rPr>
          <w:color w:val="1F1F1F"/>
        </w:rPr>
        <w:t xml:space="preserve"> </w:t>
      </w:r>
      <w:r w:rsidRPr="005C6342">
        <w:t>agreement</w:t>
      </w:r>
      <w:r>
        <w:rPr>
          <w:rFonts w:hint="eastAsia"/>
          <w:color w:val="1F1F1F"/>
        </w:rPr>
        <w:t xml:space="preserve">, which </w:t>
      </w:r>
      <w:r>
        <w:rPr>
          <w:rFonts w:hint="eastAsia"/>
        </w:rPr>
        <w:t>assess</w:t>
      </w:r>
      <w:r w:rsidRPr="005C6342">
        <w:rPr>
          <w:color w:val="1F1F1F"/>
        </w:rPr>
        <w:t xml:space="preserve"> </w:t>
      </w:r>
      <w:r w:rsidRPr="005C6342">
        <w:t>the</w:t>
      </w:r>
      <w:r w:rsidRPr="005C6342">
        <w:rPr>
          <w:color w:val="1F1F1F"/>
        </w:rPr>
        <w:t xml:space="preserve"> </w:t>
      </w:r>
      <w:r w:rsidRPr="005C6342">
        <w:t>reproducibility</w:t>
      </w:r>
      <w:r w:rsidRPr="005C6342">
        <w:rPr>
          <w:color w:val="1F1F1F"/>
        </w:rPr>
        <w:t xml:space="preserve"> </w:t>
      </w:r>
      <w:r w:rsidRPr="005C6342">
        <w:t>of</w:t>
      </w:r>
      <w:r w:rsidRPr="005C6342">
        <w:rPr>
          <w:color w:val="1F1F1F"/>
        </w:rPr>
        <w:t xml:space="preserve"> </w:t>
      </w:r>
      <w:r w:rsidRPr="005C6342">
        <w:t>the</w:t>
      </w:r>
      <w:r w:rsidRPr="005C6342">
        <w:rPr>
          <w:color w:val="1F1F1F"/>
        </w:rPr>
        <w:t xml:space="preserve"> </w:t>
      </w:r>
      <w:r>
        <w:rPr>
          <w:rFonts w:hint="eastAsia"/>
        </w:rPr>
        <w:t>annotation</w:t>
      </w:r>
      <w:r w:rsidRPr="005C6342">
        <w:rPr>
          <w:color w:val="1F1F1F"/>
        </w:rPr>
        <w:t xml:space="preserve"> </w:t>
      </w:r>
      <w:r>
        <w:rPr>
          <w:rFonts w:hint="eastAsia"/>
        </w:rPr>
        <w:t xml:space="preserve">prompt by human experts; </w:t>
      </w:r>
      <w:r w:rsidRPr="005C6342">
        <w:t>LLM-to-human</w:t>
      </w:r>
      <w:r w:rsidRPr="005C6342">
        <w:rPr>
          <w:color w:val="1F1F1F"/>
        </w:rPr>
        <w:t xml:space="preserve"> </w:t>
      </w:r>
      <w:r w:rsidRPr="005C6342">
        <w:t>agreement</w:t>
      </w:r>
      <w:r>
        <w:rPr>
          <w:rFonts w:hint="eastAsia"/>
          <w:color w:val="1F1F1F"/>
        </w:rPr>
        <w:t xml:space="preserve">, which assess the reliability of LLM annotation against human references; </w:t>
      </w:r>
      <w:r w:rsidRPr="005C6342">
        <w:t>LLM</w:t>
      </w:r>
      <w:r w:rsidRPr="005C6342">
        <w:rPr>
          <w:color w:val="1F1F1F"/>
        </w:rPr>
        <w:t xml:space="preserve"> </w:t>
      </w:r>
      <w:r w:rsidRPr="005C6342">
        <w:t>test-retest</w:t>
      </w:r>
      <w:r w:rsidRPr="005C6342">
        <w:rPr>
          <w:color w:val="1F1F1F"/>
        </w:rPr>
        <w:t xml:space="preserve"> </w:t>
      </w:r>
      <w:r w:rsidRPr="005C6342">
        <w:t>reliability</w:t>
      </w:r>
      <w:r>
        <w:rPr>
          <w:rFonts w:hint="eastAsia"/>
          <w:color w:val="1F1F1F"/>
        </w:rPr>
        <w:t xml:space="preserve">, which assess </w:t>
      </w:r>
      <w:r>
        <w:t>reproducibility</w:t>
      </w:r>
      <w:r w:rsidRPr="005C6342">
        <w:rPr>
          <w:color w:val="1F1F1F"/>
        </w:rPr>
        <w:t xml:space="preserve"> </w:t>
      </w:r>
      <w:r w:rsidRPr="005C6342">
        <w:t>of</w:t>
      </w:r>
      <w:r w:rsidRPr="005C6342">
        <w:rPr>
          <w:color w:val="1F1F1F"/>
        </w:rPr>
        <w:t xml:space="preserve"> </w:t>
      </w:r>
      <w:r>
        <w:rPr>
          <w:rFonts w:hint="eastAsia"/>
        </w:rPr>
        <w:t>the LLM</w:t>
      </w:r>
      <w:r>
        <w:t>’</w:t>
      </w:r>
      <w:r>
        <w:rPr>
          <w:rFonts w:hint="eastAsia"/>
        </w:rPr>
        <w:t xml:space="preserve">s own annotation over repeated trials of the same text. </w:t>
      </w:r>
      <w:r>
        <w:t>We declared the agreement thresholds in advance: an average LLM-to-human score correlation of at least 0.70, at least 0.75 of the inter-coder correlation, and average NA agreement of at least 0.80.</w:t>
      </w:r>
    </w:p>
    <w:p w14:paraId="3DBAD676" w14:textId="77777777" w:rsidR="00EE60D6" w:rsidRDefault="00EE60D6" w:rsidP="00EE60D6"/>
    <w:p w14:paraId="43C25099" w14:textId="77777777" w:rsidR="00EE60D6" w:rsidRDefault="00EE60D6" w:rsidP="00EE60D6">
      <w:r>
        <w:t>Two trained coders independently rated a party-stratified random sample of 50 sentences, 25 Republican-attributed and 25 Democrat-attributed, on all four dimensions. Because the annotation permits NA, the 200 resulting ratings yielded 44 pairs on which both coders returned a numeric score. Across those pairs, agreement was high, with Pearson r = .981, ICC = .981, and a mean absolute error of 4.66 points on the 0 to 100 scale, alongside 99% agreement on NA assignment across all 200 ratings. Agreement is unevenly distributed across dimensions. General Ukraine Aid Stance supplied 35 of the 44 numeric pairs and reached r = .980. Ukraine Characterization supplied five pairs, while Threat Priority and Resource Allocation supplied two each, which is too few to estimate dimension-specific agreement. The overall figure therefore describes reproducibility of the instructions principally for the general dimension.</w:t>
      </w:r>
    </w:p>
    <w:p w14:paraId="109ACE5C" w14:textId="77777777" w:rsidR="00EE60D6" w:rsidRDefault="00EE60D6" w:rsidP="00EE60D6"/>
    <w:p w14:paraId="1DEB4B8F" w14:textId="77777777" w:rsidR="00EE60D6" w:rsidRDefault="00EE60D6" w:rsidP="00EE60D6">
      <w:r w:rsidRPr="00F40323">
        <w:t>The model</w:t>
      </w:r>
      <w:r>
        <w:t xml:space="preserve">’s </w:t>
      </w:r>
      <w:r w:rsidRPr="00F40323">
        <w:t>scores met all three predeclared thresholds against both coders. Against Coder 1, r = .817 and ICC = .773; against Coder 2, r = .789 and ICC = .734. The average LLM-to-human correlation of .803 is 81.8% of the inter-coder correlation, and average NA agreement was .83. Two features of this comparison qualify it. First, the model scored systematically lower than the coders, by 11.5 points against Coder 1 and 13.3 points against Coder 2. Polarization is a signed difference between party means, so a bias common to both parties cancels in that difference</w:t>
      </w:r>
      <w:r>
        <w:t>.</w:t>
      </w:r>
      <w:r w:rsidRPr="00F40323">
        <w:t xml:space="preserve"> Second, NA agreement is the weaker of the two criteria. Human coders disagreed about applicability on 1% of ratings, whereas the model disagreed with the coders on roughly one rating in six. Because NA determines which sentences enter each dimension, this affects dimensional coverage more than it affects the scores themselves, and we report non-NA rates in the Results for that reason.</w:t>
      </w:r>
    </w:p>
    <w:p w14:paraId="66BE5FE6" w14:textId="77777777" w:rsidR="00EE60D6" w:rsidRPr="00F40323" w:rsidRDefault="00EE60D6" w:rsidP="00EE60D6"/>
    <w:p w14:paraId="3071E82D" w14:textId="77777777" w:rsidR="00EE60D6" w:rsidRDefault="00EE60D6" w:rsidP="00EE60D6">
      <w:r w:rsidRPr="00F40323">
        <w:t>We assessed test-retest reliability on a preserved sample of 171 annotation rows scored three times under the same configuration. Repeat scores were nearly identical. General Ukraine Aid Stance reached ICC = .999 on 24 sentences with valid repeats, Ukraine Characterization ICC = .991 on 16, Threat Priority ICC = 1.000 on 7, and Resource Allocation ICC = .995 on 10, for an average ICC of .996 and an average within-sentence standard deviation of 0.44 points. The Threat Priority figure rests on seven sentences that returned identical scores on every repeat, so it should be read as an absence of observed variation rather than as a precise estimate.</w:t>
      </w:r>
    </w:p>
    <w:p w14:paraId="1CE4D639" w14:textId="77777777" w:rsidR="00EE60D6" w:rsidRPr="00A870B9" w:rsidRDefault="00EE60D6" w:rsidP="00EE60D6">
      <w:pPr>
        <w:pStyle w:val="2"/>
      </w:pPr>
      <w:r w:rsidRPr="00A870B9">
        <w:lastRenderedPageBreak/>
        <w:t>Aggregation to monthly-series</w:t>
      </w:r>
    </w:p>
    <w:p w14:paraId="11FB1450" w14:textId="77777777" w:rsidR="00EE60D6" w:rsidRDefault="00EE60D6" w:rsidP="00EE60D6">
      <w:r>
        <w:rPr>
          <w:rFonts w:hint="eastAsia"/>
        </w:rPr>
        <w:t xml:space="preserve">We aggregated sentence-level annotation in two steps. First, for each combination of article, party, and </w:t>
      </w:r>
      <w:r>
        <w:t>dimension</w:t>
      </w:r>
      <w:r>
        <w:rPr>
          <w:rFonts w:hint="eastAsia"/>
        </w:rPr>
        <w:t xml:space="preserve">, we averaged the non-NA sentence scores to obtain the article-level annotation, which we denote </w:t>
      </w:r>
      <m:oMath>
        <m:sSub>
          <m:sSubPr>
            <m:ctrlPr>
              <w:rPr>
                <w:rFonts w:ascii="Cambria Math" w:hAnsi="Cambria Math"/>
              </w:rPr>
            </m:ctrlPr>
          </m:sSubPr>
          <m:e>
            <m:r>
              <w:rPr>
                <w:rFonts w:ascii="Cambria Math" w:hAnsi="Cambria Math"/>
              </w:rPr>
              <m:t>x</m:t>
            </m:r>
          </m:e>
          <m:sub>
            <m:r>
              <w:rPr>
                <w:rFonts w:ascii="Cambria Math" w:hAnsi="Cambria Math"/>
              </w:rPr>
              <m:t>ipd</m:t>
            </m:r>
          </m:sub>
        </m:sSub>
      </m:oMath>
      <w:r>
        <w:rPr>
          <w:rFonts w:hint="eastAsia"/>
        </w:rPr>
        <w:t xml:space="preserve"> for article </w:t>
      </w:r>
      <w:r w:rsidRPr="00D202DB">
        <w:rPr>
          <w:rFonts w:hint="eastAsia"/>
          <w:i/>
          <w:iCs/>
        </w:rPr>
        <w:t>i</w:t>
      </w:r>
      <w:r>
        <w:rPr>
          <w:rFonts w:hint="eastAsia"/>
        </w:rPr>
        <w:t xml:space="preserve">, party </w:t>
      </w:r>
      <w:r w:rsidRPr="00D202DB">
        <w:rPr>
          <w:rFonts w:hint="eastAsia"/>
          <w:i/>
          <w:iCs/>
        </w:rPr>
        <w:t>p</w:t>
      </w:r>
      <w:r>
        <w:rPr>
          <w:rFonts w:hint="eastAsia"/>
        </w:rPr>
        <w:t xml:space="preserve">, and dimension </w:t>
      </w:r>
      <w:r w:rsidRPr="00D202DB">
        <w:rPr>
          <w:rFonts w:hint="eastAsia"/>
          <w:i/>
          <w:iCs/>
        </w:rPr>
        <w:t>d</w:t>
      </w:r>
      <w:r>
        <w:rPr>
          <w:rFonts w:hint="eastAsia"/>
        </w:rPr>
        <w:t xml:space="preserve">. This aggregation </w:t>
      </w:r>
      <w:r w:rsidRPr="002A2F7E">
        <w:t>yielded 11,819 articles and 14,564 article-party rows.</w:t>
      </w:r>
      <w:r>
        <w:rPr>
          <w:rFonts w:hint="eastAsia"/>
        </w:rPr>
        <w:t xml:space="preserve"> </w:t>
      </w:r>
      <w:r>
        <w:t>Party counts are nonexclusive because one article can contain separate eligible sentences attributed to both parties.</w:t>
      </w:r>
      <w:r>
        <w:rPr>
          <w:rFonts w:hint="eastAsia"/>
        </w:rPr>
        <w:t xml:space="preserve"> We aggregated to articles first because a sentence is not an independent observation of how a party was represented. Sentences from the same article share an author, a frame, a single editorial decision, so allowing an article to </w:t>
      </w:r>
      <w:r>
        <w:t>contribute</w:t>
      </w:r>
      <w:r>
        <w:rPr>
          <w:rFonts w:hint="eastAsia"/>
        </w:rPr>
        <w:t xml:space="preserve"> to multiple observation would violate independence. </w:t>
      </w:r>
    </w:p>
    <w:p w14:paraId="6846FF1A" w14:textId="77777777" w:rsidR="00EE60D6" w:rsidRDefault="00EE60D6" w:rsidP="00EE60D6"/>
    <w:p w14:paraId="06B57193" w14:textId="77777777" w:rsidR="00EE60D6" w:rsidRDefault="00EE60D6" w:rsidP="00EE60D6">
      <w:r>
        <w:rPr>
          <w:rFonts w:hint="eastAsia"/>
        </w:rPr>
        <w:t xml:space="preserve">Second, we aggregated articles into monthly party positions using a relevance-volume weight. We assigned each article the weight: </w:t>
      </w:r>
    </w:p>
    <w:p w14:paraId="79D2C1CE" w14:textId="77777777" w:rsidR="00EE60D6" w:rsidRPr="00B95556" w:rsidRDefault="00EE60D6" w:rsidP="00EE60D6">
      <w:pPr>
        <w:rPr>
          <w:iCs/>
        </w:rPr>
      </w:pPr>
      <m:oMathPara>
        <m:oMath>
          <m:sSub>
            <m:sSubPr>
              <m:ctrlPr>
                <w:rPr>
                  <w:rFonts w:ascii="Cambria Math" w:hAnsi="Cambria Math"/>
                  <w:iCs/>
                </w:rPr>
              </m:ctrlPr>
            </m:sSubPr>
            <m:e>
              <m:r>
                <w:rPr>
                  <w:rFonts w:ascii="Cambria Math" w:hAnsi="Cambria Math"/>
                </w:rPr>
                <m:t>w</m:t>
              </m:r>
            </m:e>
            <m:sub>
              <m:r>
                <w:rPr>
                  <w:rFonts w:ascii="Cambria Math" w:hAnsi="Cambria Math"/>
                </w:rPr>
                <m:t>ip</m:t>
              </m:r>
            </m:sub>
          </m:sSub>
          <m:r>
            <m:rPr>
              <m:sty m:val="p"/>
            </m:rPr>
            <w:rPr>
              <w:rFonts w:ascii="Cambria Math" w:hAnsi="Cambria Math"/>
            </w:rPr>
            <m:t xml:space="preserve"> = log(1+</m:t>
          </m:r>
          <m:sSub>
            <m:sSubPr>
              <m:ctrlPr>
                <w:rPr>
                  <w:rFonts w:ascii="Cambria Math" w:hAnsi="Cambria Math"/>
                  <w:i/>
                </w:rPr>
              </m:ctrlPr>
            </m:sSubPr>
            <m:e>
              <m:r>
                <w:rPr>
                  <w:rFonts w:ascii="Cambria Math" w:hAnsi="Cambria Math"/>
                </w:rPr>
                <m:t>n</m:t>
              </m:r>
            </m:e>
            <m:sub>
              <m:r>
                <w:rPr>
                  <w:rFonts w:ascii="Cambria Math" w:hAnsi="Cambria Math"/>
                </w:rPr>
                <m:t>i</m:t>
              </m:r>
            </m:sub>
          </m:sSub>
          <m:r>
            <m:rPr>
              <m:sty m:val="p"/>
            </m:rPr>
            <w:rPr>
              <w:rFonts w:ascii="Cambria Math" w:hAnsi="Cambria Math"/>
            </w:rPr>
            <m:t>)</m:t>
          </m:r>
        </m:oMath>
      </m:oMathPara>
    </w:p>
    <w:p w14:paraId="2561FEE3" w14:textId="77777777" w:rsidR="00EE60D6" w:rsidRPr="00600FCE" w:rsidRDefault="00EE60D6" w:rsidP="00EE60D6">
      <w:pPr>
        <w:rPr>
          <w:color w:val="000000" w:themeColor="text1"/>
        </w:rPr>
      </w:pPr>
      <w:r>
        <w:t>W</w:t>
      </w:r>
      <w:r>
        <w:rPr>
          <w:rFonts w:hint="eastAsia"/>
        </w:rPr>
        <w:t xml:space="preserve">here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Pr>
          <w:rFonts w:hint="eastAsia"/>
        </w:rPr>
        <w:t xml:space="preserve"> is the number of Ukraine-</w:t>
      </w:r>
      <w:r>
        <w:t>relevant</w:t>
      </w:r>
      <w:r>
        <w:rPr>
          <w:rFonts w:hint="eastAsia"/>
        </w:rPr>
        <w:t xml:space="preserve"> sentences in the article </w:t>
      </w:r>
      <w:r>
        <w:rPr>
          <w:rFonts w:hint="eastAsia"/>
          <w:i/>
          <w:iCs/>
        </w:rPr>
        <w:t xml:space="preserve">i, </w:t>
      </w:r>
      <w:r w:rsidRPr="001716BC">
        <w:rPr>
          <w:rFonts w:hint="eastAsia"/>
        </w:rPr>
        <w:t xml:space="preserve">and computed the monthly party position on each dimension as </w:t>
      </w:r>
    </w:p>
    <w:p w14:paraId="3B7C1877" w14:textId="77777777" w:rsidR="00EE60D6" w:rsidRPr="00C602A7" w:rsidRDefault="00EE60D6" w:rsidP="00EE60D6">
      <w:pPr>
        <w:rPr>
          <w:rFonts w:eastAsia="宋体"/>
          <w:color w:val="000000" w:themeColor="text1"/>
          <w:sz w:val="21"/>
          <w:szCs w:val="21"/>
        </w:rPr>
      </w:pPr>
      <m:oMathPara>
        <m:oMath>
          <m:sSub>
            <m:sSubPr>
              <m:ctrlPr>
                <w:rPr>
                  <w:rFonts w:ascii="Cambria Math" w:eastAsia="宋体" w:hAnsi="Cambria Math"/>
                  <w:color w:val="000000" w:themeColor="text1"/>
                  <w:sz w:val="21"/>
                  <w:szCs w:val="21"/>
                </w:rPr>
              </m:ctrlPr>
            </m:sSubPr>
            <m:e>
              <m:acc>
                <m:accPr>
                  <m:chr m:val="̅"/>
                  <m:ctrlPr>
                    <w:rPr>
                      <w:rFonts w:ascii="Cambria Math" w:eastAsia="宋体" w:hAnsi="Cambria Math"/>
                      <w:color w:val="000000" w:themeColor="text1"/>
                      <w:sz w:val="21"/>
                      <w:szCs w:val="21"/>
                    </w:rPr>
                  </m:ctrlPr>
                </m:accPr>
                <m:e>
                  <m:r>
                    <w:rPr>
                      <w:rFonts w:ascii="Cambria Math" w:eastAsia="宋体" w:hAnsi="Cambria Math"/>
                      <w:color w:val="000000" w:themeColor="text1"/>
                      <w:sz w:val="21"/>
                      <w:szCs w:val="21"/>
                    </w:rPr>
                    <m:t>x</m:t>
                  </m:r>
                </m:e>
              </m:acc>
            </m:e>
            <m:sub>
              <m:r>
                <w:rPr>
                  <w:rFonts w:ascii="Cambria Math" w:eastAsia="宋体" w:hAnsi="Cambria Math"/>
                  <w:color w:val="000000" w:themeColor="text1"/>
                  <w:sz w:val="21"/>
                  <w:szCs w:val="21"/>
                </w:rPr>
                <m:t>tpd</m:t>
              </m:r>
            </m:sub>
          </m:sSub>
          <m:r>
            <w:rPr>
              <w:rFonts w:ascii="Cambria Math" w:eastAsia="宋体" w:hAnsi="Cambria Math"/>
              <w:color w:val="000000" w:themeColor="text1"/>
              <w:sz w:val="21"/>
              <w:szCs w:val="21"/>
            </w:rPr>
            <m:t>=</m:t>
          </m:r>
          <m:f>
            <m:fPr>
              <m:ctrlPr>
                <w:rPr>
                  <w:rFonts w:ascii="Cambria Math" w:eastAsia="宋体" w:hAnsi="Cambria Math"/>
                  <w:color w:val="000000" w:themeColor="text1"/>
                  <w:sz w:val="21"/>
                  <w:szCs w:val="21"/>
                </w:rPr>
              </m:ctrlPr>
            </m:fPr>
            <m:num>
              <m:nary>
                <m:naryPr>
                  <m:chr m:val="∑"/>
                  <m:limLoc m:val="undOvr"/>
                  <m:supHide m:val="1"/>
                  <m:ctrlPr>
                    <w:rPr>
                      <w:rFonts w:ascii="Cambria Math" w:eastAsia="宋体" w:hAnsi="Cambria Math"/>
                      <w:color w:val="000000" w:themeColor="text1"/>
                      <w:sz w:val="21"/>
                      <w:szCs w:val="21"/>
                    </w:rPr>
                  </m:ctrlPr>
                </m:naryPr>
                <m:sub>
                  <m:r>
                    <w:rPr>
                      <w:rFonts w:ascii="Cambria Math" w:eastAsia="宋体" w:hAnsi="Cambria Math"/>
                      <w:color w:val="000000" w:themeColor="text1"/>
                      <w:sz w:val="21"/>
                      <w:szCs w:val="21"/>
                    </w:rPr>
                    <m:t>i</m:t>
                  </m:r>
                </m:sub>
                <m:sup/>
                <m:e>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w</m:t>
                      </m:r>
                    </m:e>
                    <m:sub>
                      <m:r>
                        <w:rPr>
                          <w:rFonts w:ascii="Cambria Math" w:eastAsia="宋体" w:hAnsi="Cambria Math"/>
                          <w:color w:val="000000" w:themeColor="text1"/>
                          <w:sz w:val="21"/>
                          <w:szCs w:val="21"/>
                        </w:rPr>
                        <m:t>i</m:t>
                      </m:r>
                    </m:sub>
                  </m:sSub>
                </m:e>
              </m:nary>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x</m:t>
                  </m:r>
                </m:e>
                <m:sub>
                  <m:r>
                    <w:rPr>
                      <w:rFonts w:ascii="Cambria Math" w:eastAsia="宋体" w:hAnsi="Cambria Math"/>
                      <w:color w:val="000000" w:themeColor="text1"/>
                      <w:sz w:val="21"/>
                      <w:szCs w:val="21"/>
                    </w:rPr>
                    <m:t>ipd</m:t>
                  </m:r>
                </m:sub>
              </m:sSub>
            </m:num>
            <m:den>
              <m:nary>
                <m:naryPr>
                  <m:chr m:val="∑"/>
                  <m:limLoc m:val="undOvr"/>
                  <m:supHide m:val="1"/>
                  <m:ctrlPr>
                    <w:rPr>
                      <w:rFonts w:ascii="Cambria Math" w:eastAsia="宋体" w:hAnsi="Cambria Math"/>
                      <w:color w:val="000000" w:themeColor="text1"/>
                      <w:sz w:val="21"/>
                      <w:szCs w:val="21"/>
                    </w:rPr>
                  </m:ctrlPr>
                </m:naryPr>
                <m:sub>
                  <m:r>
                    <w:rPr>
                      <w:rFonts w:ascii="Cambria Math" w:eastAsia="宋体" w:hAnsi="Cambria Math"/>
                      <w:color w:val="000000" w:themeColor="text1"/>
                      <w:sz w:val="21"/>
                      <w:szCs w:val="21"/>
                    </w:rPr>
                    <m:t>i</m:t>
                  </m:r>
                </m:sub>
                <m:sup/>
                <m:e>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w</m:t>
                      </m:r>
                    </m:e>
                    <m:sub>
                      <m:r>
                        <w:rPr>
                          <w:rFonts w:ascii="Cambria Math" w:eastAsia="宋体" w:hAnsi="Cambria Math"/>
                          <w:color w:val="000000" w:themeColor="text1"/>
                          <w:sz w:val="21"/>
                          <w:szCs w:val="21"/>
                        </w:rPr>
                        <m:t>i</m:t>
                      </m:r>
                    </m:sub>
                  </m:sSub>
                </m:e>
              </m:nary>
            </m:den>
          </m:f>
          <m:r>
            <w:rPr>
              <w:rFonts w:ascii="Cambria Math" w:eastAsia="宋体" w:hAnsi="Cambria Math"/>
              <w:color w:val="000000" w:themeColor="text1"/>
              <w:sz w:val="21"/>
              <w:szCs w:val="21"/>
            </w:rPr>
            <m:t>,</m:t>
          </m:r>
        </m:oMath>
      </m:oMathPara>
    </w:p>
    <w:p w14:paraId="22C36A72" w14:textId="77777777" w:rsidR="00EE60D6" w:rsidRPr="00C602A7" w:rsidRDefault="00EE60D6" w:rsidP="00EE60D6">
      <w:pPr>
        <w:rPr>
          <w:rFonts w:eastAsia="宋体"/>
          <w:color w:val="000000" w:themeColor="text1"/>
          <w:sz w:val="21"/>
          <w:szCs w:val="21"/>
        </w:rPr>
      </w:pPr>
    </w:p>
    <w:p w14:paraId="3DD74964" w14:textId="77777777" w:rsidR="00EE60D6" w:rsidRPr="00033FDE" w:rsidRDefault="00EE60D6" w:rsidP="00EE60D6">
      <w:r>
        <w:rPr>
          <w:rFonts w:hint="eastAsia"/>
        </w:rPr>
        <w:t xml:space="preserve">We weighted rather than averaging articles equally because an article carrying a single relevant sentence and an article carrying </w:t>
      </w:r>
      <w:r>
        <w:t>multiple</w:t>
      </w:r>
      <w:r>
        <w:rPr>
          <w:rFonts w:hint="eastAsia"/>
        </w:rPr>
        <w:t xml:space="preserve"> are not equally </w:t>
      </w:r>
      <w:r>
        <w:t>information</w:t>
      </w:r>
      <w:r>
        <w:rPr>
          <w:rFonts w:hint="eastAsia"/>
        </w:rPr>
        <w:t xml:space="preserve"> about how a party</w:t>
      </w:r>
      <w:r>
        <w:t>’</w:t>
      </w:r>
      <w:r>
        <w:rPr>
          <w:rFonts w:hint="eastAsia"/>
        </w:rPr>
        <w:t xml:space="preserve">s position was represented that month, and equal weighting would discard that difference. Additionally, we used log rather than raw sentence count because under linear weight, a small number of long articles would dominate the monthly value: an article with forty relevant sentences would outweigh twenty short articles combined. </w:t>
      </w:r>
    </w:p>
    <w:p w14:paraId="07276117" w14:textId="77777777" w:rsidR="00EE60D6" w:rsidRPr="00F433FD" w:rsidRDefault="00EE60D6" w:rsidP="00EE60D6"/>
    <w:p w14:paraId="0CC46814" w14:textId="77777777" w:rsidR="00EE60D6" w:rsidRPr="00600FCE" w:rsidRDefault="00EE60D6" w:rsidP="00EE60D6">
      <w:r>
        <w:rPr>
          <w:rFonts w:hint="eastAsia"/>
        </w:rPr>
        <w:t xml:space="preserve">We then defined monthly polarization on each dimension as the signed difference between party positions: </w:t>
      </w:r>
    </w:p>
    <w:p w14:paraId="65D98DFF" w14:textId="77777777" w:rsidR="00EE60D6" w:rsidRPr="00F666F1" w:rsidRDefault="00EE60D6" w:rsidP="00EE60D6">
      <m:oMathPara>
        <m:oMath>
          <m:sSub>
            <m:sSubPr>
              <m:ctrlPr>
                <w:rPr>
                  <w:rFonts w:ascii="Cambria Math" w:hAnsi="Cambria Math"/>
                </w:rPr>
              </m:ctrlPr>
            </m:sSubPr>
            <m:e>
              <m:r>
                <w:rPr>
                  <w:rFonts w:ascii="Cambria Math" w:hAnsi="Cambria Math"/>
                </w:rPr>
                <m:t>D</m:t>
              </m:r>
            </m:e>
            <m:sub>
              <m:r>
                <w:rPr>
                  <w:rFonts w:ascii="Cambria Math" w:hAnsi="Cambria Math"/>
                </w:rPr>
                <m:t>td</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t,R</m:t>
              </m:r>
              <m:r>
                <m:rPr>
                  <m:sty m:val="p"/>
                </m:rPr>
                <w:rPr>
                  <w:rFonts w:ascii="Cambria Math" w:hAnsi="Cambria Math"/>
                </w:rPr>
                <m:t>ep</m:t>
              </m:r>
              <m:r>
                <w:rPr>
                  <w:rFonts w:ascii="Cambria Math" w:hAnsi="Cambria Math"/>
                </w:rPr>
                <m:t>ublican,d</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t,Democrat,d</m:t>
              </m:r>
            </m:sub>
          </m:sSub>
          <m:r>
            <w:rPr>
              <w:rFonts w:ascii="Cambria Math" w:hAnsi="Cambria Math"/>
            </w:rPr>
            <m:t>.</m:t>
          </m:r>
        </m:oMath>
      </m:oMathPara>
    </w:p>
    <w:p w14:paraId="66295B75" w14:textId="77777777" w:rsidR="00EE60D6" w:rsidRPr="00E242A6" w:rsidRDefault="00EE60D6" w:rsidP="00EE60D6">
      <w:pPr>
        <w:pStyle w:val="ae"/>
        <w:rPr>
          <w:color w:val="1F1F1F"/>
        </w:rPr>
      </w:pPr>
      <w:r>
        <w:rPr>
          <w:rFonts w:hint="eastAsia"/>
        </w:rPr>
        <w:t xml:space="preserve">Positive values indicate </w:t>
      </w:r>
      <w:r>
        <w:t>a</w:t>
      </w:r>
      <w:r>
        <w:rPr>
          <w:rFonts w:hint="eastAsia"/>
        </w:rPr>
        <w:t xml:space="preserve"> greater level of polarization, indicated by either greater Republican score or a lower Democrat score on any of the dimensions. </w:t>
      </w:r>
      <w:r>
        <w:t xml:space="preserve">The series covers 34 months, giving 272 monthly stance </w:t>
      </w:r>
      <w:r>
        <w:rPr>
          <w:rFonts w:hint="eastAsia"/>
        </w:rPr>
        <w:t>combinations</w:t>
      </w:r>
      <w:r>
        <w:t xml:space="preserve"> and 136 polarization </w:t>
      </w:r>
      <w:r>
        <w:rPr>
          <w:rFonts w:hint="eastAsia"/>
        </w:rPr>
        <w:t>combinations</w:t>
      </w:r>
      <w:r>
        <w:t>.</w:t>
      </w:r>
      <w:r w:rsidRPr="00F84F55">
        <w:rPr>
          <w:color w:val="1F1F1F"/>
          <w:highlight w:val="yellow"/>
        </w:rPr>
        <w:t xml:space="preserve"> </w:t>
      </w:r>
    </w:p>
    <w:p w14:paraId="5BA67FF4" w14:textId="77777777" w:rsidR="00EE60D6" w:rsidRDefault="00EE60D6" w:rsidP="00EE60D6"/>
    <w:p w14:paraId="1D87956D" w14:textId="77777777" w:rsidR="00EE60D6" w:rsidRDefault="00EE60D6" w:rsidP="00EE60D6">
      <w:pPr>
        <w:pStyle w:val="3"/>
      </w:pPr>
      <w:r>
        <w:rPr>
          <w:rFonts w:hint="eastAsia"/>
        </w:rPr>
        <w:t>Within-Party Coherence and Party Brand Index</w:t>
      </w:r>
    </w:p>
    <w:p w14:paraId="757C2BA5" w14:textId="77777777" w:rsidR="00EE60D6" w:rsidRDefault="00EE60D6" w:rsidP="00EE60D6">
      <w:pPr>
        <w:rPr>
          <w:color w:val="1F1F1F"/>
        </w:rPr>
      </w:pPr>
      <w:r>
        <w:rPr>
          <w:rFonts w:hint="eastAsia"/>
        </w:rPr>
        <w:t xml:space="preserve">We computed a Party Brand Index (PBI) to quantify the degree to which media coverage enables voters to discern partisan differences on General Ukraine Aid Stance. </w:t>
      </w:r>
      <w:r>
        <w:t xml:space="preserve">The theoretical motivation draws on the party branding </w:t>
      </w:r>
      <w:r>
        <w:rPr>
          <w:rFonts w:hint="eastAsia"/>
        </w:rPr>
        <w:t xml:space="preserve">theory </w:t>
      </w:r>
      <w:r>
        <w:fldChar w:fldCharType="begin"/>
      </w:r>
      <w:r>
        <w:instrText xml:space="preserve"> ADDIN ZOTERO_ITEM CSL_CITATION {"citationID":"kyc7myC5","properties":{"unsorted":false,"formattedCitation":"(Lupu, 2013, 2016; Pablo Fern\\uc0\\u225{}ndez-V\\uc0\\u225{}zquez, 2014)","plainCitation":"(Lupu, 2013, 2016; Pablo Fernández-Vázquez, 2014)","noteIndex":0},"citationItems":[{"id":1081,"uris":["http://zotero.org/users/6825464/items/A2SMTCYJ"],"itemData":{"id":1081,"type":"article-journal","abstract":"Scholars disagree about the nature of party attachments, viewing partisanship as either a social identity or a rational maximization of expected utility. Empirically, much of this debate centers on the degree of partisan stability: findings of partisan fluctuations are taken as evidence against the social-identity perspective. But drawing such conclusions assumes that the objects of identity—parties—are fixed. If we instead allow party brands to change over time, then partisan instability is consistent with a social-identity conception of partisanship. To demonstrate this, I develop a branding model of partisanship in which voters learn about party brands by observing party behavior over time and base their psychological attachment to a party on these brands. The model suggests that convergence by rival parties, making their brands less distinguishable, should weaken party attachments. I test this implication using a survey experiment in Argentina and find evidence consistent with the model.","citation-key":"lupuPartyBrandsPartisanship2013","container-title":"American Journal of Political Science","DOI":"10.1111/j.1540-5907.2012.00615.x","ISSN":"1540-5907","issue":"1","language":"en","license":"©2012, Midwest Political Science Association","page":"49-64","source":"Wiley Online Library","title":"Party Brands and Partisanship: Theory with Evidence from a Survey Experiment in Argentina","title-short":"Party Brands and Partisanship","volume":"57","author":[{"family":"Lupu","given":"Noam"}],"issued":{"date-parts":[["2013"]]}}},{"id":66,"uris":["http://zotero.org/users/6825464/items/GIB5C4BV"],"itemData":{"id":66,"type":"book","citation-key":"lupuPartyBrandsCrisis2016","publisher":"Cambridge University Press","source":"Google Scholar","title":"Party brands in crisis: Partisanship, brand dilution, and the breakdown of political parties in Latin America","title-short":"Party brands in crisis","URL":"https://books.google.com/books?hl=en&amp;lr=&amp;id=HSR0CwAAQBAJ&amp;oi=fnd&amp;pg=PR9&amp;dq=Party+Brands+in+Crisis:+Partisanship,+Brand+Dilution,+and+the+Breakdown+of+Political+Parties+in+Latin+America&amp;ots=xbtfnBTCje&amp;sig=6vccK-fVzeJkYmK7cIfHv4YaUiI","author":[{"family":"Lupu","given":"Noam"}],"accessed":{"date-parts":[["2025",3,14]]},"issued":{"date-parts":[["2016"]]}}},{"id":1505,"uris":["http://zotero.org/users/6825464/items/DEA592TX"],"itemData":{"id":1505,"type":"article-journal","abstract":"This article analyzes the effect of parties’ election statements on voter perceptions of party policy positions. It reveals robust evidence that campaign policy announcements do influence party images: As a result of the campaign, party policy brands shift in the direction of the platform. Hence, it challenges the conclusion in Adams, Ezrow, and Somer-Topcu that voters do not adjust their perception of parties’ positions to campaign statements. This article makes a key contribution to our understanding of elections, as it provides empirical evidence that election campaigns are useful for voters to identify changes in parties’ policy preferences. It also opens avenues for further research that the results in Adams et al. had discouraged from, such as analyses of the factors that explain variation in the relevance of campaign statements.","citation-key":"pablofernandez-vazquezItMovesEffect2014","container-title":"Comparative Political Studies","DOI":"10.1177/0010414013516067","issue":"14","note":"DOI: 10.1177/0010414013516067\nMAG ID: 2128264120","page":"1919-1944","title":"And Yet It Moves: The Effect of Election Platforms on Party Policy Images","volume":"47","author":[{"literal":"Pablo Fernández-Vázquez"}],"issued":{"date-parts":[["2014",1,27]]}}}],"schema":"https://github.com/citation-style-language/schema/raw/master/csl-citation.json"} </w:instrText>
      </w:r>
      <w:r>
        <w:fldChar w:fldCharType="separate"/>
      </w:r>
      <w:r w:rsidRPr="0083415E">
        <w:rPr>
          <w:rFonts w:eastAsiaTheme="minorEastAsia"/>
          <w:szCs w:val="24"/>
          <w14:ligatures w14:val="standardContextual"/>
        </w:rPr>
        <w:t>(Lupu, 2013, 2016; Pablo Fernández-Vázquez, 2014)</w:t>
      </w:r>
      <w:r>
        <w:fldChar w:fldCharType="end"/>
      </w:r>
      <w:r>
        <w:t>, which emphasizes that</w:t>
      </w:r>
      <w:r>
        <w:rPr>
          <w:rFonts w:hint="eastAsia"/>
        </w:rPr>
        <w:t xml:space="preserve"> w</w:t>
      </w:r>
      <w:r>
        <w:t>hen parties maintain distinct and internally coherent positions, voters can efficiently use party labels as informational shortcuts. When positions blur or become internally inconsistent, the informational value of party labels diminishes.</w:t>
      </w:r>
      <w:r>
        <w:rPr>
          <w:rFonts w:hint="eastAsia"/>
        </w:rPr>
        <w:t xml:space="preserve"> A measure representative of that argument cannot rest on the size of the polarization alone, it would require a separate measure to represent how coherent and consistent the multiple news sentences are about a party in a given month (i.e., within-party coherence). </w:t>
      </w:r>
      <w:r w:rsidRPr="00A547FA">
        <w:t>We</w:t>
      </w:r>
      <w:r w:rsidRPr="00A547FA">
        <w:rPr>
          <w:color w:val="1F1F1F"/>
        </w:rPr>
        <w:t xml:space="preserve"> </w:t>
      </w:r>
      <w:r>
        <w:rPr>
          <w:rFonts w:hint="eastAsia"/>
        </w:rPr>
        <w:t>measured within-party coherence using</w:t>
      </w:r>
      <w:r w:rsidRPr="00A547FA">
        <w:rPr>
          <w:color w:val="1F1F1F"/>
        </w:rPr>
        <w:t xml:space="preserve"> </w:t>
      </w:r>
      <w:r w:rsidRPr="00A547FA">
        <w:t>the</w:t>
      </w:r>
      <w:r w:rsidRPr="00A547FA">
        <w:rPr>
          <w:color w:val="1F1F1F"/>
        </w:rPr>
        <w:t xml:space="preserve"> </w:t>
      </w:r>
      <w:r w:rsidRPr="00A547FA">
        <w:t>raw</w:t>
      </w:r>
      <w:r w:rsidRPr="00A547FA">
        <w:rPr>
          <w:color w:val="1F1F1F"/>
        </w:rPr>
        <w:t xml:space="preserve"> </w:t>
      </w:r>
      <w:r w:rsidRPr="00A547FA">
        <w:t>interquartile</w:t>
      </w:r>
      <w:r w:rsidRPr="00A547FA">
        <w:rPr>
          <w:color w:val="1F1F1F"/>
        </w:rPr>
        <w:t xml:space="preserve"> </w:t>
      </w:r>
      <w:r w:rsidRPr="00A547FA">
        <w:t>range</w:t>
      </w:r>
      <w:r w:rsidRPr="00A547FA">
        <w:rPr>
          <w:color w:val="1F1F1F"/>
        </w:rPr>
        <w:t xml:space="preserve"> </w:t>
      </w:r>
      <w:r w:rsidRPr="00A547FA">
        <w:t>of</w:t>
      </w:r>
      <w:r w:rsidRPr="00A547FA">
        <w:rPr>
          <w:color w:val="1F1F1F"/>
        </w:rPr>
        <w:t xml:space="preserve"> </w:t>
      </w:r>
      <w:r w:rsidRPr="00A547FA">
        <w:t>article-level</w:t>
      </w:r>
      <w:r w:rsidRPr="00A547FA">
        <w:rPr>
          <w:color w:val="1F1F1F"/>
        </w:rPr>
        <w:t xml:space="preserve"> </w:t>
      </w:r>
      <w:r w:rsidRPr="00A547FA">
        <w:t>General</w:t>
      </w:r>
      <w:r w:rsidRPr="00A547FA">
        <w:rPr>
          <w:color w:val="1F1F1F"/>
        </w:rPr>
        <w:t xml:space="preserve"> </w:t>
      </w:r>
      <w:r w:rsidRPr="00A547FA">
        <w:t>Ukraine</w:t>
      </w:r>
      <w:r w:rsidRPr="00A547FA">
        <w:rPr>
          <w:color w:val="1F1F1F"/>
        </w:rPr>
        <w:t xml:space="preserve"> </w:t>
      </w:r>
      <w:r w:rsidRPr="00A547FA">
        <w:t>Aid</w:t>
      </w:r>
      <w:r w:rsidRPr="00A547FA">
        <w:rPr>
          <w:color w:val="1F1F1F"/>
        </w:rPr>
        <w:t xml:space="preserve"> </w:t>
      </w:r>
      <w:r w:rsidRPr="00A547FA">
        <w:t>Stance</w:t>
      </w:r>
      <w:r w:rsidRPr="00A547FA">
        <w:rPr>
          <w:color w:val="1F1F1F"/>
        </w:rPr>
        <w:t xml:space="preserve"> </w:t>
      </w:r>
      <w:r w:rsidRPr="00A547FA">
        <w:lastRenderedPageBreak/>
        <w:t>scores</w:t>
      </w:r>
      <w:r w:rsidRPr="00A547FA">
        <w:rPr>
          <w:color w:val="1F1F1F"/>
        </w:rPr>
        <w:t xml:space="preserve"> </w:t>
      </w:r>
      <w:r w:rsidRPr="00A547FA">
        <w:t>in</w:t>
      </w:r>
      <w:r w:rsidRPr="00A547FA">
        <w:rPr>
          <w:color w:val="1F1F1F"/>
        </w:rPr>
        <w:t xml:space="preserve"> </w:t>
      </w:r>
      <w:r w:rsidRPr="00A547FA">
        <w:t>that</w:t>
      </w:r>
      <w:r w:rsidRPr="00A547FA">
        <w:rPr>
          <w:color w:val="1F1F1F"/>
        </w:rPr>
        <w:t xml:space="preserve"> </w:t>
      </w:r>
      <w:r w:rsidRPr="00A547FA">
        <w:t>month</w:t>
      </w:r>
      <w:r>
        <w:rPr>
          <w:rFonts w:hint="eastAsia"/>
        </w:rPr>
        <w:t xml:space="preserve">, </w:t>
      </w:r>
      <w:r w:rsidRPr="00A547FA">
        <w:t>with lower</w:t>
      </w:r>
      <w:r w:rsidRPr="00A547FA">
        <w:rPr>
          <w:color w:val="1F1F1F"/>
        </w:rPr>
        <w:t xml:space="preserve"> </w:t>
      </w:r>
      <w:r w:rsidRPr="00A547FA">
        <w:t>values</w:t>
      </w:r>
      <w:r w:rsidRPr="00A547FA">
        <w:rPr>
          <w:color w:val="1F1F1F"/>
        </w:rPr>
        <w:t xml:space="preserve"> </w:t>
      </w:r>
      <w:r w:rsidRPr="00A547FA">
        <w:t>indicating</w:t>
      </w:r>
      <w:r w:rsidRPr="00A547FA">
        <w:rPr>
          <w:color w:val="1F1F1F"/>
        </w:rPr>
        <w:t xml:space="preserve"> </w:t>
      </w:r>
      <w:r w:rsidRPr="00A547FA">
        <w:t>greater</w:t>
      </w:r>
      <w:r w:rsidRPr="00A547FA">
        <w:rPr>
          <w:color w:val="1F1F1F"/>
        </w:rPr>
        <w:t xml:space="preserve"> </w:t>
      </w:r>
      <w:r w:rsidRPr="00A547FA">
        <w:t>message</w:t>
      </w:r>
      <w:r w:rsidRPr="00A547FA">
        <w:rPr>
          <w:color w:val="1F1F1F"/>
        </w:rPr>
        <w:t xml:space="preserve"> </w:t>
      </w:r>
      <w:r>
        <w:t>coherence</w:t>
      </w:r>
      <w:r>
        <w:rPr>
          <w:rFonts w:hint="eastAsia"/>
        </w:rPr>
        <w:t xml:space="preserve">, higher level indicating that most coverage cluster around a common position. </w:t>
      </w:r>
      <w:r>
        <w:rPr>
          <w:rFonts w:hint="eastAsia"/>
          <w:color w:val="1F1F1F"/>
        </w:rPr>
        <w:t xml:space="preserve"> </w:t>
      </w:r>
    </w:p>
    <w:p w14:paraId="37A349DC" w14:textId="77777777" w:rsidR="00EE60D6" w:rsidRDefault="00EE60D6" w:rsidP="00EE60D6"/>
    <w:p w14:paraId="0E554C93" w14:textId="77777777" w:rsidR="00EE60D6" w:rsidRPr="009A1B46" w:rsidRDefault="00EE60D6" w:rsidP="00EE60D6">
      <w:r w:rsidRPr="009A1B46">
        <w:rPr>
          <w:rFonts w:hint="eastAsia"/>
        </w:rPr>
        <w:t>The PBI combines three inputs, each rescaled to the unit interval. We transformed each party</w:t>
      </w:r>
      <w:r w:rsidRPr="009A1B46">
        <w:t>’</w:t>
      </w:r>
      <w:r w:rsidRPr="009A1B46">
        <w:rPr>
          <w:rFonts w:hint="eastAsia"/>
        </w:rPr>
        <w:t>s raw IQR into a coherence score, normalized absolute polarization by its observed maximum, and combined th</w:t>
      </w:r>
      <w:r>
        <w:rPr>
          <w:rFonts w:hint="eastAsia"/>
        </w:rPr>
        <w:t xml:space="preserve">e </w:t>
      </w:r>
      <w:r w:rsidRPr="009A1B46">
        <w:rPr>
          <w:rFonts w:hint="eastAsia"/>
        </w:rPr>
        <w:t xml:space="preserve">three: </w:t>
      </w:r>
    </w:p>
    <w:p w14:paraId="79675A19" w14:textId="77777777" w:rsidR="00EE60D6" w:rsidRPr="009A1B46" w:rsidRDefault="00EE60D6" w:rsidP="00EE60D6">
      <w:pPr>
        <w:rPr>
          <w:rFonts w:eastAsia="宋体"/>
          <w:color w:val="000000" w:themeColor="text1"/>
          <w:sz w:val="21"/>
          <w:szCs w:val="21"/>
        </w:rPr>
      </w:pPr>
      <m:oMathPara>
        <m:oMath>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C</m:t>
              </m:r>
            </m:e>
            <m:sub>
              <m:r>
                <w:rPr>
                  <w:rFonts w:ascii="Cambria Math" w:eastAsia="宋体" w:hAnsi="Cambria Math"/>
                  <w:color w:val="000000" w:themeColor="text1"/>
                  <w:sz w:val="21"/>
                  <w:szCs w:val="21"/>
                </w:rPr>
                <m:t>tp</m:t>
              </m:r>
            </m:sub>
          </m:sSub>
          <m:r>
            <w:rPr>
              <w:rFonts w:ascii="Cambria Math" w:eastAsia="宋体" w:hAnsi="Cambria Math"/>
              <w:color w:val="000000" w:themeColor="text1"/>
              <w:sz w:val="21"/>
              <w:szCs w:val="21"/>
            </w:rPr>
            <m:t>=</m:t>
          </m:r>
          <m:f>
            <m:fPr>
              <m:ctrlPr>
                <w:rPr>
                  <w:rFonts w:ascii="Cambria Math" w:eastAsia="宋体" w:hAnsi="Cambria Math"/>
                  <w:color w:val="000000" w:themeColor="text1"/>
                  <w:sz w:val="21"/>
                  <w:szCs w:val="21"/>
                </w:rPr>
              </m:ctrlPr>
            </m:fPr>
            <m:num>
              <m:r>
                <w:rPr>
                  <w:rFonts w:ascii="Cambria Math" w:eastAsia="宋体" w:hAnsi="Cambria Math"/>
                  <w:color w:val="000000" w:themeColor="text1"/>
                  <w:sz w:val="21"/>
                  <w:szCs w:val="21"/>
                </w:rPr>
                <m:t>k</m:t>
              </m:r>
            </m:num>
            <m:den>
              <m:r>
                <w:rPr>
                  <w:rFonts w:ascii="Cambria Math" w:eastAsia="宋体" w:hAnsi="Cambria Math"/>
                  <w:color w:val="000000" w:themeColor="text1"/>
                  <w:sz w:val="21"/>
                  <w:szCs w:val="21"/>
                </w:rPr>
                <m:t>k+IQ</m:t>
              </m:r>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R</m:t>
                  </m:r>
                </m:e>
                <m:sub>
                  <m:r>
                    <w:rPr>
                      <w:rFonts w:ascii="Cambria Math" w:eastAsia="宋体" w:hAnsi="Cambria Math"/>
                      <w:color w:val="000000" w:themeColor="text1"/>
                      <w:sz w:val="21"/>
                      <w:szCs w:val="21"/>
                    </w:rPr>
                    <m:t>tp</m:t>
                  </m:r>
                </m:sub>
              </m:sSub>
            </m:den>
          </m:f>
          <m:r>
            <w:rPr>
              <w:rFonts w:ascii="Cambria Math" w:eastAsia="宋体" w:hAnsi="Cambria Math"/>
              <w:color w:val="000000" w:themeColor="text1"/>
              <w:sz w:val="21"/>
              <w:szCs w:val="21"/>
            </w:rPr>
            <m:t>,  k=</m:t>
          </m:r>
          <m:f>
            <m:fPr>
              <m:ctrlPr>
                <w:rPr>
                  <w:rFonts w:ascii="Cambria Math" w:eastAsia="宋体" w:hAnsi="Cambria Math"/>
                  <w:color w:val="000000" w:themeColor="text1"/>
                  <w:sz w:val="21"/>
                  <w:szCs w:val="21"/>
                </w:rPr>
              </m:ctrlPr>
            </m:fPr>
            <m:num>
              <m:r>
                <w:rPr>
                  <w:rFonts w:ascii="Cambria Math" w:eastAsia="宋体" w:hAnsi="Cambria Math"/>
                  <w:color w:val="000000" w:themeColor="text1"/>
                  <w:sz w:val="21"/>
                  <w:szCs w:val="21"/>
                </w:rPr>
                <m:t>1</m:t>
              </m:r>
            </m:num>
            <m:den>
              <m:r>
                <w:rPr>
                  <w:rFonts w:ascii="Cambria Math" w:eastAsia="宋体" w:hAnsi="Cambria Math"/>
                  <w:color w:val="000000" w:themeColor="text1"/>
                  <w:sz w:val="21"/>
                  <w:szCs w:val="21"/>
                </w:rPr>
                <m:t>2</m:t>
              </m:r>
            </m:den>
          </m:f>
          <m:func>
            <m:funcPr>
              <m:ctrlPr>
                <w:rPr>
                  <w:rFonts w:ascii="Cambria Math" w:eastAsia="宋体" w:hAnsi="Cambria Math"/>
                  <w:color w:val="000000" w:themeColor="text1"/>
                  <w:sz w:val="21"/>
                  <w:szCs w:val="21"/>
                </w:rPr>
              </m:ctrlPr>
            </m:funcPr>
            <m:fName>
              <m:r>
                <m:rPr>
                  <m:sty m:val="p"/>
                </m:rPr>
                <w:rPr>
                  <w:rFonts w:ascii="Cambria Math" w:eastAsia="宋体" w:hAnsi="Cambria Math"/>
                  <w:color w:val="000000" w:themeColor="text1"/>
                  <w:sz w:val="21"/>
                  <w:szCs w:val="21"/>
                </w:rPr>
                <m:t>median</m:t>
              </m:r>
            </m:fName>
            <m:e>
              <m:d>
                <m:dPr>
                  <m:ctrlPr>
                    <w:rPr>
                      <w:rFonts w:ascii="Cambria Math" w:eastAsia="宋体" w:hAnsi="Cambria Math"/>
                      <w:color w:val="000000" w:themeColor="text1"/>
                      <w:sz w:val="21"/>
                      <w:szCs w:val="21"/>
                    </w:rPr>
                  </m:ctrlPr>
                </m:dPr>
                <m:e>
                  <m:r>
                    <w:rPr>
                      <w:rFonts w:ascii="Cambria Math" w:eastAsia="宋体" w:hAnsi="Cambria Math"/>
                      <w:color w:val="000000" w:themeColor="text1"/>
                      <w:sz w:val="21"/>
                      <w:szCs w:val="21"/>
                    </w:rPr>
                    <m:t>IQ</m:t>
                  </m:r>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R</m:t>
                      </m:r>
                    </m:e>
                    <m:sub>
                      <m:r>
                        <w:rPr>
                          <w:rFonts w:ascii="Cambria Math" w:eastAsia="宋体" w:hAnsi="Cambria Math"/>
                          <w:color w:val="000000" w:themeColor="text1"/>
                          <w:sz w:val="21"/>
                          <w:szCs w:val="21"/>
                        </w:rPr>
                        <m:t>R</m:t>
                      </m:r>
                    </m:sub>
                  </m:sSub>
                </m:e>
              </m:d>
            </m:e>
          </m:func>
          <m:r>
            <w:rPr>
              <w:rFonts w:ascii="Cambria Math" w:eastAsia="宋体" w:hAnsi="Cambria Math"/>
              <w:color w:val="000000" w:themeColor="text1"/>
              <w:sz w:val="21"/>
              <w:szCs w:val="21"/>
            </w:rPr>
            <m:t>+</m:t>
          </m:r>
          <m:f>
            <m:fPr>
              <m:ctrlPr>
                <w:rPr>
                  <w:rFonts w:ascii="Cambria Math" w:eastAsia="宋体" w:hAnsi="Cambria Math"/>
                  <w:color w:val="000000" w:themeColor="text1"/>
                  <w:sz w:val="21"/>
                  <w:szCs w:val="21"/>
                </w:rPr>
              </m:ctrlPr>
            </m:fPr>
            <m:num>
              <m:r>
                <w:rPr>
                  <w:rFonts w:ascii="Cambria Math" w:eastAsia="宋体" w:hAnsi="Cambria Math"/>
                  <w:color w:val="000000" w:themeColor="text1"/>
                  <w:sz w:val="21"/>
                  <w:szCs w:val="21"/>
                </w:rPr>
                <m:t>1</m:t>
              </m:r>
            </m:num>
            <m:den>
              <m:r>
                <w:rPr>
                  <w:rFonts w:ascii="Cambria Math" w:eastAsia="宋体" w:hAnsi="Cambria Math"/>
                  <w:color w:val="000000" w:themeColor="text1"/>
                  <w:sz w:val="21"/>
                  <w:szCs w:val="21"/>
                </w:rPr>
                <m:t>2</m:t>
              </m:r>
            </m:den>
          </m:f>
          <m:func>
            <m:funcPr>
              <m:ctrlPr>
                <w:rPr>
                  <w:rFonts w:ascii="Cambria Math" w:eastAsia="宋体" w:hAnsi="Cambria Math"/>
                  <w:color w:val="000000" w:themeColor="text1"/>
                  <w:sz w:val="21"/>
                  <w:szCs w:val="21"/>
                </w:rPr>
              </m:ctrlPr>
            </m:funcPr>
            <m:fName>
              <m:r>
                <m:rPr>
                  <m:sty m:val="p"/>
                </m:rPr>
                <w:rPr>
                  <w:rFonts w:ascii="Cambria Math" w:eastAsia="宋体" w:hAnsi="Cambria Math"/>
                  <w:color w:val="000000" w:themeColor="text1"/>
                  <w:sz w:val="21"/>
                  <w:szCs w:val="21"/>
                </w:rPr>
                <m:t>median</m:t>
              </m:r>
            </m:fName>
            <m:e>
              <m:d>
                <m:dPr>
                  <m:ctrlPr>
                    <w:rPr>
                      <w:rFonts w:ascii="Cambria Math" w:eastAsia="宋体" w:hAnsi="Cambria Math"/>
                      <w:color w:val="000000" w:themeColor="text1"/>
                      <w:sz w:val="21"/>
                      <w:szCs w:val="21"/>
                    </w:rPr>
                  </m:ctrlPr>
                </m:dPr>
                <m:e>
                  <m:r>
                    <w:rPr>
                      <w:rFonts w:ascii="Cambria Math" w:eastAsia="宋体" w:hAnsi="Cambria Math"/>
                      <w:color w:val="000000" w:themeColor="text1"/>
                      <w:sz w:val="21"/>
                      <w:szCs w:val="21"/>
                    </w:rPr>
                    <m:t>IQ</m:t>
                  </m:r>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R</m:t>
                      </m:r>
                    </m:e>
                    <m:sub>
                      <m:r>
                        <w:rPr>
                          <w:rFonts w:ascii="Cambria Math" w:eastAsia="宋体" w:hAnsi="Cambria Math"/>
                          <w:color w:val="000000" w:themeColor="text1"/>
                          <w:sz w:val="21"/>
                          <w:szCs w:val="21"/>
                        </w:rPr>
                        <m:t>D</m:t>
                      </m:r>
                    </m:sub>
                  </m:sSub>
                </m:e>
              </m:d>
            </m:e>
          </m:func>
          <m:r>
            <w:rPr>
              <w:rFonts w:ascii="Cambria Math" w:eastAsia="宋体" w:hAnsi="Cambria Math"/>
              <w:color w:val="000000" w:themeColor="text1"/>
              <w:sz w:val="21"/>
              <w:szCs w:val="21"/>
            </w:rPr>
            <m:t>.</m:t>
          </m:r>
        </m:oMath>
      </m:oMathPara>
    </w:p>
    <w:p w14:paraId="0CF861DA" w14:textId="77777777" w:rsidR="00EE60D6" w:rsidRPr="009A1B46" w:rsidRDefault="00EE60D6" w:rsidP="00EE60D6">
      <w:pPr>
        <w:rPr>
          <w:rFonts w:eastAsia="宋体"/>
          <w:color w:val="000000" w:themeColor="text1"/>
          <w:sz w:val="21"/>
          <w:szCs w:val="21"/>
        </w:rPr>
      </w:pPr>
      <m:oMathPara>
        <m:oMath>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P</m:t>
              </m:r>
            </m:e>
            <m:sub>
              <m:r>
                <w:rPr>
                  <w:rFonts w:ascii="Cambria Math" w:eastAsia="宋体" w:hAnsi="Cambria Math"/>
                  <w:color w:val="000000" w:themeColor="text1"/>
                  <w:sz w:val="21"/>
                  <w:szCs w:val="21"/>
                </w:rPr>
                <m:t>t</m:t>
              </m:r>
            </m:sub>
          </m:sSub>
          <m:r>
            <w:rPr>
              <w:rFonts w:ascii="Cambria Math" w:eastAsia="宋体" w:hAnsi="Cambria Math"/>
              <w:color w:val="000000" w:themeColor="text1"/>
              <w:sz w:val="21"/>
              <w:szCs w:val="21"/>
            </w:rPr>
            <m:t>=</m:t>
          </m:r>
          <m:f>
            <m:fPr>
              <m:ctrlPr>
                <w:rPr>
                  <w:rFonts w:ascii="Cambria Math" w:eastAsia="宋体" w:hAnsi="Cambria Math"/>
                  <w:color w:val="000000" w:themeColor="text1"/>
                  <w:sz w:val="21"/>
                  <w:szCs w:val="21"/>
                </w:rPr>
              </m:ctrlPr>
            </m:fPr>
            <m:num>
              <m:d>
                <m:dPr>
                  <m:begChr m:val="|"/>
                  <m:endChr m:val="|"/>
                  <m:ctrlPr>
                    <w:rPr>
                      <w:rFonts w:ascii="Cambria Math" w:eastAsia="宋体" w:hAnsi="Cambria Math"/>
                      <w:color w:val="000000" w:themeColor="text1"/>
                      <w:sz w:val="21"/>
                      <w:szCs w:val="21"/>
                    </w:rPr>
                  </m:ctrlPr>
                </m:dPr>
                <m:e>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D</m:t>
                      </m:r>
                    </m:e>
                    <m:sub>
                      <m:r>
                        <w:rPr>
                          <w:rFonts w:ascii="Cambria Math" w:eastAsia="宋体" w:hAnsi="Cambria Math"/>
                          <w:color w:val="000000" w:themeColor="text1"/>
                          <w:sz w:val="21"/>
                          <w:szCs w:val="21"/>
                        </w:rPr>
                        <m:t>t,Q1</m:t>
                      </m:r>
                    </m:sub>
                  </m:sSub>
                </m:e>
              </m:d>
            </m:num>
            <m:den>
              <m:func>
                <m:funcPr>
                  <m:ctrlPr>
                    <w:rPr>
                      <w:rFonts w:ascii="Cambria Math" w:eastAsia="宋体" w:hAnsi="Cambria Math"/>
                      <w:color w:val="000000" w:themeColor="text1"/>
                      <w:sz w:val="21"/>
                      <w:szCs w:val="21"/>
                    </w:rPr>
                  </m:ctrlPr>
                </m:funcPr>
                <m:fName>
                  <m:limLow>
                    <m:limLowPr>
                      <m:ctrlPr>
                        <w:rPr>
                          <w:rFonts w:ascii="Cambria Math" w:eastAsia="宋体" w:hAnsi="Cambria Math"/>
                          <w:color w:val="000000" w:themeColor="text1"/>
                          <w:sz w:val="21"/>
                          <w:szCs w:val="21"/>
                        </w:rPr>
                      </m:ctrlPr>
                    </m:limLowPr>
                    <m:e>
                      <m:r>
                        <m:rPr>
                          <m:sty m:val="p"/>
                        </m:rPr>
                        <w:rPr>
                          <w:rFonts w:ascii="Cambria Math" w:eastAsia="宋体" w:hAnsi="Cambria Math"/>
                          <w:color w:val="000000" w:themeColor="text1"/>
                          <w:sz w:val="21"/>
                          <w:szCs w:val="21"/>
                        </w:rPr>
                        <m:t>max</m:t>
                      </m:r>
                    </m:e>
                    <m:lim>
                      <m:r>
                        <w:rPr>
                          <w:rFonts w:ascii="Cambria Math" w:eastAsia="宋体" w:hAnsi="Cambria Math"/>
                          <w:color w:val="000000" w:themeColor="text1"/>
                          <w:sz w:val="21"/>
                          <w:szCs w:val="21"/>
                        </w:rPr>
                        <m:t>t</m:t>
                      </m:r>
                    </m:lim>
                  </m:limLow>
                </m:fName>
                <m:e>
                  <m:d>
                    <m:dPr>
                      <m:begChr m:val="|"/>
                      <m:endChr m:val="|"/>
                      <m:ctrlPr>
                        <w:rPr>
                          <w:rFonts w:ascii="Cambria Math" w:eastAsia="宋体" w:hAnsi="Cambria Math"/>
                          <w:color w:val="000000" w:themeColor="text1"/>
                          <w:sz w:val="21"/>
                          <w:szCs w:val="21"/>
                        </w:rPr>
                      </m:ctrlPr>
                    </m:dPr>
                    <m:e>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D</m:t>
                          </m:r>
                        </m:e>
                        <m:sub>
                          <m:r>
                            <w:rPr>
                              <w:rFonts w:ascii="Cambria Math" w:eastAsia="宋体" w:hAnsi="Cambria Math"/>
                              <w:color w:val="000000" w:themeColor="text1"/>
                              <w:sz w:val="21"/>
                              <w:szCs w:val="21"/>
                            </w:rPr>
                            <m:t>t,Q1</m:t>
                          </m:r>
                        </m:sub>
                      </m:sSub>
                    </m:e>
                  </m:d>
                </m:e>
              </m:func>
            </m:den>
          </m:f>
          <m:r>
            <w:rPr>
              <w:rFonts w:ascii="Cambria Math" w:eastAsia="宋体" w:hAnsi="Cambria Math"/>
              <w:color w:val="000000" w:themeColor="text1"/>
              <w:sz w:val="21"/>
              <w:szCs w:val="21"/>
            </w:rPr>
            <m:t>,</m:t>
          </m:r>
        </m:oMath>
      </m:oMathPara>
    </w:p>
    <w:p w14:paraId="2FCEA9E9" w14:textId="77777777" w:rsidR="00EE60D6" w:rsidRPr="0037022E" w:rsidRDefault="00EE60D6" w:rsidP="00EE60D6">
      <w:pPr>
        <w:rPr>
          <w:rFonts w:eastAsia="宋体"/>
          <w:color w:val="000000" w:themeColor="text1"/>
          <w:sz w:val="21"/>
          <w:szCs w:val="21"/>
        </w:rPr>
      </w:pPr>
      <m:oMathPara>
        <m:oMath>
          <m:r>
            <w:rPr>
              <w:rFonts w:ascii="Cambria Math" w:eastAsia="宋体" w:hAnsi="Cambria Math"/>
              <w:color w:val="000000" w:themeColor="text1"/>
              <w:sz w:val="21"/>
              <w:szCs w:val="21"/>
            </w:rPr>
            <m:t>PB</m:t>
          </m:r>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I</m:t>
              </m:r>
            </m:e>
            <m:sub>
              <m:r>
                <w:rPr>
                  <w:rFonts w:ascii="Cambria Math" w:eastAsia="宋体" w:hAnsi="Cambria Math"/>
                  <w:color w:val="000000" w:themeColor="text1"/>
                  <w:sz w:val="21"/>
                  <w:szCs w:val="21"/>
                </w:rPr>
                <m:t>t</m:t>
              </m:r>
            </m:sub>
          </m:sSub>
          <m:r>
            <w:rPr>
              <w:rFonts w:ascii="Cambria Math" w:eastAsia="宋体" w:hAnsi="Cambria Math"/>
              <w:color w:val="000000" w:themeColor="text1"/>
              <w:sz w:val="21"/>
              <w:szCs w:val="21"/>
            </w:rPr>
            <m:t>=100</m:t>
          </m:r>
          <m:sSup>
            <m:sSupPr>
              <m:ctrlPr>
                <w:rPr>
                  <w:rFonts w:ascii="Cambria Math" w:eastAsia="宋体" w:hAnsi="Cambria Math"/>
                  <w:color w:val="000000" w:themeColor="text1"/>
                  <w:sz w:val="21"/>
                  <w:szCs w:val="21"/>
                </w:rPr>
              </m:ctrlPr>
            </m:sSupPr>
            <m:e>
              <m:d>
                <m:dPr>
                  <m:ctrlPr>
                    <w:rPr>
                      <w:rFonts w:ascii="Cambria Math" w:eastAsia="宋体" w:hAnsi="Cambria Math"/>
                      <w:color w:val="000000" w:themeColor="text1"/>
                      <w:sz w:val="21"/>
                      <w:szCs w:val="21"/>
                    </w:rPr>
                  </m:ctrlPr>
                </m:dPr>
                <m:e>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P</m:t>
                      </m:r>
                    </m:e>
                    <m:sub>
                      <m:r>
                        <w:rPr>
                          <w:rFonts w:ascii="Cambria Math" w:eastAsia="宋体" w:hAnsi="Cambria Math"/>
                          <w:color w:val="000000" w:themeColor="text1"/>
                          <w:sz w:val="21"/>
                          <w:szCs w:val="21"/>
                        </w:rPr>
                        <m:t>t</m:t>
                      </m:r>
                    </m:sub>
                  </m:sSub>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C</m:t>
                      </m:r>
                    </m:e>
                    <m:sub>
                      <m:r>
                        <w:rPr>
                          <w:rFonts w:ascii="Cambria Math" w:eastAsia="宋体" w:hAnsi="Cambria Math"/>
                          <w:color w:val="000000" w:themeColor="text1"/>
                          <w:sz w:val="21"/>
                          <w:szCs w:val="21"/>
                        </w:rPr>
                        <m:t>tR</m:t>
                      </m:r>
                    </m:sub>
                  </m:sSub>
                  <m:sSub>
                    <m:sSubPr>
                      <m:ctrlPr>
                        <w:rPr>
                          <w:rFonts w:ascii="Cambria Math" w:eastAsia="宋体" w:hAnsi="Cambria Math"/>
                          <w:color w:val="000000" w:themeColor="text1"/>
                          <w:sz w:val="21"/>
                          <w:szCs w:val="21"/>
                        </w:rPr>
                      </m:ctrlPr>
                    </m:sSubPr>
                    <m:e>
                      <m:r>
                        <w:rPr>
                          <w:rFonts w:ascii="Cambria Math" w:eastAsia="宋体" w:hAnsi="Cambria Math"/>
                          <w:color w:val="000000" w:themeColor="text1"/>
                          <w:sz w:val="21"/>
                          <w:szCs w:val="21"/>
                        </w:rPr>
                        <m:t>C</m:t>
                      </m:r>
                    </m:e>
                    <m:sub>
                      <m:r>
                        <w:rPr>
                          <w:rFonts w:ascii="Cambria Math" w:eastAsia="宋体" w:hAnsi="Cambria Math"/>
                          <w:color w:val="000000" w:themeColor="text1"/>
                          <w:sz w:val="21"/>
                          <w:szCs w:val="21"/>
                        </w:rPr>
                        <m:t>tD</m:t>
                      </m:r>
                    </m:sub>
                  </m:sSub>
                </m:e>
              </m:d>
            </m:e>
            <m:sup>
              <m:r>
                <w:rPr>
                  <w:rFonts w:ascii="Cambria Math" w:eastAsia="宋体" w:hAnsi="Cambria Math"/>
                  <w:color w:val="000000" w:themeColor="text1"/>
                  <w:sz w:val="21"/>
                  <w:szCs w:val="21"/>
                </w:rPr>
                <m:t>1/3</m:t>
              </m:r>
            </m:sup>
          </m:sSup>
          <m:r>
            <w:rPr>
              <w:rFonts w:ascii="Cambria Math" w:eastAsia="宋体" w:hAnsi="Cambria Math"/>
              <w:color w:val="000000" w:themeColor="text1"/>
              <w:sz w:val="21"/>
              <w:szCs w:val="21"/>
            </w:rPr>
            <m:t>.</m:t>
          </m:r>
        </m:oMath>
      </m:oMathPara>
    </w:p>
    <w:p w14:paraId="26590E96" w14:textId="77777777" w:rsidR="00EE60D6" w:rsidRDefault="00EE60D6" w:rsidP="00EE60D6">
      <w:pPr>
        <w:rPr>
          <w:color w:val="1F1F1F"/>
        </w:rPr>
      </w:pPr>
    </w:p>
    <w:p w14:paraId="41915A26" w14:textId="77777777" w:rsidR="00EE60D6" w:rsidRDefault="00EE60D6" w:rsidP="00EE60D6">
      <w:r>
        <w:rPr>
          <w:rFonts w:hint="eastAsia"/>
        </w:rPr>
        <w:t xml:space="preserve">The coherence </w:t>
      </w:r>
      <w:r>
        <w:t>transformation</w:t>
      </w:r>
      <w:r>
        <w:rPr>
          <w:rFonts w:hint="eastAsia"/>
        </w:rPr>
        <w:t xml:space="preserve"> converts the IQR, which rises as coverages become less coherent, to a score bounded between 0 and 1 that increases as coverage become more coherent. It returns 0.5 exactly when a party</w:t>
      </w:r>
      <w:r>
        <w:t>’</w:t>
      </w:r>
      <w:r>
        <w:rPr>
          <w:rFonts w:hint="eastAsia"/>
        </w:rPr>
        <w:t xml:space="preserve">s IQR range equals </w:t>
      </w:r>
      <w:r w:rsidRPr="00A75CE4">
        <w:rPr>
          <w:rFonts w:hint="eastAsia"/>
          <w:i/>
          <w:iCs/>
        </w:rPr>
        <w:t>k</w:t>
      </w:r>
      <w:r>
        <w:rPr>
          <w:rFonts w:hint="eastAsia"/>
        </w:rPr>
        <w:t>. We set k to the average of the two parties</w:t>
      </w:r>
      <w:r>
        <w:t>’</w:t>
      </w:r>
      <w:r>
        <w:rPr>
          <w:rFonts w:hint="eastAsia"/>
        </w:rPr>
        <w:t xml:space="preserve"> median IQR, which is 28.34 General Ukraine Aid Stance points. So the midpoint of the coherence scale corresponds to the dispersion typical of this corpus. The normalization of polarization rescales it by the maximum polarization across month, 46.48 General Aid Stance point. The widest month take the value of 1. Since both transformation rescale the index to the corpus, the PBI index describes a month relative to other months we observed, not absolute values. </w:t>
      </w:r>
    </w:p>
    <w:p w14:paraId="003C2C7D" w14:textId="77777777" w:rsidR="00EE60D6" w:rsidRDefault="00EE60D6" w:rsidP="00EE60D6"/>
    <w:p w14:paraId="1F83723B" w14:textId="77777777" w:rsidR="00EE60D6" w:rsidRPr="00ED7D28" w:rsidRDefault="00EE60D6" w:rsidP="00EE60D6">
      <w:r>
        <w:rPr>
          <w:rFonts w:hint="eastAsia"/>
        </w:rPr>
        <w:t xml:space="preserve">Given that the </w:t>
      </w:r>
      <w:r>
        <w:t>theoretical</w:t>
      </w:r>
      <w:r>
        <w:rPr>
          <w:rFonts w:hint="eastAsia"/>
        </w:rPr>
        <w:t xml:space="preserve"> claim for polarization and within-party coherence is conjunctive; that a party brand carries further information only when the parties are distinguishable and each party</w:t>
      </w:r>
      <w:r>
        <w:t>’</w:t>
      </w:r>
      <w:r>
        <w:rPr>
          <w:rFonts w:hint="eastAsia"/>
        </w:rPr>
        <w:t xml:space="preserve">s own coverage is internally consistent, we calculated PBI as the geometric mean of the three components. We took the cube root and </w:t>
      </w:r>
      <w:r>
        <w:t>multiplied</w:t>
      </w:r>
      <w:r>
        <w:rPr>
          <w:rFonts w:hint="eastAsia"/>
        </w:rPr>
        <w:t xml:space="preserve"> by 100 to return the index to the scale of 0 to 100. </w:t>
      </w:r>
    </w:p>
    <w:p w14:paraId="10C20B78" w14:textId="77777777" w:rsidR="00EE60D6" w:rsidRDefault="00EE60D6" w:rsidP="00EE60D6">
      <w:pPr>
        <w:pStyle w:val="2"/>
      </w:pPr>
      <w:r>
        <w:rPr>
          <w:rFonts w:hint="eastAsia"/>
        </w:rPr>
        <w:t>Joint Measurement Uncertainty</w:t>
      </w:r>
    </w:p>
    <w:p w14:paraId="7F3EA7C6" w14:textId="77777777" w:rsidR="00EE60D6" w:rsidRDefault="00EE60D6" w:rsidP="00EE60D6">
      <w:r>
        <w:rPr>
          <w:rFonts w:hint="eastAsia"/>
        </w:rPr>
        <w:t xml:space="preserve">Since the same sentence could supply annotation of multiple dimensions, and one article could supply more than one sentence, the annotation drawn from a given article are therefore not independent of one another, and treating annotations from the same article would understate the uncertainty in every downstream quantity built from the single-sentence annotation. We accounted for this dependence with one joint within-month article-cluster bootstrap, which resamples whole articles, so that the replicate distribution reflects variation across the articles that could have entered the corpus rather than across sentences within articles that did. We jointly performed bootstrap given that polarization, within-party coherence and PBI are all aggregated measures of the same annotation. Separate bootstrap would allow an article to enter the replicate for one but not for another measure, producing intervals that are not jointly consistent. </w:t>
      </w:r>
    </w:p>
    <w:p w14:paraId="21B74514" w14:textId="77777777" w:rsidR="00EE60D6" w:rsidRDefault="00EE60D6" w:rsidP="00EE60D6"/>
    <w:p w14:paraId="0EE1C432" w14:textId="77777777" w:rsidR="00EE60D6" w:rsidRDefault="00EE60D6" w:rsidP="00EE60D6">
      <w:r>
        <w:rPr>
          <w:rFonts w:hint="eastAsia"/>
        </w:rPr>
        <w:t xml:space="preserve">In each of 5000 replicates, we sampled unique articles with replacement within month and carried forward every party and </w:t>
      </w:r>
      <w:r>
        <w:t>dimension</w:t>
      </w:r>
      <w:r>
        <w:rPr>
          <w:rFonts w:hint="eastAsia"/>
        </w:rPr>
        <w:t xml:space="preserve"> annotation belong to a sampled article. We then repeated the article and monthly aggregation and downstream calculation of polarization, within-party coherence and PBI. </w:t>
      </w:r>
      <w:r w:rsidRPr="00C602A7">
        <w:t xml:space="preserve">For each replicate, this procedure produces a complete set of monthly measures for all four dimensions, and we will refer to this as a measurement panel. </w:t>
      </w:r>
      <w:r>
        <w:rPr>
          <w:rFonts w:hint="eastAsia"/>
        </w:rPr>
        <w:t>We report the 2.5</w:t>
      </w:r>
      <w:r w:rsidRPr="00A41E53">
        <w:rPr>
          <w:rFonts w:hint="eastAsia"/>
          <w:vertAlign w:val="superscript"/>
        </w:rPr>
        <w:t>th</w:t>
      </w:r>
      <w:r>
        <w:rPr>
          <w:rFonts w:hint="eastAsia"/>
        </w:rPr>
        <w:t xml:space="preserve"> and 97.5</w:t>
      </w:r>
      <w:r w:rsidRPr="00A41E53">
        <w:rPr>
          <w:rFonts w:hint="eastAsia"/>
          <w:vertAlign w:val="superscript"/>
        </w:rPr>
        <w:t>th</w:t>
      </w:r>
      <w:r>
        <w:rPr>
          <w:rFonts w:hint="eastAsia"/>
        </w:rPr>
        <w:t xml:space="preserve"> percentiles of the replicate </w:t>
      </w:r>
      <w:r>
        <w:rPr>
          <w:rFonts w:hint="eastAsia"/>
        </w:rPr>
        <w:lastRenderedPageBreak/>
        <w:t>distribution as the 95% intervals. These intervals tell us how far our monthly estimates would move under resampling of the articles that entered the corpus. They don</w:t>
      </w:r>
      <w:r>
        <w:t>’</w:t>
      </w:r>
      <w:r>
        <w:rPr>
          <w:rFonts w:hint="eastAsia"/>
        </w:rPr>
        <w:t xml:space="preserve">t address serial dependence across month, which the temporal models in the following section handle instead. </w:t>
      </w:r>
    </w:p>
    <w:p w14:paraId="063060EC" w14:textId="77777777" w:rsidR="00EE60D6" w:rsidRPr="00C602A7" w:rsidRDefault="00EE60D6" w:rsidP="00EE60D6">
      <w:pPr>
        <w:pStyle w:val="2"/>
      </w:pPr>
      <w:r w:rsidRPr="00C602A7">
        <w:t>Analysis</w:t>
      </w:r>
    </w:p>
    <w:p w14:paraId="0902FE67" w14:textId="77777777" w:rsidR="00EE60D6" w:rsidRPr="00C602A7" w:rsidRDefault="00EE60D6" w:rsidP="00EE60D6">
      <w:r w:rsidRPr="00C602A7">
        <w:rPr>
          <w:highlight w:val="yellow"/>
        </w:rPr>
        <w:t xml:space="preserve">Subsections below are organized by research questions. Each we report the primary estimand and the procedure we used to estimate and answer the research question. </w:t>
      </w:r>
    </w:p>
    <w:p w14:paraId="52E65F87" w14:textId="77777777" w:rsidR="00EE60D6" w:rsidRPr="00C602A7" w:rsidRDefault="00EE60D6" w:rsidP="00EE60D6"/>
    <w:p w14:paraId="6AEB9B07" w14:textId="77777777" w:rsidR="00EE60D6" w:rsidRPr="00C602A7" w:rsidRDefault="00EE60D6" w:rsidP="00EE60D6">
      <w:pPr>
        <w:pStyle w:val="3"/>
      </w:pPr>
      <w:r w:rsidRPr="00C602A7">
        <w:t>RQ1: Development of General Ukaine Aid Stance Polarization</w:t>
      </w:r>
    </w:p>
    <w:p w14:paraId="6BA74557" w14:textId="77777777" w:rsidR="00EE60D6" w:rsidRPr="00C602A7" w:rsidRDefault="00EE60D6" w:rsidP="00EE60D6">
      <w:r w:rsidRPr="00C602A7">
        <w:t xml:space="preserve">RQ1 asks two questions about the General Ukraine Aid Stance polarization: whether it moved consistently upward over the course of 34 months, and whether that temporal trajectory is gradual or punctuated. </w:t>
      </w:r>
    </w:p>
    <w:p w14:paraId="0B1C06BB" w14:textId="77777777" w:rsidR="00EE60D6" w:rsidRPr="00C602A7" w:rsidRDefault="00EE60D6" w:rsidP="00EE60D6"/>
    <w:p w14:paraId="4D3AEB9B" w14:textId="77777777" w:rsidR="00EE60D6" w:rsidRPr="00C602A7" w:rsidRDefault="00EE60D6" w:rsidP="00EE60D6">
      <w:r w:rsidRPr="00C602A7">
        <w:t xml:space="preserve">We addressed the first question with a rank-based procedure rather than an ordinary least squares, for two reasons. First, we had no reason to expect the trajectory to be linear. The Mann-Kendall statistic compares every month with every later month and counts how often the later month is higher, so it allows a directional tendency that is accelerating or concentrated in particular periods. Second, with only 34 month as observations, the least square would be vulnerable to months with unusual political behaviors such as U-turns and truce. </w:t>
      </w:r>
    </w:p>
    <w:p w14:paraId="686D7192" w14:textId="77777777" w:rsidR="00EE60D6" w:rsidRPr="00C602A7" w:rsidRDefault="00EE60D6" w:rsidP="00EE60D6"/>
    <w:p w14:paraId="49AAED31" w14:textId="77777777" w:rsidR="00EE60D6" w:rsidRPr="00C602A7" w:rsidRDefault="00EE60D6" w:rsidP="00EE60D6">
      <w:r w:rsidRPr="00C602A7">
        <w:t xml:space="preserve">The standard Mann-Kendall procedure assumes that observations are independent, but monthly polarization is clearly not </w:t>
      </w:r>
      <w:r w:rsidRPr="00C602A7">
        <w:rPr>
          <w:highlight w:val="yellow"/>
        </w:rPr>
        <w:t>()</w:t>
      </w:r>
      <w:r w:rsidRPr="00C602A7">
        <w:t xml:space="preserve">. Adjacent months could share running news and legislative calendars, next month’s framing could depend on how the same party was covered previously. We also found autocorrelations in our polarization and PBI time-series, which we discuss further in Results. To avoid overstating the significance, we used the Hamed-Rao modification </w:t>
      </w:r>
      <w:r w:rsidRPr="00C602A7">
        <w:fldChar w:fldCharType="begin"/>
      </w:r>
      <w:r w:rsidRPr="00C602A7">
        <w:instrText xml:space="preserve"> ADDIN ZOTERO_ITEM CSL_CITATION {"citationID":"yrhuPdqN","properties":{"unsorted":false,"formattedCitation":"(Hamed &amp; Rao, 1998)","plainCitation":"(Hamed &amp; Rao, 1998)","noteIndex":0},"citationItems":[{"id":8390,"uris":["http://zotero.org/users/6825464/items/DZ8XVJJS"],"itemData":{"id":8390,"type":"article-journal","abstract":"One of the commonly used tools for detecting changes in climatic and hydrologic time series is trend analysis. A number of statistical tests exist to assess the significance of trends in time series. One of the commonly used non-parametric trend tests is the Mann-Kendall trend test. The null hypothesis in the Mann-Kendall test is that the data are independent and randomly ordered. However, the existence of positive autocorrelation in the data increases the probability of detecting trends when actually none exist, and vice versa. Although this is a well-known fact, few studies have addressed this issue, and autocorrelation in the data is often ignored. In this study, the effect of autocorrelation on the variance of the Mann-Kendall trend test statistic is discussed. A theoretical relationship is derived to calculate the variance of the Mann-Kendall test statistic for autocorrelated data. The special cases of AR(1) and MA(1) dependence are discussed as examples. An approximation to the theoretical relationship is also presented in order to reduce computation time for long time series. Based on the modified value of the variance of the Mann-Kendall trend test statistic, a modified non-parametric trend test which is suitable for autocorrelated data is proposed. The accuracy of the modified test in terms of its empirical significance level was found to be superior to that of the original Mann-Kendall trend test without any loss of power. The modified test is applied to rainfall as well as streamflow data to demonstrate its performance as compared to the original Mann-Kendall trend test.","citation-key":"hamedModifiedMannKendallTrend1998","container-title":"Journal of Hydrology","DOI":"10.1016/S0022-1694(97)00125-X","ISSN":"0022-1694","issue":"1","journalAbbreviation":"Journal of Hydrology","page":"182-196","source":"ScienceDirect","title":"A modified Mann-Kendall trend test for autocorrelated data","volume":"204","author":[{"family":"Hamed","given":"Khaled H."},{"family":"Rao","given":"A. Ramachandra"}],"issued":{"date-parts":[["1998",1,30]]}}}],"schema":"https://github.com/citation-style-language/schema/raw/master/csl-citation.json"} </w:instrText>
      </w:r>
      <w:r w:rsidRPr="00C602A7">
        <w:fldChar w:fldCharType="separate"/>
      </w:r>
      <w:r w:rsidRPr="00C602A7">
        <w:rPr>
          <w:noProof/>
        </w:rPr>
        <w:t>(Hamed &amp; Rao, 1998)</w:t>
      </w:r>
      <w:r w:rsidRPr="00C602A7">
        <w:fldChar w:fldCharType="end"/>
      </w:r>
      <w:r w:rsidRPr="00C602A7">
        <w:t xml:space="preserve">. It recomputes the variance of the test statistics from detrended ranks. We paired it with Sen slope to report the magnitude of monthly changes in the unit of General Ukraine Aid Stance </w:t>
      </w:r>
      <w:r w:rsidRPr="00C602A7">
        <w:fldChar w:fldCharType="begin"/>
      </w:r>
      <w:r w:rsidRPr="00C602A7">
        <w:instrText xml:space="preserve"> ADDIN ZOTERO_ITEM CSL_CITATION {"citationID":"vzrFRmbz","properties":{"unsorted":false,"formattedCitation":"(Sen, 1968)","plainCitation":"(Sen, 1968)","noteIndex":0},"citationItems":[{"id":9652,"uris":["http://zotero.org/users/6825464/items/4H84IVV4"],"itemData":{"id":9652,"type":"article-journal","abstract":"The least squares estimator of a regression coefficient β is vulnerable to gross errors and the associated confidence interval is, in addition, sensitive to non-normality of the parent distribution. In this paper, a simple and robust (point as well as interval) estimator of β based on Kendall's [6] rank correlation tau is studied. The point estimator is the median of the set of slopes (Yj - Yi )/(tj-ti ) joining pairs of points with ti ≠ tj , and is unbiased. The confidence interval is also determined by two order statistics of this set of slopes. Various properties of these estimators are studied and compared with those of the least squares and some other nonparametric estimators.","container-title":"Journal of the American Statistical Association","DOI":"10.1080/01621459.1968.10480934","ISSN":"0162-1459","issue":"324","page":"1379-1389","publisher":"Taylor &amp; Francis","source":"Taylor and Francis+NEJM","title":"Estimates of the Regression Coefficient Based on Kendall's Tau","volume":"63","author":[{"family":"Sen","given":"Pranab Kumar"}],"issued":{"date-parts":[["1968",12,1]]}}}],"schema":"https://github.com/citation-style-language/schema/raw/master/csl-citation.json"} </w:instrText>
      </w:r>
      <w:r w:rsidRPr="00C602A7">
        <w:fldChar w:fldCharType="separate"/>
      </w:r>
      <w:r w:rsidRPr="00C602A7">
        <w:rPr>
          <w:noProof/>
        </w:rPr>
        <w:t>(Sen, 1968)</w:t>
      </w:r>
      <w:r w:rsidRPr="00C602A7">
        <w:fldChar w:fldCharType="end"/>
      </w:r>
      <w:r w:rsidRPr="00C602A7">
        <w:t xml:space="preserve">. </w:t>
      </w:r>
    </w:p>
    <w:p w14:paraId="3D5A5402" w14:textId="77777777" w:rsidR="00EE60D6" w:rsidRPr="00C602A7" w:rsidRDefault="00EE60D6" w:rsidP="00EE60D6"/>
    <w:p w14:paraId="4D559715" w14:textId="77777777" w:rsidR="00EE60D6" w:rsidRPr="00C602A7" w:rsidRDefault="00EE60D6" w:rsidP="00EE60D6">
      <w:r w:rsidRPr="00C602A7">
        <w:t xml:space="preserve">To answer the second question, we fitted three competing descriptions of polarization’s temporal trajectory: a single gradual trend with no shifts, a set of constant levels separated by shifts at particular onset dates, and constant levels with a single gradual trend running through them. In each case, we impose also a stationary autoregressive error process of order </w:t>
      </w:r>
      <w:r w:rsidRPr="00C602A7">
        <w:rPr>
          <w:i/>
          <w:iCs/>
        </w:rPr>
        <w:t>p</w:t>
      </w:r>
      <w:r w:rsidRPr="00C602A7">
        <w:t xml:space="preserve"> that is 0, 1 or 2</w:t>
      </w:r>
      <w:r>
        <w:rPr>
          <w:rFonts w:hint="eastAsia"/>
        </w:rPr>
        <w:t xml:space="preserve"> </w:t>
      </w:r>
      <w:r>
        <w:fldChar w:fldCharType="begin"/>
      </w:r>
      <w:r>
        <w:instrText xml:space="preserve"> ADDIN ZOTERO_ITEM CSL_CITATION {"citationID":"xWSR6zhs","properties":{"unsorted":false,"formattedCitation":"(Beaulieu &amp; Killick, 2018)","plainCitation":"(Beaulieu &amp; Killick, 2018)","noteIndex":0},"citationItems":[{"id":9662,"uris":["http://zotero.org/users/6825464/items/63YFIU7C"],"itemData":{"id":9662,"type":"article-journal","abstract":"The detection of climate change and its attribution to the corresponding underlying processes is challenging because signals such as trends and shifts are superposed on variability arising from the memory within the climate system. Statistical methods used to characterize change in time series must be flexible enough to distinguish these components. Here we propose an approach tailored to distinguish these different modes of change by fitting a series of models and selecting the most suitable one according to an information criterion. The models involve combinations of a constant mean or a trend superposed to a background of white noise with or without autocorrelation to characterize the memory, and are able to detect multiple changepoints in each model configuration. Through a simulation study on synthetic time series, the approach is shown to be effective in distinguishing abrupt changes from trends and memory by identifying the true number and timing of abrupt changes when they are present. Furthermore, the proposed method is better performing than two commonly used approaches for the detection of abrupt changes in climate time series. Using this approach, the so-called hiatus in recent global mean surface warming fails to be detected as a shift in the rate of temperature rise but is instead consistent with steady increase since the 1960s/1970s. Our method also supports the hypothesis that the Pacific decadal oscillation behaves as a short-memory process rather than forced mean shifts as previously suggested. These examples demonstrate the usefulness of the proposed approach for change detection and for avoiding the most pervasive types of mistake in the detection of climate change.","container-title":"Journal of Climate","DOI":"10.1175/JCLI-D-17-0863.1","ISSN":"0894-8755, 1520-0442","issue":"23","language":"EN","page":"9519-9543","publisher":"American Meteorological Society","section":"Journal of Climate","source":"journals.ametsoc.org","title":"Distinguishing Trends and Shifts from Memory in Climate Data","volume":"31","author":[{"family":"Beaulieu","given":"Claudie"},{"family":"Killick","given":"Rebecca"}],"issued":{"date-parts":[["2018",12,1]]}}}],"schema":"https://github.com/citation-style-language/schema/raw/master/csl-citation.json"} </w:instrText>
      </w:r>
      <w:r>
        <w:fldChar w:fldCharType="separate"/>
      </w:r>
      <w:r>
        <w:rPr>
          <w:noProof/>
        </w:rPr>
        <w:t>(Beaulieu &amp; Killick, 2018)</w:t>
      </w:r>
      <w:r>
        <w:fldChar w:fldCharType="end"/>
      </w:r>
      <w:r w:rsidRPr="00C602A7">
        <w:t xml:space="preserve">. Fixing the onset dates would not enable us to detect changes we did not anticipate, so we let the data locate the shifts and onset </w:t>
      </w:r>
      <w:r w:rsidRPr="00C602A7">
        <w:fldChar w:fldCharType="begin"/>
      </w:r>
      <w:r w:rsidRPr="00C602A7">
        <w:instrText xml:space="preserve"> ADDIN ZOTERO_ITEM CSL_CITATION {"citationID":"xte5aosD","properties":{"unsorted":false,"formattedCitation":"(Bai &amp; Perron, 1998)","plainCitation":"(Bai &amp; Perron, 1998)","noteIndex":0},"citationItems":[{"id":9448,"uris":["http://zotero.org/users/6825464/items/MUQHR24D"],"itemData":{"id":9448,"type":"article-journal","container-title":"Econometrica","DOI":"10.2307/2998540","ISSN":"0012-9682","issue":"1","page":"47","publisher":"JSTOR","title":"Estimating and Testing Linear Models with Multiple Structural Changes","volume":"66","author":[{"family":"Bai","given":"Jushan"},{"family":"Perron","given":"Pierre"}],"issued":{"date-parts":[["1998",1]]}}}],"schema":"https://github.com/citation-style-language/schema/raw/master/csl-citation.json"} </w:instrText>
      </w:r>
      <w:r w:rsidRPr="00C602A7">
        <w:fldChar w:fldCharType="separate"/>
      </w:r>
      <w:r w:rsidRPr="00C602A7">
        <w:rPr>
          <w:noProof/>
        </w:rPr>
        <w:t>(Bai &amp; Perron, 1998)</w:t>
      </w:r>
      <w:r w:rsidRPr="00C602A7">
        <w:fldChar w:fldCharType="end"/>
      </w:r>
      <w:r w:rsidRPr="00C602A7">
        <w:t xml:space="preserve">. Additionally, shifts, trend and serial correlation are mutually confoundable, so we estimated the trajectory model and the error structure together </w:t>
      </w:r>
      <w:r w:rsidRPr="00C602A7">
        <w:fldChar w:fldCharType="begin"/>
      </w:r>
      <w:r w:rsidRPr="00C602A7">
        <w:instrText xml:space="preserve"> ADDIN ZOTERO_ITEM CSL_CITATION {"citationID":"CrZopxVj","properties":{"unsorted":false,"formattedCitation":"(Lund et al., 2023)","plainCitation":"(Lund et al., 2023)","noteIndex":0},"citationItems":[{"id":9655,"uris":["http://zotero.org/users/6825464/items/PGK3Q2IU"],"itemData":{"id":9655,"type":"article-journal","abstract":"Climate changepoint (homogenization) methods abound today, with a myriad of techniques existing in both the climate and statistics literature. Unfortunately, the appropriate changepoint technique to use remains unclear to many. Further complicating issues, changepoint conclusions are not robust to perturbations in assumptions; for example, allowing for a trend or correlation in the series can drastically change changepoint conclusions. This paper is a review of the topic, with an emphasis on illuminating the models and techniques that allow the scientist to make reliable conclusions. Pitfalls to avoid are demonstrated via actual applications. The discourse begins by narrating the salient statistical features of most climate time series. Thereafter, single- and multiple-changepoint problems are considered. Several pitfalls are discussed en route and good practices are recommended. While most of our applications involve temperatures, a sea ice series is also considered. Significance Statement This paper reviews the methods used to identify and analyze the changepoints in climate data, with a focus on helping scientists make reliable conclusions. The paper discusses common mistakes and pitfalls to avoid in changepoint analysis and provides recommendations for best practices. The paper also provides examples of how these methods have been applied to temperature and sea ice data. The main goal of the paper is to provide guidance on how to effectively identify the changepoints in climate time series and homogenize the series.","container-title":"Journal of Climate","DOI":"10.1175/JCLI-D-22-0954.1","ISSN":"0894-8755, 1520-0442","issue":"23","language":"EN","page":"8041-8057","publisher":"American Meteorological Society","section":"Journal of Climate","source":"journals.ametsoc.org","title":"Good Practices and Common Pitfalls in Climate Time Series Changepoint Techniques: A Review","title-short":"Good Practices and Common Pitfalls in Climate Time Series Changepoint Techniques","volume":"36","author":[{"family":"Lund","given":"Robert B."},{"family":"Beaulieu","given":"Claudie"},{"family":"Killick","given":"Rebecca"},{"family":"Lu","given":"QiQi"},{"family":"Shi","given":"Xueheng"}],"issued":{"date-parts":[["2023",11,7]]}}}],"schema":"https://github.com/citation-style-language/schema/raw/master/csl-citation.json"} </w:instrText>
      </w:r>
      <w:r w:rsidRPr="00C602A7">
        <w:fldChar w:fldCharType="separate"/>
      </w:r>
      <w:r w:rsidRPr="00C602A7">
        <w:rPr>
          <w:noProof/>
        </w:rPr>
        <w:t>(Lund et al., 2023)</w:t>
      </w:r>
      <w:r w:rsidRPr="00C602A7">
        <w:fldChar w:fldCharType="end"/>
      </w:r>
    </w:p>
    <w:p w14:paraId="6791EFF8" w14:textId="77777777" w:rsidR="00EE60D6" w:rsidRPr="00C602A7" w:rsidRDefault="00EE60D6" w:rsidP="00EE60D6"/>
    <w:p w14:paraId="64AFFA26" w14:textId="77777777" w:rsidR="00EE60D6" w:rsidRPr="00C602A7" w:rsidRDefault="00EE60D6" w:rsidP="00EE60D6">
      <w:bookmarkStart w:id="3" w:name="OLE_LINK2"/>
      <w:r w:rsidRPr="00C602A7">
        <w:t xml:space="preserve">Because the onset dates are estimated from data, the conventional BIC would receive them as fixed inputs and underestimate the number of parameters fitted. We instead find the more suitable model by minimizing an adjusted BIC: </w:t>
      </w:r>
    </w:p>
    <w:p w14:paraId="4E1C63B6" w14:textId="77777777" w:rsidR="00EE60D6" w:rsidRPr="00C602A7" w:rsidRDefault="00EE60D6" w:rsidP="00EE60D6">
      <w:pPr>
        <w:spacing w:before="200" w:after="200"/>
        <w:jc w:val="center"/>
        <w:rPr>
          <w:i/>
          <w:sz w:val="24"/>
          <w:szCs w:val="24"/>
        </w:rPr>
      </w:pPr>
      <m:oMathPara>
        <m:oMath>
          <m:r>
            <w:rPr>
              <w:rFonts w:ascii="Cambria Math" w:eastAsia="Times New Roman" w:hAnsi="Cambria Math"/>
              <w:sz w:val="24"/>
              <w:szCs w:val="24"/>
            </w:rPr>
            <m:t>BIC=-2logL+klogN,  k = 2m+p+2</m:t>
          </m:r>
        </m:oMath>
      </m:oMathPara>
    </w:p>
    <w:p w14:paraId="322A2A24" w14:textId="77777777" w:rsidR="00EE60D6" w:rsidRPr="00C602A7" w:rsidRDefault="00EE60D6" w:rsidP="00EE60D6">
      <w:r w:rsidRPr="00C602A7">
        <w:lastRenderedPageBreak/>
        <w:t xml:space="preserve">Where </w:t>
      </w:r>
      <w:r w:rsidRPr="00C602A7">
        <w:rPr>
          <w:i/>
          <w:iCs/>
        </w:rPr>
        <w:t>N</w:t>
      </w:r>
      <w:r w:rsidRPr="00C602A7">
        <w:t xml:space="preserve"> = 34, and </w:t>
      </w:r>
      <w:r w:rsidRPr="00C602A7">
        <w:rPr>
          <w:i/>
          <w:iCs/>
        </w:rPr>
        <w:t>k</w:t>
      </w:r>
      <w:r w:rsidRPr="00C602A7">
        <w:t xml:space="preserve"> counts the estimated parameter: with </w:t>
      </w:r>
      <w:r w:rsidRPr="00C602A7">
        <w:rPr>
          <w:i/>
          <w:iCs/>
        </w:rPr>
        <w:t>m</w:t>
      </w:r>
      <w:r w:rsidRPr="00C602A7">
        <w:t xml:space="preserve"> shifts, the model fits </w:t>
      </w:r>
      <w:r w:rsidRPr="00C602A7">
        <w:rPr>
          <w:i/>
          <w:iCs/>
        </w:rPr>
        <w:t>m+1</w:t>
      </w:r>
      <w:r w:rsidRPr="00C602A7">
        <w:t xml:space="preserve"> regime levels, p autoregressive coefficients, one innovation variance, and </w:t>
      </w:r>
      <w:r w:rsidRPr="00C602A7">
        <w:rPr>
          <w:i/>
          <w:iCs/>
        </w:rPr>
        <w:t>m</w:t>
      </w:r>
      <w:r w:rsidRPr="00C602A7">
        <w:t xml:space="preserve"> onset dates.</w:t>
      </w:r>
      <w:bookmarkEnd w:id="3"/>
      <w:r w:rsidRPr="00C602A7">
        <w:t xml:space="preserve"> Because the number of shifts changes with the minimum regime duration, and that each number of shifts have its own set of onset dates and autoregressive order, the candidate space is very large. The efficient approach to search through this candidate space to find the best model that describe the trajectory is an island genetic algorithm </w:t>
      </w:r>
      <w:r w:rsidRPr="00C602A7">
        <w:fldChar w:fldCharType="begin"/>
      </w:r>
      <w:r w:rsidRPr="00C602A7">
        <w:instrText xml:space="preserve"> ADDIN ZOTERO_ITEM CSL_CITATION {"citationID":"rPDsFi1t","properties":{"unsorted":false,"formattedCitation":"(Li &amp; Lu, 2026)","plainCitation":"(Li &amp; Lu, 2026)","noteIndex":0},"citationItems":[{"id":9659,"uris":["http://zotero.org/users/6825464/items/M9JJIMJ8"],"itemData":{"id":9659,"type":"article","abstract":"Detecting changepoints in a time series of length $N$ entails evaluating up to $2^{N-1}$ possible changepoint models, making exhaustive enumeration computationally infeasible. Genetic algorithms (GAs) provide a stochastic way to identify the structural changes: a population of candidate models evolves via selection, crossover, and mutation operators until it converges on one changepoint model that balances the goodness-of-fit with parsimony. The R package changepointGA encodes each candidate model as an integer chromosome vector and supports both the basic single-population model GA and the island model GA. Parallel computing is implemented on multi-core hardware to further accelerate computation. Users may supply custom fitness functions or genetic operators, while a user-friendly wrapper streamlines routine analyses. Extensive simulations demonstrate that our package runs significantly faster than binary-encoded GA alternatives. Additionally, this package can simultaneously locate changepoints and estimate their effects, as well as other model parameters and any integer-valued hyperparameters. Applications to array-based comparative genomic hybridization data and a century-long temperature series further highlight the package's value in biological and climate research.","DOI":"10.48550/arXiv.2410.15571","note":"arXiv:2410.15571 [stat.CO]","number":"arXiv:2410.15571","publisher":"arXiv","source":"arXiv.org","title":"changepointGA: An R package for Fast Changepoint Detection via Genetic Algorithm","title-short":"changepointGA","URL":"http://arxiv.org/abs/2410.15571","author":[{"family":"Li","given":"Mo"},{"family":"Lu","given":"QiQi"}],"accessed":{"date-parts":[["2026",8,22]]},"issued":{"date-parts":[["2026",6,19]]}}}],"schema":"https://github.com/citation-style-language/schema/raw/master/csl-citation.json"} </w:instrText>
      </w:r>
      <w:r w:rsidRPr="00C602A7">
        <w:fldChar w:fldCharType="separate"/>
      </w:r>
      <w:r w:rsidRPr="00C602A7">
        <w:rPr>
          <w:noProof/>
        </w:rPr>
        <w:t>(Li &amp; Lu, 2026)</w:t>
      </w:r>
      <w:r w:rsidRPr="00C602A7">
        <w:fldChar w:fldCharType="end"/>
      </w:r>
      <w:r w:rsidRPr="00C602A7">
        <w:t xml:space="preserve">. It encodes the number of shifts, onset dates, and the autoregressive order in a single candidate solution and evolves a population of those solutions. </w:t>
      </w:r>
      <w:r w:rsidRPr="00C602A7">
        <w:rPr>
          <w:highlight w:val="yellow"/>
        </w:rPr>
        <w:t xml:space="preserve">Table </w:t>
      </w:r>
      <w:r>
        <w:rPr>
          <w:rFonts w:hint="eastAsia"/>
          <w:highlight w:val="yellow"/>
        </w:rPr>
        <w:t>3</w:t>
      </w:r>
      <w:r w:rsidRPr="00C602A7">
        <w:rPr>
          <w:highlight w:val="yellow"/>
        </w:rPr>
        <w:t xml:space="preserve"> presents the exact configuration and candidate space.</w:t>
      </w:r>
      <w:r w:rsidRPr="00C602A7">
        <w:t xml:space="preserve">  </w:t>
      </w:r>
    </w:p>
    <w:p w14:paraId="169F6592" w14:textId="77777777" w:rsidR="00EE60D6" w:rsidRPr="00C602A7" w:rsidRDefault="00EE60D6" w:rsidP="00EE60D6"/>
    <w:p w14:paraId="7C08583E" w14:textId="77777777" w:rsidR="00EE60D6" w:rsidRPr="00C602A7" w:rsidRDefault="00EE60D6" w:rsidP="00EE60D6">
      <w:pPr>
        <w:rPr>
          <w:b/>
          <w:bCs/>
        </w:rPr>
      </w:pPr>
      <w:r w:rsidRPr="00C602A7">
        <w:rPr>
          <w:b/>
          <w:bCs/>
        </w:rPr>
        <w:t xml:space="preserve">Table </w:t>
      </w:r>
      <w:r>
        <w:rPr>
          <w:rFonts w:hint="eastAsia"/>
          <w:b/>
          <w:bCs/>
        </w:rPr>
        <w:t>3</w:t>
      </w:r>
      <w:r w:rsidRPr="00C602A7">
        <w:rPr>
          <w:b/>
          <w:bCs/>
        </w:rPr>
        <w:t>: Shift Search Configuration</w:t>
      </w:r>
    </w:p>
    <w:tbl>
      <w:tblPr>
        <w:tblStyle w:val="aff2"/>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1"/>
        <w:gridCol w:w="5519"/>
      </w:tblGrid>
      <w:tr w:rsidR="00EE60D6" w:rsidRPr="00C602A7" w14:paraId="6CF809DE" w14:textId="77777777" w:rsidTr="00831018">
        <w:tc>
          <w:tcPr>
            <w:tcW w:w="2052" w:type="pct"/>
            <w:tcBorders>
              <w:bottom w:val="single" w:sz="4" w:space="0" w:color="auto"/>
            </w:tcBorders>
            <w:hideMark/>
          </w:tcPr>
          <w:p w14:paraId="672E4A4B" w14:textId="77777777" w:rsidR="00EE60D6" w:rsidRPr="00C602A7" w:rsidRDefault="00EE60D6" w:rsidP="00831018">
            <w:pPr>
              <w:rPr>
                <w:b/>
                <w:bCs/>
              </w:rPr>
            </w:pPr>
            <w:r w:rsidRPr="00C602A7">
              <w:rPr>
                <w:b/>
                <w:bCs/>
              </w:rPr>
              <w:t>Component</w:t>
            </w:r>
          </w:p>
        </w:tc>
        <w:tc>
          <w:tcPr>
            <w:tcW w:w="2948" w:type="pct"/>
            <w:tcBorders>
              <w:bottom w:val="single" w:sz="4" w:space="0" w:color="auto"/>
            </w:tcBorders>
            <w:hideMark/>
          </w:tcPr>
          <w:p w14:paraId="75E4FE2D" w14:textId="77777777" w:rsidR="00EE60D6" w:rsidRPr="00C602A7" w:rsidRDefault="00EE60D6" w:rsidP="00831018">
            <w:pPr>
              <w:rPr>
                <w:b/>
                <w:bCs/>
              </w:rPr>
            </w:pPr>
            <w:r w:rsidRPr="00C602A7">
              <w:rPr>
                <w:b/>
                <w:bCs/>
              </w:rPr>
              <w:t>Setting</w:t>
            </w:r>
          </w:p>
        </w:tc>
      </w:tr>
      <w:tr w:rsidR="00EE60D6" w:rsidRPr="00C602A7" w14:paraId="00F798A1" w14:textId="77777777" w:rsidTr="00831018">
        <w:tc>
          <w:tcPr>
            <w:tcW w:w="2052" w:type="pct"/>
            <w:tcBorders>
              <w:top w:val="single" w:sz="4" w:space="0" w:color="auto"/>
              <w:bottom w:val="nil"/>
            </w:tcBorders>
            <w:hideMark/>
          </w:tcPr>
          <w:p w14:paraId="029F7DB7" w14:textId="77777777" w:rsidR="00EE60D6" w:rsidRPr="00C602A7" w:rsidRDefault="00EE60D6" w:rsidP="00831018">
            <w:r w:rsidRPr="00C602A7">
              <w:t>Population size</w:t>
            </w:r>
          </w:p>
        </w:tc>
        <w:tc>
          <w:tcPr>
            <w:tcW w:w="2948" w:type="pct"/>
            <w:tcBorders>
              <w:top w:val="single" w:sz="4" w:space="0" w:color="auto"/>
              <w:bottom w:val="nil"/>
            </w:tcBorders>
            <w:hideMark/>
          </w:tcPr>
          <w:p w14:paraId="3BA696E5" w14:textId="77777777" w:rsidR="00EE60D6" w:rsidRPr="00C602A7" w:rsidRDefault="00EE60D6" w:rsidP="00831018">
            <w:r w:rsidRPr="00C602A7">
              <w:t>100</w:t>
            </w:r>
          </w:p>
        </w:tc>
      </w:tr>
      <w:tr w:rsidR="00EE60D6" w:rsidRPr="00C602A7" w14:paraId="74D2343F" w14:textId="77777777" w:rsidTr="00831018">
        <w:tc>
          <w:tcPr>
            <w:tcW w:w="2052" w:type="pct"/>
            <w:tcBorders>
              <w:top w:val="nil"/>
              <w:bottom w:val="nil"/>
            </w:tcBorders>
            <w:hideMark/>
          </w:tcPr>
          <w:p w14:paraId="35A6FCE8" w14:textId="77777777" w:rsidR="00EE60D6" w:rsidRPr="00C602A7" w:rsidRDefault="00EE60D6" w:rsidP="00831018">
            <w:r w:rsidRPr="00C602A7">
              <w:t>Islands</w:t>
            </w:r>
          </w:p>
        </w:tc>
        <w:tc>
          <w:tcPr>
            <w:tcW w:w="2948" w:type="pct"/>
            <w:tcBorders>
              <w:top w:val="nil"/>
              <w:bottom w:val="nil"/>
            </w:tcBorders>
            <w:hideMark/>
          </w:tcPr>
          <w:p w14:paraId="62410E65" w14:textId="77777777" w:rsidR="00EE60D6" w:rsidRPr="00C602A7" w:rsidRDefault="00EE60D6" w:rsidP="00831018">
            <w:r w:rsidRPr="00C602A7">
              <w:t>5</w:t>
            </w:r>
          </w:p>
        </w:tc>
      </w:tr>
      <w:tr w:rsidR="00EE60D6" w:rsidRPr="00C602A7" w14:paraId="2EFED381" w14:textId="77777777" w:rsidTr="00831018">
        <w:tc>
          <w:tcPr>
            <w:tcW w:w="2052" w:type="pct"/>
            <w:tcBorders>
              <w:top w:val="nil"/>
              <w:bottom w:val="nil"/>
            </w:tcBorders>
            <w:hideMark/>
          </w:tcPr>
          <w:p w14:paraId="3F2B42E2" w14:textId="77777777" w:rsidR="00EE60D6" w:rsidRPr="00C602A7" w:rsidRDefault="00EE60D6" w:rsidP="00831018">
            <w:r w:rsidRPr="00C602A7">
              <w:t>Maximum migrations</w:t>
            </w:r>
          </w:p>
        </w:tc>
        <w:tc>
          <w:tcPr>
            <w:tcW w:w="2948" w:type="pct"/>
            <w:tcBorders>
              <w:top w:val="nil"/>
              <w:bottom w:val="nil"/>
            </w:tcBorders>
            <w:hideMark/>
          </w:tcPr>
          <w:p w14:paraId="79B1A473" w14:textId="77777777" w:rsidR="00EE60D6" w:rsidRPr="00C602A7" w:rsidRDefault="00EE60D6" w:rsidP="00831018">
            <w:r w:rsidRPr="00C602A7">
              <w:t>150</w:t>
            </w:r>
          </w:p>
        </w:tc>
      </w:tr>
      <w:tr w:rsidR="00EE60D6" w:rsidRPr="00C602A7" w14:paraId="1E871D09" w14:textId="77777777" w:rsidTr="00831018">
        <w:tc>
          <w:tcPr>
            <w:tcW w:w="2052" w:type="pct"/>
            <w:tcBorders>
              <w:top w:val="nil"/>
              <w:bottom w:val="nil"/>
            </w:tcBorders>
            <w:hideMark/>
          </w:tcPr>
          <w:p w14:paraId="0104BBC8" w14:textId="77777777" w:rsidR="00EE60D6" w:rsidRPr="00C602A7" w:rsidRDefault="00EE60D6" w:rsidP="00831018">
            <w:r w:rsidRPr="00C602A7">
              <w:t>Generations per migration</w:t>
            </w:r>
          </w:p>
        </w:tc>
        <w:tc>
          <w:tcPr>
            <w:tcW w:w="2948" w:type="pct"/>
            <w:tcBorders>
              <w:top w:val="nil"/>
              <w:bottom w:val="nil"/>
            </w:tcBorders>
            <w:hideMark/>
          </w:tcPr>
          <w:p w14:paraId="2DA498D0" w14:textId="77777777" w:rsidR="00EE60D6" w:rsidRPr="00C602A7" w:rsidRDefault="00EE60D6" w:rsidP="00831018">
            <w:r w:rsidRPr="00C602A7">
              <w:t>30</w:t>
            </w:r>
          </w:p>
        </w:tc>
      </w:tr>
      <w:tr w:rsidR="00EE60D6" w:rsidRPr="00C602A7" w14:paraId="15200D46" w14:textId="77777777" w:rsidTr="00831018">
        <w:tc>
          <w:tcPr>
            <w:tcW w:w="2052" w:type="pct"/>
            <w:tcBorders>
              <w:top w:val="nil"/>
              <w:bottom w:val="nil"/>
            </w:tcBorders>
            <w:hideMark/>
          </w:tcPr>
          <w:p w14:paraId="4071AD76" w14:textId="77777777" w:rsidR="00EE60D6" w:rsidRPr="00C602A7" w:rsidRDefault="00EE60D6" w:rsidP="00831018">
            <w:r w:rsidRPr="00C602A7">
              <w:t>Convergence rule</w:t>
            </w:r>
          </w:p>
        </w:tc>
        <w:tc>
          <w:tcPr>
            <w:tcW w:w="2948" w:type="pct"/>
            <w:tcBorders>
              <w:top w:val="nil"/>
              <w:bottom w:val="nil"/>
            </w:tcBorders>
            <w:hideMark/>
          </w:tcPr>
          <w:p w14:paraId="64185920" w14:textId="77777777" w:rsidR="00EE60D6" w:rsidRPr="00C602A7" w:rsidRDefault="00EE60D6" w:rsidP="00831018">
            <w:r w:rsidRPr="00C602A7">
              <w:t>Stop after 25 migrations without improvement</w:t>
            </w:r>
          </w:p>
        </w:tc>
      </w:tr>
      <w:tr w:rsidR="00EE60D6" w:rsidRPr="00C602A7" w14:paraId="7B61BAD1" w14:textId="77777777" w:rsidTr="00831018">
        <w:tc>
          <w:tcPr>
            <w:tcW w:w="2052" w:type="pct"/>
            <w:tcBorders>
              <w:top w:val="nil"/>
              <w:bottom w:val="nil"/>
            </w:tcBorders>
            <w:hideMark/>
          </w:tcPr>
          <w:p w14:paraId="09A9F872" w14:textId="77777777" w:rsidR="00EE60D6" w:rsidRPr="00C602A7" w:rsidRDefault="00EE60D6" w:rsidP="00831018">
            <w:r w:rsidRPr="00C602A7">
              <w:t>Autoregressive orders evaluated</w:t>
            </w:r>
          </w:p>
        </w:tc>
        <w:tc>
          <w:tcPr>
            <w:tcW w:w="2948" w:type="pct"/>
            <w:tcBorders>
              <w:top w:val="nil"/>
              <w:bottom w:val="nil"/>
            </w:tcBorders>
            <w:hideMark/>
          </w:tcPr>
          <w:p w14:paraId="58ACE1DD" w14:textId="77777777" w:rsidR="00EE60D6" w:rsidRPr="00C602A7" w:rsidRDefault="00EE60D6" w:rsidP="00831018">
            <w:r w:rsidRPr="00C602A7">
              <w:t>0, 1, 2</w:t>
            </w:r>
          </w:p>
        </w:tc>
      </w:tr>
      <w:tr w:rsidR="00EE60D6" w:rsidRPr="00C602A7" w14:paraId="589E94B6" w14:textId="77777777" w:rsidTr="00831018">
        <w:tc>
          <w:tcPr>
            <w:tcW w:w="2052" w:type="pct"/>
            <w:tcBorders>
              <w:top w:val="nil"/>
              <w:bottom w:val="nil"/>
            </w:tcBorders>
            <w:hideMark/>
          </w:tcPr>
          <w:p w14:paraId="6F48D477" w14:textId="77777777" w:rsidR="00EE60D6" w:rsidRPr="00C602A7" w:rsidRDefault="00EE60D6" w:rsidP="00831018">
            <w:r w:rsidRPr="00C602A7">
              <w:t>Minimum regime durations</w:t>
            </w:r>
          </w:p>
        </w:tc>
        <w:tc>
          <w:tcPr>
            <w:tcW w:w="2948" w:type="pct"/>
            <w:tcBorders>
              <w:top w:val="nil"/>
              <w:bottom w:val="nil"/>
            </w:tcBorders>
            <w:hideMark/>
          </w:tcPr>
          <w:p w14:paraId="580BD2B0" w14:textId="77777777" w:rsidR="00EE60D6" w:rsidRPr="00C602A7" w:rsidRDefault="00EE60D6" w:rsidP="00831018">
            <w:r w:rsidRPr="00C602A7">
              <w:t>3 (primary), 4, 5, 6 months</w:t>
            </w:r>
          </w:p>
        </w:tc>
      </w:tr>
      <w:tr w:rsidR="00EE60D6" w:rsidRPr="00C602A7" w14:paraId="429D1450" w14:textId="77777777" w:rsidTr="00831018">
        <w:tc>
          <w:tcPr>
            <w:tcW w:w="2052" w:type="pct"/>
            <w:tcBorders>
              <w:top w:val="nil"/>
              <w:bottom w:val="nil"/>
            </w:tcBorders>
            <w:hideMark/>
          </w:tcPr>
          <w:p w14:paraId="56BBDDBC" w14:textId="77777777" w:rsidR="00EE60D6" w:rsidRPr="00C602A7" w:rsidRDefault="00EE60D6" w:rsidP="00831018">
            <w:r w:rsidRPr="00C602A7">
              <w:t>Maximum shifts admitted</w:t>
            </w:r>
          </w:p>
        </w:tc>
        <w:tc>
          <w:tcPr>
            <w:tcW w:w="2948" w:type="pct"/>
            <w:tcBorders>
              <w:top w:val="nil"/>
              <w:bottom w:val="nil"/>
            </w:tcBorders>
            <w:hideMark/>
          </w:tcPr>
          <w:p w14:paraId="00366A6A" w14:textId="77777777" w:rsidR="00EE60D6" w:rsidRPr="00C602A7" w:rsidRDefault="00EE60D6" w:rsidP="00831018">
            <w:r w:rsidRPr="00C602A7">
              <w:t>10, 7, 5, 4 at durations of 3, 4, 5, 6 months</w:t>
            </w:r>
          </w:p>
        </w:tc>
      </w:tr>
      <w:tr w:rsidR="00EE60D6" w:rsidRPr="00C602A7" w14:paraId="533C20C1" w14:textId="77777777" w:rsidTr="00831018">
        <w:tc>
          <w:tcPr>
            <w:tcW w:w="2052" w:type="pct"/>
            <w:tcBorders>
              <w:top w:val="nil"/>
              <w:bottom w:val="nil"/>
            </w:tcBorders>
            <w:hideMark/>
          </w:tcPr>
          <w:p w14:paraId="1F21168F" w14:textId="77777777" w:rsidR="00EE60D6" w:rsidRPr="00C602A7" w:rsidRDefault="00EE60D6" w:rsidP="00831018">
            <w:r w:rsidRPr="00C602A7">
              <w:t>Initialization modes</w:t>
            </w:r>
          </w:p>
        </w:tc>
        <w:tc>
          <w:tcPr>
            <w:tcW w:w="2948" w:type="pct"/>
            <w:tcBorders>
              <w:top w:val="nil"/>
              <w:bottom w:val="nil"/>
            </w:tcBorders>
            <w:hideMark/>
          </w:tcPr>
          <w:p w14:paraId="536B377A" w14:textId="77777777" w:rsidR="00EE60D6" w:rsidRPr="00C602A7" w:rsidRDefault="00EE60D6" w:rsidP="00831018">
            <w:r w:rsidRPr="00C602A7">
              <w:t xml:space="preserve">Evenly spaced onset dates </w:t>
            </w:r>
            <w:r w:rsidRPr="00C602A7">
              <w:rPr>
                <w:i/>
                <w:iCs/>
              </w:rPr>
              <w:t>or</w:t>
            </w:r>
            <w:r w:rsidRPr="00C602A7">
              <w:t xml:space="preserve"> random</w:t>
            </w:r>
          </w:p>
        </w:tc>
      </w:tr>
      <w:tr w:rsidR="00EE60D6" w:rsidRPr="00C602A7" w14:paraId="003BDF23" w14:textId="77777777" w:rsidTr="00831018">
        <w:tc>
          <w:tcPr>
            <w:tcW w:w="2052" w:type="pct"/>
            <w:tcBorders>
              <w:top w:val="nil"/>
              <w:bottom w:val="nil"/>
            </w:tcBorders>
            <w:hideMark/>
          </w:tcPr>
          <w:p w14:paraId="44C1795C" w14:textId="77777777" w:rsidR="00EE60D6" w:rsidRPr="00C602A7" w:rsidRDefault="00EE60D6" w:rsidP="00831018">
            <w:r w:rsidRPr="00C602A7">
              <w:t>Replicates per mode and duration</w:t>
            </w:r>
          </w:p>
        </w:tc>
        <w:tc>
          <w:tcPr>
            <w:tcW w:w="2948" w:type="pct"/>
            <w:tcBorders>
              <w:top w:val="nil"/>
              <w:bottom w:val="nil"/>
            </w:tcBorders>
            <w:hideMark/>
          </w:tcPr>
          <w:p w14:paraId="4D5991D1" w14:textId="77777777" w:rsidR="00EE60D6" w:rsidRPr="00C602A7" w:rsidRDefault="00EE60D6" w:rsidP="00831018">
            <w:r w:rsidRPr="00C602A7">
              <w:t>5</w:t>
            </w:r>
          </w:p>
        </w:tc>
      </w:tr>
      <w:tr w:rsidR="00EE60D6" w:rsidRPr="00C602A7" w14:paraId="0A944709" w14:textId="77777777" w:rsidTr="00831018">
        <w:tc>
          <w:tcPr>
            <w:tcW w:w="2052" w:type="pct"/>
            <w:tcBorders>
              <w:top w:val="nil"/>
            </w:tcBorders>
            <w:hideMark/>
          </w:tcPr>
          <w:p w14:paraId="13EBFDE3" w14:textId="77777777" w:rsidR="00EE60D6" w:rsidRPr="00C602A7" w:rsidRDefault="00EE60D6" w:rsidP="00831018">
            <w:r w:rsidRPr="00C602A7">
              <w:t>Refit agreement tolerance</w:t>
            </w:r>
          </w:p>
        </w:tc>
        <w:tc>
          <w:tcPr>
            <w:tcW w:w="2948" w:type="pct"/>
            <w:tcBorders>
              <w:top w:val="nil"/>
            </w:tcBorders>
            <w:hideMark/>
          </w:tcPr>
          <w:p w14:paraId="5F779B78" w14:textId="77777777" w:rsidR="00EE60D6" w:rsidRPr="00C602A7" w:rsidRDefault="00EE60D6" w:rsidP="00831018">
            <w:r w:rsidRPr="00C602A7">
              <w:t>1 × 10⁻⁵</w:t>
            </w:r>
          </w:p>
        </w:tc>
      </w:tr>
    </w:tbl>
    <w:p w14:paraId="7575D44C" w14:textId="77777777" w:rsidR="00EE60D6" w:rsidRPr="00C602A7" w:rsidRDefault="00EE60D6" w:rsidP="00EE60D6"/>
    <w:p w14:paraId="445E5202" w14:textId="77777777" w:rsidR="00EE60D6" w:rsidRPr="00C602A7" w:rsidRDefault="00EE60D6" w:rsidP="00EE60D6">
      <w:r w:rsidRPr="00C602A7">
        <w:t>Because the algorithm draws randomly when it initializes and when it generates each new population, a run can halt at a configuration that no local change improves without that configuration being the best available. The internal stopping rule reports that a run stopped improving; it cannot report whether the search settled in the lowest region of the criterion surface. We therefore repeated the search 40 times for each series and recorded how often the independent runs recovered the selected configuration.</w:t>
      </w:r>
    </w:p>
    <w:p w14:paraId="717CEDDE" w14:textId="77777777" w:rsidR="00EE60D6" w:rsidRPr="00C602A7" w:rsidRDefault="00EE60D6" w:rsidP="00EE60D6"/>
    <w:p w14:paraId="60BE4100" w14:textId="77777777" w:rsidR="00EE60D6" w:rsidRPr="00C602A7" w:rsidRDefault="00EE60D6" w:rsidP="00EE60D6">
      <w:pPr>
        <w:rPr>
          <w:rFonts w:eastAsia="Times New Roman"/>
        </w:rPr>
      </w:pPr>
      <w:r w:rsidRPr="00C602A7">
        <w:t xml:space="preserve">A single search starts with a random handful of candidates, fits the maximum-likelihood model, then keep the ones with the lowest BIC. It then generates new candidates by mutating and recombing those candidates, and refit. This repeats until 25 rounds pass without improvement, and each search reports the single best candidates by BIC. We repeat such search for 40 times: 4 minimum duration x 2 initialization modes x 5 replicates of each combination by different random seed. We then took the best candidate across all 40. We compared the three descriptions of the polarization under the same likelihood and same penalty, each re-estimated with the same candidate space. </w:t>
      </w:r>
      <w:bookmarkStart w:id="4" w:name="OLE_LINK3"/>
      <w:r w:rsidRPr="00C602A7">
        <w:rPr>
          <w:rFonts w:eastAsia="Times New Roman"/>
        </w:rPr>
        <w:t xml:space="preserve">The trend-only description had no search, since it has no onset dates to locate, so we fitted it directly at each of the three autoregressive orders and retained the one with the lowest BIC. </w:t>
      </w:r>
    </w:p>
    <w:p w14:paraId="7DD097A7" w14:textId="77777777" w:rsidR="00EE60D6" w:rsidRPr="00C602A7" w:rsidRDefault="00EE60D6" w:rsidP="00EE60D6">
      <w:pPr>
        <w:rPr>
          <w:rFonts w:eastAsia="Times New Roman"/>
        </w:rPr>
      </w:pPr>
    </w:p>
    <w:p w14:paraId="4656EF22" w14:textId="77777777" w:rsidR="00EE60D6" w:rsidRPr="00C602A7" w:rsidRDefault="00EE60D6" w:rsidP="00EE60D6">
      <w:r w:rsidRPr="00C602A7">
        <w:rPr>
          <w:rFonts w:eastAsia="Times New Roman"/>
        </w:rPr>
        <w:t xml:space="preserve">As we previously stated, the article-cluster bootstrap quantifies how much each monthly value (e.g., polarization) could move under resampling of articles. This uncertainty is however, not propagated into the candidate model. We fitted each candidate model to the monthly point estimates, so each value is treated as known exactly, and the search selects the onset dates from those given data. Effectively, the confidence interval we report for each regime level, shift and the total change across period describe how </w:t>
      </w:r>
      <w:r w:rsidRPr="00C602A7">
        <w:rPr>
          <w:rFonts w:eastAsia="Times New Roman"/>
        </w:rPr>
        <w:lastRenderedPageBreak/>
        <w:t xml:space="preserve">that quantity would vary if the monthly value and the onset date stayed as they are. </w:t>
      </w:r>
      <w:r w:rsidRPr="00C602A7">
        <w:t xml:space="preserve">They cannot describe how each would vary if the resampled articles produced different monthly values, or if the redrawn polarization promotes a different set of onset dates. The second concern is not hypothetical either: with the data held constant and only the random seed varying, individual searches placed the first shift in different months of 2022. We thus report the onset dates with no confidence intervals, and we treat the reported confidence interval for regime as narrower. </w:t>
      </w:r>
      <w:bookmarkEnd w:id="4"/>
    </w:p>
    <w:p w14:paraId="1020C2CC" w14:textId="77777777" w:rsidR="00EE60D6" w:rsidRPr="00C602A7" w:rsidRDefault="00EE60D6" w:rsidP="00EE60D6"/>
    <w:p w14:paraId="53DDBE9C" w14:textId="77777777" w:rsidR="00EE60D6" w:rsidRPr="00C602A7" w:rsidRDefault="00EE60D6" w:rsidP="00EE60D6">
      <w:pPr>
        <w:pStyle w:val="3"/>
      </w:pPr>
      <w:r w:rsidRPr="00C602A7">
        <w:t>RQ2: Which party moved further and how other dimensions align with aid stance</w:t>
      </w:r>
    </w:p>
    <w:p w14:paraId="7CE650D8" w14:textId="77777777" w:rsidR="00EE60D6" w:rsidRPr="00C602A7" w:rsidRDefault="00EE60D6" w:rsidP="00EE60D6">
      <w:pPr>
        <w:rPr>
          <w:rFonts w:eastAsia="宋体"/>
          <w:sz w:val="24"/>
          <w:szCs w:val="24"/>
        </w:rPr>
      </w:pPr>
      <w:r w:rsidRPr="00C602A7">
        <w:t xml:space="preserve">RQ2a asks which party moved further toward opposition over the period. We estimated this with the same pairwise logic as Sen slope. For each of the 561 pairs that 34 months allow, we computed the Republican slope between those two months, computed the Democratic slope between the same two months, subtracted the second from the first, and took the median of the 561 difference. The median becomes positive if Republican movement towards opposition exceeds Democratic movement. So the RQ1 and RQ2a report the same estimate under two descriptions, as Sen slope reveals relative party movement. Nevertheless, we distinguish this paired contrast from the difference between the two parties’ separately estimated Sen slopes from their individual stance trajectory, and we report both. </w:t>
      </w:r>
    </w:p>
    <w:p w14:paraId="2AB85712" w14:textId="77777777" w:rsidR="00EE60D6" w:rsidRPr="00C602A7" w:rsidRDefault="00EE60D6" w:rsidP="00EE60D6">
      <w:pPr>
        <w:rPr>
          <w:rFonts w:eastAsia="宋体"/>
          <w:sz w:val="24"/>
          <w:szCs w:val="24"/>
        </w:rPr>
      </w:pPr>
    </w:p>
    <w:p w14:paraId="7CF116E4" w14:textId="77777777" w:rsidR="00EE60D6" w:rsidRPr="00C602A7" w:rsidRDefault="00EE60D6" w:rsidP="00EE60D6">
      <w:pPr>
        <w:rPr>
          <w:rFonts w:eastAsia="Times New Roman"/>
        </w:rPr>
      </w:pPr>
      <w:r w:rsidRPr="00C602A7">
        <w:t xml:space="preserve">RQ2b asks how much of the variation in General Ukraine Aid Stance polarization the other three dimensions account for within the same month. Since the three dimensions are correlated with each other, the coefficient of each would depends on which other dimensions are in the same regression, a single regression would thus not be sufficient to answer the question. Dominance analysis resolve this by fitting </w:t>
      </w:r>
      <w:r w:rsidRPr="00C602A7">
        <w:rPr>
          <w:rFonts w:eastAsia="Times New Roman"/>
        </w:rPr>
        <w:t>every possible subset of predictors and averages each predictor’s incremental contribution to R</w:t>
      </w:r>
      <w:r w:rsidRPr="00C602A7">
        <w:rPr>
          <w:rFonts w:eastAsia="Times New Roman"/>
          <w:vertAlign w:val="superscript"/>
        </w:rPr>
        <w:t xml:space="preserve">2 </w:t>
      </w:r>
      <w:r w:rsidRPr="00C602A7">
        <w:rPr>
          <w:rFonts w:eastAsia="Times New Roman"/>
        </w:rPr>
        <w:t xml:space="preserve">across all possible subset </w:t>
      </w:r>
      <w:r w:rsidRPr="00C602A7">
        <w:rPr>
          <w:rFonts w:eastAsia="Times New Roman"/>
        </w:rPr>
        <w:fldChar w:fldCharType="begin"/>
      </w:r>
      <w:r w:rsidRPr="00C602A7">
        <w:rPr>
          <w:rFonts w:eastAsia="Times New Roman"/>
        </w:rPr>
        <w:instrText xml:space="preserve"> ADDIN ZOTERO_ITEM CSL_CITATION {"citationID":"pgJ97QS4","properties":{"unsorted":false,"formattedCitation":"(Budescu, 1993)","plainCitation":"(Budescu, 1993)","noteIndex":0},"citationItems":[{"id":8389,"uris":["http://zotero.org/users/6825464/items/D2PM9FVA"],"itemData":{"id":8389,"type":"article-journal","abstract":"Whenever multiple regression is used to test and compare theoretically motivated models, it is of interest to determine the relative importance of the predictors. Specifically, researchers seek to rank order and scale variables in terms of their importance and to express global statistics of the model as a function of these measures. This article reviews the many meanings of importance of predictors in multiple regression, highlights their weaknesses, and proposes a new method for comparing variables: dominance analysis. Dominance is a qualitative relation defined in a pairwise fashion: One variable is said to dominate another if it is more useful than its competitor in all subset regressions. Properties of the newly proposed method are described and illustrated. (PsycInfo Database Record (c) 2025 APA, all rights reserved)","citation-key":"budescuDominanceAnalysisNew1993","container-title":"Psychological Bulletin","DOI":"10.1037/0033-2909.114.3.542","ISSN":"1939-1455","issue":"3","page":"542-551","publisher":"American Psychological Association","publisher-place":"US","source":"APA PsycNet","title":"Dominance analysis: A new approach to the problem of relative importance of predictors in multiple regression","title-short":"Dominance analysis","volume":"114","author":[{"family":"Budescu","given":"David V."}],"issued":{"date-parts":[["1993"]]}}}],"schema":"https://github.com/citation-style-language/schema/raw/master/csl-citation.json"} </w:instrText>
      </w:r>
      <w:r w:rsidRPr="00C602A7">
        <w:rPr>
          <w:rFonts w:eastAsia="Times New Roman"/>
        </w:rPr>
        <w:fldChar w:fldCharType="separate"/>
      </w:r>
      <w:r w:rsidRPr="00C602A7">
        <w:rPr>
          <w:rFonts w:eastAsia="Times New Roman"/>
          <w:noProof/>
        </w:rPr>
        <w:t>(Budescu, 1993)</w:t>
      </w:r>
      <w:r w:rsidRPr="00C602A7">
        <w:rPr>
          <w:rFonts w:eastAsia="Times New Roman"/>
        </w:rPr>
        <w:fldChar w:fldCharType="end"/>
      </w:r>
      <w:r w:rsidRPr="00C602A7">
        <w:rPr>
          <w:rFonts w:eastAsia="Times New Roman"/>
        </w:rPr>
        <w:t xml:space="preserve">. Because those contributions are computed from a time series where the months are not exchangeable, an ordinary bootstrap that resamples months independently would violate the dependence and return conclusions that might be too liberal. We instead used stationary bootstrap that resamples blocks of random length of months </w:t>
      </w:r>
      <w:r w:rsidRPr="00C602A7">
        <w:fldChar w:fldCharType="begin"/>
      </w:r>
      <w:r w:rsidRPr="00C602A7">
        <w:instrText xml:space="preserve"> ADDIN ZOTERO_ITEM CSL_CITATION {"citationID":"ty07WkGK","properties":{"unsorted":false,"formattedCitation":"(Politis &amp; Romano, 1994)","plainCitation":"(Politis &amp; Romano, 1994)","noteIndex":0},"citationItems":[{"id":9657,"uris":["http://zotero.org/users/6825464/items/86L8VPBI"],"itemData":{"id":9657,"type":"article-journal","abstract":"This article introduces a resampling procedure called the stationary bootstrap as a means of calculating standard errors of estimators and constructing confidence regions for parameters based on weakly dependent stationary observations. Previously, a technique based on resampling blocks of consecutive observations was introduced to construct confidence intervals for a parameter of the m-dimensional joint distribution of m consecutive observations, where m is fixed. This procedure has been generalized by constructing a \"blocks of blocks\" resampling scheme that yields asymptotically valid procedures even for a multivariate parameter of the whole (i.e., infinite-dimensional) joint distribution of the stationary sequence of observations. These methods share the construction of resampling blocks of observations to form a pseudo-time series, so that the statistic of interest may be recalculated based on the resampled data set. But in the context of applying this method to stationary data, it is natural to require the resampled pseudo-time series to be stationary (conditional on the original data) as well. Although the aforementioned procedures lack this property, the stationary procedure developed here is indeed stationary and possesses other desirable properties. The stationary procedure is based on resampling blocks of random length, where the length of each block has a geometric distribution. In this article, fundamental consistency and weak convergence properties of the stationary resampling scheme are developed.","container-title":"Journal of the American Statistical Association","DOI":"10.2307/2290993","ISSN":"0162-1459","issue":"428","page":"1303-1313","publisher":"[American Statistical Association, Taylor &amp; Francis, Ltd.]","source":"JSTOR","title":"The Stationary Bootstrap","volume":"89","author":[{"family":"Politis","given":"Dimitris N."},{"family":"Romano","given":"Joseph P."}],"issued":{"date-parts":[["1994"]]}}}],"schema":"https://github.com/citation-style-language/schema/raw/master/csl-citation.json"} </w:instrText>
      </w:r>
      <w:r w:rsidRPr="00C602A7">
        <w:fldChar w:fldCharType="separate"/>
      </w:r>
      <w:r w:rsidRPr="00C602A7">
        <w:rPr>
          <w:noProof/>
        </w:rPr>
        <w:t>(Politis &amp; Romano, 1994)</w:t>
      </w:r>
      <w:r w:rsidRPr="00C602A7">
        <w:fldChar w:fldCharType="end"/>
      </w:r>
      <w:r w:rsidRPr="00C602A7">
        <w:t xml:space="preserve">, and we did so for the complete four-dimensional monthly vector so the contemporaneous relationship between dimensions survive. The block length was set to four month, but we repeated the procedure at three and five months as sensitivity. </w:t>
      </w:r>
      <w:r w:rsidRPr="00C602A7">
        <w:rPr>
          <w:rFonts w:eastAsia="Times New Roman"/>
        </w:rPr>
        <w:t xml:space="preserve">For each of the 5000 stationary replicates, we drew one measurement panel and recompute the dominance contribution from it, so that the measurement variation and temporal dependence move together. </w:t>
      </w:r>
    </w:p>
    <w:p w14:paraId="4808225D" w14:textId="77777777" w:rsidR="00EE60D6" w:rsidRPr="00C602A7" w:rsidRDefault="00EE60D6" w:rsidP="00EE60D6">
      <w:r w:rsidRPr="00C602A7">
        <w:rPr>
          <w:rFonts w:eastAsia="Times New Roman"/>
        </w:rPr>
        <w:t>with one complete measurement panel.</w:t>
      </w:r>
    </w:p>
    <w:p w14:paraId="7B1B1516" w14:textId="77777777" w:rsidR="00EE60D6" w:rsidRPr="00C602A7" w:rsidRDefault="00EE60D6" w:rsidP="00EE60D6"/>
    <w:p w14:paraId="5904DBE3" w14:textId="77777777" w:rsidR="00EE60D6" w:rsidRPr="00C602A7" w:rsidRDefault="00EE60D6" w:rsidP="00EE60D6">
      <w:pPr>
        <w:pStyle w:val="3"/>
      </w:pPr>
      <w:r w:rsidRPr="00C602A7">
        <w:t>RQ3: Polarization and within-party message coherence</w:t>
      </w:r>
    </w:p>
    <w:p w14:paraId="2A7466B6" w14:textId="77777777" w:rsidR="00EE60D6" w:rsidRPr="00C602A7" w:rsidRDefault="00EE60D6" w:rsidP="00EE60D6">
      <w:r w:rsidRPr="00C602A7">
        <w:t>RQ3 asks when polarization is high, is Republican coverage more tightly clustered? And separately, when polarization is high, is Democratic coverage more tightly clustered? And whether the two answers differs.</w:t>
      </w:r>
    </w:p>
    <w:p w14:paraId="4E952663" w14:textId="77777777" w:rsidR="00EE60D6" w:rsidRPr="00C602A7" w:rsidRDefault="00EE60D6" w:rsidP="00EE60D6">
      <w:r w:rsidRPr="00C602A7">
        <w:t xml:space="preserve">We modeled the two parties’ raw IQR as joint outcomes. For party </w:t>
      </w:r>
      <w:r w:rsidRPr="00C602A7">
        <w:rPr>
          <w:i/>
          <w:iCs/>
        </w:rPr>
        <w:t xml:space="preserve">p </w:t>
      </w:r>
      <w:r w:rsidRPr="00C602A7">
        <w:t xml:space="preserve">in month </w:t>
      </w:r>
      <w:r w:rsidRPr="00C602A7">
        <w:rPr>
          <w:i/>
          <w:iCs/>
        </w:rPr>
        <w:t>t</w:t>
      </w:r>
      <w:r w:rsidRPr="00C602A7">
        <w:t xml:space="preserve">, </w:t>
      </w:r>
    </w:p>
    <w:p w14:paraId="4AEE8EBD" w14:textId="77777777" w:rsidR="00EE60D6" w:rsidRPr="00C602A7" w:rsidRDefault="00EE60D6" w:rsidP="00EE60D6">
      <m:oMathPara>
        <m:oMath>
          <m:r>
            <w:rPr>
              <w:rFonts w:ascii="Cambria Math" w:hAnsi="Cambria Math"/>
            </w:rPr>
            <m:t>IQ</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p</m:t>
          </m:r>
        </m:oMath>
      </m:oMathPara>
    </w:p>
    <w:p w14:paraId="3CE6BC48" w14:textId="77777777" w:rsidR="00EE60D6" w:rsidRPr="00C602A7" w:rsidRDefault="00EE60D6" w:rsidP="00EE60D6">
      <w:r w:rsidRPr="00C602A7">
        <w:t xml:space="preserve">where </w:t>
      </w:r>
      <m:oMath>
        <m:r>
          <w:rPr>
            <w:rFonts w:ascii="Cambria Math" w:eastAsia="Times New Roman" w:hAnsi="Cambria Math"/>
          </w:rPr>
          <m:t>G</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t</m:t>
            </m:r>
          </m:sub>
        </m:sSub>
      </m:oMath>
      <w:r w:rsidRPr="00C602A7">
        <w:t xml:space="preserve"> is signed General Ukraine Aid Stance polarization centred on its sample mean and</w:t>
      </w:r>
      <w:r w:rsidRPr="00C602A7">
        <w:rPr>
          <w:i/>
          <w:iCs/>
        </w:rPr>
        <w:t xml:space="preserve"> t̃</w:t>
      </w:r>
      <w:r w:rsidRPr="00C602A7">
        <w:t xml:space="preserve"> is centred month index. Each party receives its own intercept, polarization coefficient, and time coefficient. Both predictors are centered so that the intercept describe the average month in the sample rather than a month with zero polarization at time zero, which is not useful for interpretation. Because regression for both party share identical set of predictors, fitting the regressions jointly or individually doesn’t change the either party’s coefficient. But fitting them jointly does provide help answering the question of whether the </w:t>
      </w:r>
      <w:r w:rsidRPr="00C602A7">
        <w:lastRenderedPageBreak/>
        <w:t xml:space="preserve">parties differ. We therefore needed a standard error for </w:t>
      </w:r>
      <m:oMath>
        <m:sSub>
          <m:sSubPr>
            <m:ctrlPr>
              <w:rPr>
                <w:rFonts w:ascii="Cambria Math" w:hAnsi="Cambria Math"/>
              </w:rPr>
            </m:ctrlPr>
          </m:sSubPr>
          <m:e>
            <m:r>
              <w:rPr>
                <w:rFonts w:ascii="Cambria Math" w:hAnsi="Cambria Math"/>
              </w:rPr>
              <m:t>β</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D</m:t>
            </m:r>
          </m:sub>
        </m:sSub>
      </m:oMath>
      <w:r w:rsidRPr="00C602A7">
        <w:t xml:space="preserve">, which requires knowing if the two coefficients covary. </w:t>
      </w:r>
    </w:p>
    <w:p w14:paraId="7AD1E4E7" w14:textId="77777777" w:rsidR="00EE60D6" w:rsidRPr="00C602A7" w:rsidRDefault="00EE60D6" w:rsidP="00EE60D6"/>
    <w:p w14:paraId="61476E72" w14:textId="77777777" w:rsidR="00EE60D6" w:rsidRPr="00C602A7" w:rsidRDefault="00EE60D6" w:rsidP="00EE60D6">
      <w:r w:rsidRPr="00C602A7">
        <w:t xml:space="preserve">Additionally, a month with bursts in news about both parties, so the uncertainty in two coefficients could be shared, and fitting them separately would overstate how uncertain the comparison is. To address serial dependence, we allowed each month’s unexplained variance to depended on the previous month’s. We fitted the model with and without the dependence and chose by BIC. </w:t>
      </w:r>
    </w:p>
    <w:p w14:paraId="0C650746" w14:textId="77777777" w:rsidR="00EE60D6" w:rsidRPr="00C602A7" w:rsidRDefault="00EE60D6" w:rsidP="00EE60D6"/>
    <w:p w14:paraId="1AD4C593" w14:textId="77777777" w:rsidR="00EE60D6" w:rsidRPr="00C602A7" w:rsidRDefault="00EE60D6" w:rsidP="00EE60D6">
      <w:r w:rsidRPr="00C602A7">
        <w:t xml:space="preserve">We refitted the model to each of the 5000 draw from the joint article-cluster bootstrap, keeping the error structure at the specification selected on the observed data, so that the refit only differs in measurement, and we report the percentile intervals from those refits alongside the intervals the model produces. As a sensitivity test, we also refitted the model 34 times, omitting one month at each refit, to confirm that no single month drives the result. </w:t>
      </w:r>
    </w:p>
    <w:p w14:paraId="6FAC5444" w14:textId="77777777" w:rsidR="00EE60D6" w:rsidRPr="00C602A7" w:rsidRDefault="00EE60D6" w:rsidP="00EE60D6"/>
    <w:p w14:paraId="4129B9ED" w14:textId="77777777" w:rsidR="00EE60D6" w:rsidRPr="00C602A7" w:rsidRDefault="00EE60D6" w:rsidP="00EE60D6">
      <w:pPr>
        <w:pStyle w:val="3"/>
      </w:pPr>
      <w:r w:rsidRPr="00C602A7">
        <w:t>RQ4: How Party Brand Index progress over time</w:t>
      </w:r>
    </w:p>
    <w:p w14:paraId="78CE9149" w14:textId="77777777" w:rsidR="00EE60D6" w:rsidRPr="00C602A7" w:rsidRDefault="00EE60D6" w:rsidP="00EE60D6">
      <w:r w:rsidRPr="00C602A7">
        <w:t xml:space="preserve">RQ4 asks how the PBI developed over the period. We applied the same two procedures used for polarization in RQ1: the Hamed-Rao Mann-Kendall test and Sen slope for direction and magnitude, and assessed shift structure with also the same procedure as RQ1. One thing worth noting is we compared only against the model that posed no shifts. </w:t>
      </w:r>
    </w:p>
    <w:bookmarkEnd w:id="2"/>
    <w:p w14:paraId="27A895B5" w14:textId="77777777" w:rsidR="00EE60D6" w:rsidRPr="009E3B0A" w:rsidRDefault="00EE60D6" w:rsidP="00EE60D6">
      <w:pPr>
        <w:pStyle w:val="1"/>
      </w:pPr>
      <w:r w:rsidRPr="009E3B0A">
        <w:t>Results</w:t>
      </w:r>
    </w:p>
    <w:p w14:paraId="098401B8" w14:textId="77777777" w:rsidR="00EE60D6" w:rsidRPr="00C602A7" w:rsidRDefault="00EE60D6" w:rsidP="00EE60D6">
      <w:r w:rsidRPr="00C602A7">
        <w:t xml:space="preserve">We first checked for serial dependence using ACF and PACF. For General Ukraine Aid Stance polarization, the autocorrelation at lag 2 was 0.373, with the partial autocorrelation reaching the same lag at 0.352. No other lags exceeded its band. For the PBI, the lag 3 autocorrelation came on top at 0.365, while no lags exceeded its band. </w:t>
      </w:r>
      <w:r w:rsidRPr="00C602A7">
        <w:rPr>
          <w:highlight w:val="yellow"/>
        </w:rPr>
        <w:t xml:space="preserve">Figure </w:t>
      </w:r>
      <w:r>
        <w:rPr>
          <w:rFonts w:hint="eastAsia"/>
          <w:highlight w:val="yellow"/>
        </w:rPr>
        <w:t>1</w:t>
      </w:r>
      <w:r w:rsidRPr="00C602A7">
        <w:rPr>
          <w:highlight w:val="yellow"/>
        </w:rPr>
        <w:t xml:space="preserve"> displays both diagnostics.</w:t>
      </w:r>
      <w:r w:rsidRPr="00C602A7">
        <w:t xml:space="preserve"> These diagnostic suggested serial dependence at lag 2 and potentially lag 3 for General Aid Stance polarization and PBI respectively, so we applied the Hamed-Rao’s adjustment appropriately for each. Nevertheless, the correction is proven neutral, as the correction factor was 1 for both series, suggesting that none of the detrended rank reached significant autocorrelation; only the raw series did. Thus, our significance from Mann-Kendall is not more permissive than the uncorrected test. To also account for autocorrelation when fitting and searching for the better model that described the temporal trajectory of polarization and PBI, we also incorporated an estimation of autoregressive error process alongside the regime level in the shift model. After modeling the relevant autocorrelations for each series, Ljung-Box tests at lag 8 detected no remaining autocorrelation for polarization (</w:t>
      </w:r>
      <w:r w:rsidRPr="00C602A7">
        <w:rPr>
          <w:i/>
          <w:iCs/>
        </w:rPr>
        <w:t>Q</w:t>
      </w:r>
      <w:r w:rsidRPr="00C602A7">
        <w:t xml:space="preserve"> = 9.31, </w:t>
      </w:r>
      <w:r w:rsidRPr="00C602A7">
        <w:rPr>
          <w:i/>
          <w:iCs/>
        </w:rPr>
        <w:t>p</w:t>
      </w:r>
      <w:r w:rsidRPr="00C602A7">
        <w:t xml:space="preserve"> = 0.157) and the Party Brand Index (</w:t>
      </w:r>
      <w:r w:rsidRPr="00C602A7">
        <w:rPr>
          <w:i/>
          <w:iCs/>
        </w:rPr>
        <w:t>Q</w:t>
      </w:r>
      <w:r w:rsidRPr="00C602A7">
        <w:t xml:space="preserve"> = 11.77, </w:t>
      </w:r>
      <w:r w:rsidRPr="00C602A7">
        <w:rPr>
          <w:i/>
          <w:iCs/>
        </w:rPr>
        <w:t>p</w:t>
      </w:r>
      <w:r w:rsidRPr="00C602A7">
        <w:t xml:space="preserve"> = 0.162). </w:t>
      </w:r>
    </w:p>
    <w:p w14:paraId="2842B5D4" w14:textId="77777777" w:rsidR="00EE60D6" w:rsidRPr="00C602A7" w:rsidRDefault="00EE60D6" w:rsidP="00EE60D6"/>
    <w:p w14:paraId="22465285" w14:textId="77777777" w:rsidR="00EE60D6" w:rsidRPr="00C602A7" w:rsidRDefault="00EE60D6" w:rsidP="00EE60D6">
      <w:pPr>
        <w:ind w:left="336" w:hangingChars="150" w:hanging="336"/>
        <w:rPr>
          <w:rFonts w:eastAsia="Times New Roman"/>
          <w:i/>
          <w:iCs/>
        </w:rPr>
      </w:pPr>
      <w:r w:rsidRPr="00C602A7">
        <w:rPr>
          <w:rFonts w:eastAsia="Times New Roman"/>
          <w:b/>
          <w:bCs/>
        </w:rPr>
        <w:t xml:space="preserve">Figure </w:t>
      </w:r>
      <w:r>
        <w:rPr>
          <w:rFonts w:eastAsia="Times New Roman" w:hint="eastAsia"/>
          <w:b/>
          <w:bCs/>
        </w:rPr>
        <w:t>1</w:t>
      </w:r>
      <w:r w:rsidRPr="00C602A7">
        <w:rPr>
          <w:rFonts w:eastAsia="Times New Roman"/>
          <w:b/>
          <w:bCs/>
        </w:rPr>
        <w:t>:</w:t>
      </w:r>
      <w:r w:rsidRPr="00C602A7">
        <w:t xml:space="preserve"> </w:t>
      </w:r>
      <w:r w:rsidRPr="00C602A7">
        <w:rPr>
          <w:rFonts w:eastAsia="Times New Roman"/>
          <w:i/>
          <w:iCs/>
        </w:rPr>
        <w:t>Autocorrelation and Partial Autocorrelation of Polarization and PBI</w:t>
      </w:r>
    </w:p>
    <w:p w14:paraId="7ED87D3F" w14:textId="77777777" w:rsidR="00EE60D6" w:rsidRPr="00C602A7" w:rsidRDefault="00EE60D6" w:rsidP="00EE60D6">
      <w:pPr>
        <w:rPr>
          <w:i/>
          <w:iCs/>
        </w:rPr>
      </w:pPr>
      <w:r w:rsidRPr="00C602A7">
        <w:rPr>
          <w:noProof/>
        </w:rPr>
        <w:lastRenderedPageBreak/>
        <w:drawing>
          <wp:inline distT="0" distB="0" distL="0" distR="0" wp14:anchorId="53DE9932" wp14:editId="1DA803B5">
            <wp:extent cx="5943600" cy="3891205"/>
            <wp:effectExtent l="0" t="0" r="0" b="0"/>
            <wp:docPr id="1802322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22991" name="图片 1802322991"/>
                    <pic:cNvPicPr/>
                  </pic:nvPicPr>
                  <pic:blipFill rotWithShape="1">
                    <a:blip r:embed="rId11" cstate="print">
                      <a:extLst>
                        <a:ext uri="{28A0092B-C50C-407E-A947-70E740481C1C}">
                          <a14:useLocalDpi xmlns:a14="http://schemas.microsoft.com/office/drawing/2010/main" val="0"/>
                        </a:ext>
                      </a:extLst>
                    </a:blip>
                    <a:srcRect b="13668"/>
                    <a:stretch>
                      <a:fillRect/>
                    </a:stretch>
                  </pic:blipFill>
                  <pic:spPr bwMode="auto">
                    <a:xfrm>
                      <a:off x="0" y="0"/>
                      <a:ext cx="5943600" cy="3891205"/>
                    </a:xfrm>
                    <a:prstGeom prst="rect">
                      <a:avLst/>
                    </a:prstGeom>
                    <a:ln>
                      <a:noFill/>
                    </a:ln>
                    <a:extLst>
                      <a:ext uri="{53640926-AAD7-44D8-BBD7-CCE9431645EC}">
                        <a14:shadowObscured xmlns:a14="http://schemas.microsoft.com/office/drawing/2010/main"/>
                      </a:ext>
                    </a:extLst>
                  </pic:spPr>
                </pic:pic>
              </a:graphicData>
            </a:graphic>
          </wp:inline>
        </w:drawing>
      </w:r>
    </w:p>
    <w:p w14:paraId="5249DE49" w14:textId="77777777" w:rsidR="00EE60D6" w:rsidRPr="00C602A7" w:rsidRDefault="00EE60D6" w:rsidP="00EE60D6">
      <w:r w:rsidRPr="00C602A7">
        <w:rPr>
          <w:i/>
          <w:iCs/>
        </w:rPr>
        <w:t>Note.</w:t>
      </w:r>
      <w:r w:rsidRPr="00C602A7">
        <w:t xml:space="preserve"> Diagnostics computed on the raw monthly series before trend testing. Filled markers fall outside the approximate 95% band. </w:t>
      </w:r>
    </w:p>
    <w:p w14:paraId="76E16EDB" w14:textId="77777777" w:rsidR="00EE60D6" w:rsidRPr="00C602A7" w:rsidRDefault="00EE60D6" w:rsidP="00EE60D6"/>
    <w:p w14:paraId="4166CDAE" w14:textId="77777777" w:rsidR="00EE60D6" w:rsidRPr="00C602A7" w:rsidRDefault="00EE60D6" w:rsidP="00EE60D6">
      <w:r w:rsidRPr="00C602A7">
        <w:t xml:space="preserve">Dimensional coverage varied as expected given differences in how frequently news discourse addresses each aspect of the Ukraine aid debate. General Ukraine Aid Stance had the highest non-NA rate at 62.6%, comprising 23,364 scored sentences and averaging approximately </w:t>
      </w:r>
      <w:r>
        <w:rPr>
          <w:rFonts w:hint="eastAsia"/>
        </w:rPr>
        <w:t>687</w:t>
      </w:r>
      <w:r w:rsidRPr="00C602A7">
        <w:t xml:space="preserve"> sentences per month. Ukraine Characterization captured 27.3% of sentences (n = 10,198; 30</w:t>
      </w:r>
      <w:r>
        <w:rPr>
          <w:rFonts w:hint="eastAsia"/>
        </w:rPr>
        <w:t>0</w:t>
      </w:r>
      <w:r w:rsidRPr="00C602A7">
        <w:t xml:space="preserve"> sentences/month), while Resource Allocation captured 20.2% (n = 7,523; 22</w:t>
      </w:r>
      <w:r>
        <w:rPr>
          <w:rFonts w:hint="eastAsia"/>
        </w:rPr>
        <w:t>1</w:t>
      </w:r>
      <w:r w:rsidRPr="00C602A7">
        <w:t xml:space="preserve"> sentences/month). </w:t>
      </w:r>
      <w:r>
        <w:t>Threat Priority</w:t>
      </w:r>
      <w:r w:rsidRPr="00C602A7">
        <w:t xml:space="preserve"> had the lowest coverage at 9.8% (n = 3,650; 1</w:t>
      </w:r>
      <w:r>
        <w:rPr>
          <w:rFonts w:hint="eastAsia"/>
        </w:rPr>
        <w:t>07</w:t>
      </w:r>
      <w:r w:rsidRPr="00C602A7">
        <w:t xml:space="preserve"> sentences/month), as relatively few Ukraine-related sentences explicitly addressed threat prioritization. These differential rates may reflect the topical specificity of each dimension across the studied period. Separately, Democrats constituted the majority of politician mentions across all dimensions, ranging from 56.1% in General Aid Stance to 74.9% in </w:t>
      </w:r>
      <w:r>
        <w:rPr>
          <w:rFonts w:hint="eastAsia"/>
        </w:rPr>
        <w:t>Threat Priority</w:t>
      </w:r>
      <w:r w:rsidRPr="00C602A7">
        <w:t xml:space="preserve">, suggesting that Democrats were mentioned much more frequently on news coverages. </w:t>
      </w:r>
    </w:p>
    <w:p w14:paraId="1FED6B4C" w14:textId="77777777" w:rsidR="00EE60D6" w:rsidRPr="00C602A7" w:rsidRDefault="00EE60D6" w:rsidP="00EE60D6"/>
    <w:p w14:paraId="723A0957" w14:textId="77777777" w:rsidR="00EE60D6" w:rsidRPr="00C602A7" w:rsidRDefault="00EE60D6" w:rsidP="00EE60D6">
      <w:r w:rsidRPr="00C602A7">
        <w:rPr>
          <w:highlight w:val="yellow"/>
        </w:rPr>
        <w:t xml:space="preserve">Table </w:t>
      </w:r>
      <w:r>
        <w:rPr>
          <w:rFonts w:hint="eastAsia"/>
          <w:highlight w:val="yellow"/>
        </w:rPr>
        <w:t>4</w:t>
      </w:r>
      <w:r w:rsidRPr="00C602A7">
        <w:rPr>
          <w:highlight w:val="yellow"/>
        </w:rPr>
        <w:t xml:space="preserve"> reports the estimates that answer RQ1, RQ2a, and RQ4. Table </w:t>
      </w:r>
      <w:r>
        <w:rPr>
          <w:rFonts w:hint="eastAsia"/>
          <w:highlight w:val="yellow"/>
        </w:rPr>
        <w:t>5</w:t>
      </w:r>
      <w:r w:rsidRPr="00C602A7">
        <w:rPr>
          <w:highlight w:val="yellow"/>
        </w:rPr>
        <w:t xml:space="preserve"> reports the structural model comparisons for General Aid Stance polarization and PBI.</w:t>
      </w:r>
    </w:p>
    <w:p w14:paraId="37853A6E" w14:textId="77777777" w:rsidR="00EE60D6" w:rsidRPr="00C602A7" w:rsidRDefault="00EE60D6" w:rsidP="00EE60D6"/>
    <w:p w14:paraId="0D1F5020" w14:textId="77777777" w:rsidR="00EE60D6" w:rsidRPr="00C602A7" w:rsidRDefault="00EE60D6" w:rsidP="00EE60D6">
      <w:pPr>
        <w:rPr>
          <w:b/>
          <w:bCs/>
        </w:rPr>
      </w:pPr>
      <w:r w:rsidRPr="00C602A7">
        <w:rPr>
          <w:b/>
          <w:bCs/>
        </w:rPr>
        <w:t xml:space="preserve">Table </w:t>
      </w:r>
      <w:r>
        <w:rPr>
          <w:rFonts w:hint="eastAsia"/>
          <w:b/>
          <w:bCs/>
        </w:rPr>
        <w:t>4</w:t>
      </w:r>
      <w:r w:rsidRPr="00C602A7">
        <w:rPr>
          <w:b/>
          <w:bCs/>
        </w:rPr>
        <w:t xml:space="preserve">: </w:t>
      </w:r>
      <w:r w:rsidRPr="00C602A7">
        <w:rPr>
          <w:b/>
          <w:bCs/>
          <w:i/>
          <w:iCs/>
        </w:rPr>
        <w:t>Decisive Temporal Estimates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21"/>
        <w:gridCol w:w="2280"/>
        <w:gridCol w:w="991"/>
        <w:gridCol w:w="1093"/>
        <w:gridCol w:w="725"/>
        <w:gridCol w:w="1950"/>
      </w:tblGrid>
      <w:tr w:rsidR="00EE60D6" w:rsidRPr="00C602A7" w14:paraId="32B28086" w14:textId="77777777" w:rsidTr="00831018">
        <w:trPr>
          <w:tblHeader/>
        </w:trPr>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5519E04" w14:textId="77777777" w:rsidR="00EE60D6" w:rsidRPr="00C602A7" w:rsidRDefault="00EE60D6" w:rsidP="00831018">
            <w:pPr>
              <w:rPr>
                <w:b/>
                <w:bCs/>
              </w:rPr>
            </w:pPr>
            <w:r w:rsidRPr="00C602A7">
              <w:rPr>
                <w:b/>
                <w:bCs/>
              </w:rPr>
              <w:t>Construct</w:t>
            </w:r>
          </w:p>
        </w:tc>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727B062" w14:textId="77777777" w:rsidR="00EE60D6" w:rsidRPr="00C602A7" w:rsidRDefault="00EE60D6" w:rsidP="00831018">
            <w:pPr>
              <w:rPr>
                <w:b/>
                <w:bCs/>
              </w:rPr>
            </w:pPr>
            <w:r w:rsidRPr="00C602A7">
              <w:rPr>
                <w:b/>
                <w:bCs/>
              </w:rPr>
              <w:t>Estimand</w:t>
            </w:r>
          </w:p>
        </w:tc>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8A66A88" w14:textId="77777777" w:rsidR="00EE60D6" w:rsidRPr="00C602A7" w:rsidRDefault="00EE60D6" w:rsidP="00831018">
            <w:pPr>
              <w:rPr>
                <w:b/>
                <w:bCs/>
              </w:rPr>
            </w:pPr>
            <w:r w:rsidRPr="00C602A7">
              <w:rPr>
                <w:b/>
                <w:bCs/>
              </w:rPr>
              <w:t>Estimate</w:t>
            </w:r>
          </w:p>
        </w:tc>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351AF75" w14:textId="77777777" w:rsidR="00EE60D6" w:rsidRPr="00C602A7" w:rsidRDefault="00EE60D6" w:rsidP="00831018">
            <w:pPr>
              <w:rPr>
                <w:b/>
                <w:bCs/>
              </w:rPr>
            </w:pPr>
            <w:r w:rsidRPr="00C602A7">
              <w:rPr>
                <w:b/>
                <w:bCs/>
              </w:rPr>
              <w:t>95% interval</w:t>
            </w:r>
          </w:p>
        </w:tc>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FC5035B" w14:textId="77777777" w:rsidR="00EE60D6" w:rsidRPr="00C602A7" w:rsidRDefault="00EE60D6" w:rsidP="00831018">
            <w:pPr>
              <w:rPr>
                <w:b/>
                <w:bCs/>
              </w:rPr>
            </w:pPr>
            <w:r w:rsidRPr="00C602A7">
              <w:rPr>
                <w:b/>
                <w:bCs/>
              </w:rPr>
              <w:t>p</w:t>
            </w:r>
          </w:p>
        </w:tc>
        <w:tc>
          <w:tcPr>
            <w:tcW w:w="0" w:type="auto"/>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41E8A75" w14:textId="77777777" w:rsidR="00EE60D6" w:rsidRPr="00C602A7" w:rsidRDefault="00EE60D6" w:rsidP="00831018">
            <w:pPr>
              <w:rPr>
                <w:b/>
                <w:bCs/>
              </w:rPr>
            </w:pPr>
            <w:r w:rsidRPr="00C602A7">
              <w:rPr>
                <w:b/>
                <w:bCs/>
              </w:rPr>
              <w:t>Analysis set</w:t>
            </w:r>
          </w:p>
        </w:tc>
      </w:tr>
      <w:tr w:rsidR="00EE60D6" w:rsidRPr="00C602A7" w14:paraId="6C990DBF" w14:textId="77777777" w:rsidTr="00831018">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F95C3D" w14:textId="77777777" w:rsidR="00EE60D6" w:rsidRPr="00C602A7" w:rsidRDefault="00EE60D6" w:rsidP="00831018">
            <w:r w:rsidRPr="00C602A7">
              <w:t xml:space="preserve">General Ukraine Aid Stance </w:t>
            </w:r>
            <w:r w:rsidRPr="00C602A7">
              <w:rPr>
                <w:b/>
                <w:bCs/>
              </w:rPr>
              <w:t>polarization</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54558B" w14:textId="77777777" w:rsidR="00EE60D6" w:rsidRPr="00C602A7" w:rsidRDefault="00EE60D6" w:rsidP="00831018">
            <w:r w:rsidRPr="00C602A7">
              <w:t>Sen slope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6296FA" w14:textId="77777777" w:rsidR="00EE60D6" w:rsidRPr="00C602A7" w:rsidRDefault="00EE60D6" w:rsidP="00831018">
            <w:r w:rsidRPr="00C602A7">
              <w:t>0.29</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46DACB" w14:textId="77777777" w:rsidR="00EE60D6" w:rsidRPr="00C602A7" w:rsidRDefault="00EE60D6" w:rsidP="00831018">
            <w:r w:rsidRPr="00C602A7">
              <w:t>[0.061, 0.59]</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544A61E" w14:textId="77777777" w:rsidR="00EE60D6" w:rsidRPr="00C602A7" w:rsidRDefault="00EE60D6" w:rsidP="00831018">
            <w:r w:rsidRPr="00C602A7">
              <w:t>.006</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5A596DA" w14:textId="77777777" w:rsidR="00EE60D6" w:rsidRPr="00C602A7" w:rsidRDefault="00EE60D6" w:rsidP="00831018">
            <w:r w:rsidRPr="00C602A7">
              <w:t>34 months</w:t>
            </w:r>
          </w:p>
        </w:tc>
      </w:tr>
      <w:tr w:rsidR="00EE60D6" w:rsidRPr="00C602A7" w14:paraId="26150F0E" w14:textId="77777777" w:rsidTr="00831018">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B14F73" w14:textId="77777777" w:rsidR="00EE60D6" w:rsidRPr="00C602A7" w:rsidRDefault="00EE60D6" w:rsidP="00831018">
            <w:r w:rsidRPr="00C602A7">
              <w:lastRenderedPageBreak/>
              <w:t>Selected shift-only polarization structure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41BA62" w14:textId="77777777" w:rsidR="00EE60D6" w:rsidRPr="00C602A7" w:rsidRDefault="00EE60D6" w:rsidP="00831018">
            <w:r w:rsidRPr="00C602A7">
              <w:t>December 2024 - March 2022 fitted contrast</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97FFA4" w14:textId="77777777" w:rsidR="00EE60D6" w:rsidRPr="00C602A7" w:rsidRDefault="00EE60D6" w:rsidP="00831018">
            <w:r w:rsidRPr="00C602A7">
              <w:t>11.71</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371FB4" w14:textId="77777777" w:rsidR="00EE60D6" w:rsidRPr="00C602A7" w:rsidRDefault="00EE60D6" w:rsidP="00831018">
            <w:r w:rsidRPr="00C602A7">
              <w:t>[9.99, 13.42]</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C8102A" w14:textId="77777777" w:rsidR="00EE60D6" w:rsidRPr="00C602A7" w:rsidRDefault="00EE60D6" w:rsidP="00831018">
            <w:r w:rsidRPr="00C602A7">
              <w:t>&lt; .001</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20D195" w14:textId="77777777" w:rsidR="00EE60D6" w:rsidRPr="00C602A7" w:rsidRDefault="00EE60D6" w:rsidP="00831018">
            <w:r w:rsidRPr="00C602A7">
              <w:t>Conditional on selected structure</w:t>
            </w:r>
          </w:p>
        </w:tc>
      </w:tr>
      <w:tr w:rsidR="00EE60D6" w:rsidRPr="00C602A7" w14:paraId="124184FB" w14:textId="77777777" w:rsidTr="00831018">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EF6255" w14:textId="77777777" w:rsidR="00EE60D6" w:rsidRPr="00C602A7" w:rsidRDefault="00EE60D6" w:rsidP="00831018">
            <w:r w:rsidRPr="00C602A7">
              <w:rPr>
                <w:b/>
                <w:bCs/>
              </w:rPr>
              <w:t>Republican</w:t>
            </w:r>
            <w:r w:rsidRPr="00C602A7">
              <w:t xml:space="preserve"> General Ukraine Aid Stance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9C0CFA" w14:textId="77777777" w:rsidR="00EE60D6" w:rsidRPr="00C602A7" w:rsidRDefault="00EE60D6" w:rsidP="00831018">
            <w:r w:rsidRPr="00C602A7">
              <w:t>Marginal Sen slope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AAB234" w14:textId="77777777" w:rsidR="00EE60D6" w:rsidRPr="00C602A7" w:rsidRDefault="00EE60D6" w:rsidP="00831018">
            <w:r w:rsidRPr="00C602A7">
              <w:t>0.42</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83577F" w14:textId="77777777" w:rsidR="00EE60D6" w:rsidRPr="00C602A7" w:rsidRDefault="00EE60D6" w:rsidP="00831018">
            <w:r w:rsidRPr="00C602A7">
              <w:t>[0.23, 0.67]</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C07E79" w14:textId="77777777" w:rsidR="00EE60D6" w:rsidRPr="00C602A7" w:rsidRDefault="00EE60D6" w:rsidP="00831018">
            <w:r w:rsidRPr="00C602A7">
              <w:t>&lt; .001</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C0D1E8" w14:textId="77777777" w:rsidR="00EE60D6" w:rsidRPr="00C602A7" w:rsidRDefault="00EE60D6" w:rsidP="00831018">
            <w:r w:rsidRPr="00C602A7">
              <w:t>34 months</w:t>
            </w:r>
          </w:p>
        </w:tc>
      </w:tr>
      <w:tr w:rsidR="00EE60D6" w:rsidRPr="00C602A7" w14:paraId="155A9BA0" w14:textId="77777777" w:rsidTr="00831018">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974089" w14:textId="77777777" w:rsidR="00EE60D6" w:rsidRPr="00C602A7" w:rsidRDefault="00EE60D6" w:rsidP="00831018">
            <w:r w:rsidRPr="00C602A7">
              <w:rPr>
                <w:b/>
                <w:bCs/>
              </w:rPr>
              <w:t>Democratic</w:t>
            </w:r>
            <w:r w:rsidRPr="00C602A7">
              <w:t xml:space="preserve"> General Ukraine Aid Stance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93C02E" w14:textId="77777777" w:rsidR="00EE60D6" w:rsidRPr="00C602A7" w:rsidRDefault="00EE60D6" w:rsidP="00831018">
            <w:r w:rsidRPr="00C602A7">
              <w:t>Marginal Sen slope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407AA7" w14:textId="77777777" w:rsidR="00EE60D6" w:rsidRPr="00C602A7" w:rsidRDefault="00EE60D6" w:rsidP="00831018">
            <w:r w:rsidRPr="00C602A7">
              <w:t>0.17</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2AE3F9F" w14:textId="77777777" w:rsidR="00EE60D6" w:rsidRPr="00C602A7" w:rsidRDefault="00EE60D6" w:rsidP="00831018">
            <w:r w:rsidRPr="00C602A7">
              <w:t>[0.065, 0.28]</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CB8045" w14:textId="77777777" w:rsidR="00EE60D6" w:rsidRPr="00C602A7" w:rsidRDefault="00EE60D6" w:rsidP="00831018">
            <w:r w:rsidRPr="00C602A7">
              <w:t>.015</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0491CF" w14:textId="77777777" w:rsidR="00EE60D6" w:rsidRPr="00C602A7" w:rsidRDefault="00EE60D6" w:rsidP="00831018">
            <w:r w:rsidRPr="00C602A7">
              <w:t>34 months</w:t>
            </w:r>
          </w:p>
        </w:tc>
      </w:tr>
      <w:tr w:rsidR="00EE60D6" w:rsidRPr="00C602A7" w14:paraId="2751403C" w14:textId="77777777" w:rsidTr="00831018">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111267" w14:textId="77777777" w:rsidR="00EE60D6" w:rsidRPr="00C602A7" w:rsidRDefault="00EE60D6" w:rsidP="00831018">
            <w:r w:rsidRPr="00C602A7">
              <w:t>Republican minus Democratic change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FBEBFC" w14:textId="77777777" w:rsidR="00EE60D6" w:rsidRPr="00C602A7" w:rsidRDefault="00EE60D6" w:rsidP="00831018">
            <w:r w:rsidRPr="00C602A7">
              <w:t>Direct paired Sen contrast</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98F1F9" w14:textId="77777777" w:rsidR="00EE60D6" w:rsidRPr="00C602A7" w:rsidRDefault="00EE60D6" w:rsidP="00831018">
            <w:r w:rsidRPr="00C602A7">
              <w:t>0.29</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687A59D" w14:textId="77777777" w:rsidR="00EE60D6" w:rsidRPr="00C602A7" w:rsidRDefault="00EE60D6" w:rsidP="00831018">
            <w:r w:rsidRPr="00C602A7">
              <w:t>[0.061, 0.59]</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CE94ECE" w14:textId="77777777" w:rsidR="00EE60D6" w:rsidRPr="00C602A7" w:rsidRDefault="00EE60D6" w:rsidP="00831018">
            <w:r w:rsidRPr="00C602A7">
              <w:t>.006</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80F55A" w14:textId="77777777" w:rsidR="00EE60D6" w:rsidRPr="00C602A7" w:rsidRDefault="00EE60D6" w:rsidP="00831018">
            <w:r w:rsidRPr="00C602A7">
              <w:t>561 month pairs</w:t>
            </w:r>
          </w:p>
        </w:tc>
      </w:tr>
      <w:tr w:rsidR="00EE60D6" w:rsidRPr="00C602A7" w14:paraId="33176F6E" w14:textId="77777777" w:rsidTr="00831018">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319FCA9" w14:textId="77777777" w:rsidR="00EE60D6" w:rsidRPr="00C602A7" w:rsidRDefault="00EE60D6" w:rsidP="00831018">
            <w:pPr>
              <w:rPr>
                <w:b/>
                <w:bCs/>
              </w:rPr>
            </w:pPr>
            <w:r w:rsidRPr="00C602A7">
              <w:rPr>
                <w:b/>
                <w:bCs/>
              </w:rPr>
              <w:t>Party Brand Index</w:t>
            </w:r>
          </w:p>
        </w:tc>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46FEC872" w14:textId="77777777" w:rsidR="00EE60D6" w:rsidRPr="00C602A7" w:rsidRDefault="00EE60D6" w:rsidP="00831018">
            <w:r w:rsidRPr="00C602A7">
              <w:t>Sen slope</w:t>
            </w:r>
          </w:p>
        </w:tc>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375C8A37" w14:textId="77777777" w:rsidR="00EE60D6" w:rsidRPr="00C602A7" w:rsidRDefault="00EE60D6" w:rsidP="00831018">
            <w:r w:rsidRPr="00C602A7">
              <w:t>0.36</w:t>
            </w:r>
          </w:p>
        </w:tc>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2F40C9" w14:textId="77777777" w:rsidR="00EE60D6" w:rsidRPr="00C602A7" w:rsidRDefault="00EE60D6" w:rsidP="00831018">
            <w:r w:rsidRPr="00C602A7">
              <w:t>[0.15, 0.54]</w:t>
            </w:r>
          </w:p>
        </w:tc>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53D552EF" w14:textId="77777777" w:rsidR="00EE60D6" w:rsidRPr="00C602A7" w:rsidRDefault="00EE60D6" w:rsidP="00831018">
            <w:r w:rsidRPr="00C602A7">
              <w:t>.001</w:t>
            </w:r>
          </w:p>
        </w:tc>
        <w:tc>
          <w:tcPr>
            <w:tcW w:w="0" w:type="auto"/>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39DB74AA" w14:textId="77777777" w:rsidR="00EE60D6" w:rsidRPr="00C602A7" w:rsidRDefault="00EE60D6" w:rsidP="00831018">
            <w:r w:rsidRPr="00C602A7">
              <w:t>34 months</w:t>
            </w:r>
          </w:p>
        </w:tc>
      </w:tr>
    </w:tbl>
    <w:p w14:paraId="251AA85A" w14:textId="77777777" w:rsidR="00EE60D6" w:rsidRPr="00C602A7" w:rsidRDefault="00EE60D6" w:rsidP="00EE60D6">
      <w:r w:rsidRPr="00C602A7">
        <w:rPr>
          <w:i/>
          <w:iCs/>
        </w:rPr>
        <w:t xml:space="preserve">Note. </w:t>
      </w:r>
      <w:r w:rsidRPr="00C602A7">
        <w:t>Sen intervals are rank intervals; the endpoint interval is conditional on the selected structure. Marginal Sen slopes are each party’s movement, and the direct paired contrast is the between-party temporal-change estimand. Sen slopes and the paired estimate are in points per month; the endpoint contrast is in polarization points.</w:t>
      </w:r>
    </w:p>
    <w:p w14:paraId="0AB952ED" w14:textId="77777777" w:rsidR="00EE60D6" w:rsidRPr="00C602A7" w:rsidRDefault="00EE60D6" w:rsidP="00EE60D6"/>
    <w:p w14:paraId="02AEF37E" w14:textId="77777777" w:rsidR="00EE60D6" w:rsidRPr="00C602A7" w:rsidRDefault="00EE60D6" w:rsidP="00EE60D6">
      <w:pPr>
        <w:rPr>
          <w:b/>
          <w:bCs/>
        </w:rPr>
      </w:pPr>
      <w:r w:rsidRPr="00C602A7">
        <w:rPr>
          <w:b/>
          <w:bCs/>
        </w:rPr>
        <w:t xml:space="preserve">Table </w:t>
      </w:r>
      <w:r>
        <w:rPr>
          <w:rFonts w:hint="eastAsia"/>
          <w:b/>
          <w:bCs/>
        </w:rPr>
        <w:t>5</w:t>
      </w:r>
      <w:r w:rsidRPr="00C602A7">
        <w:rPr>
          <w:b/>
          <w:bCs/>
        </w:rPr>
        <w:t xml:space="preserve">: </w:t>
      </w:r>
      <w:r w:rsidRPr="00C602A7">
        <w:rPr>
          <w:b/>
          <w:bCs/>
          <w:i/>
          <w:iCs/>
        </w:rPr>
        <w:t>Structural Model Selection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1"/>
        <w:gridCol w:w="1134"/>
        <w:gridCol w:w="1843"/>
        <w:gridCol w:w="992"/>
        <w:gridCol w:w="851"/>
        <w:gridCol w:w="2839"/>
      </w:tblGrid>
      <w:tr w:rsidR="00EE60D6" w:rsidRPr="00C602A7" w14:paraId="625F9840" w14:textId="77777777" w:rsidTr="00831018">
        <w:trPr>
          <w:tblHeader/>
        </w:trPr>
        <w:tc>
          <w:tcPr>
            <w:tcW w:w="1701"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CBFCE64" w14:textId="77777777" w:rsidR="00EE60D6" w:rsidRPr="00C602A7" w:rsidRDefault="00EE60D6" w:rsidP="00831018">
            <w:pPr>
              <w:rPr>
                <w:b/>
                <w:bCs/>
              </w:rPr>
            </w:pPr>
            <w:r w:rsidRPr="00C602A7">
              <w:rPr>
                <w:b/>
                <w:bCs/>
              </w:rPr>
              <w:t>Construct</w:t>
            </w:r>
          </w:p>
        </w:tc>
        <w:tc>
          <w:tcPr>
            <w:tcW w:w="1134"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55D8CDA" w14:textId="77777777" w:rsidR="00EE60D6" w:rsidRPr="00C602A7" w:rsidRDefault="00EE60D6" w:rsidP="00831018">
            <w:pPr>
              <w:rPr>
                <w:b/>
                <w:bCs/>
              </w:rPr>
            </w:pPr>
            <w:r w:rsidRPr="00C602A7">
              <w:rPr>
                <w:b/>
                <w:bCs/>
              </w:rPr>
              <w:t>Role</w:t>
            </w:r>
          </w:p>
        </w:tc>
        <w:tc>
          <w:tcPr>
            <w:tcW w:w="1843"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0F14C58" w14:textId="77777777" w:rsidR="00EE60D6" w:rsidRPr="00C602A7" w:rsidRDefault="00EE60D6" w:rsidP="00831018">
            <w:pPr>
              <w:rPr>
                <w:b/>
                <w:bCs/>
              </w:rPr>
            </w:pPr>
            <w:r w:rsidRPr="00C602A7">
              <w:rPr>
                <w:b/>
                <w:bCs/>
              </w:rPr>
              <w:t>Model</w:t>
            </w:r>
          </w:p>
        </w:tc>
        <w:tc>
          <w:tcPr>
            <w:tcW w:w="992"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40AAFAA" w14:textId="77777777" w:rsidR="00EE60D6" w:rsidRPr="00C602A7" w:rsidRDefault="00EE60D6" w:rsidP="00831018">
            <w:pPr>
              <w:rPr>
                <w:b/>
                <w:bCs/>
              </w:rPr>
            </w:pPr>
            <w:r w:rsidRPr="00C602A7">
              <w:rPr>
                <w:b/>
                <w:bCs/>
              </w:rPr>
              <w:t>BIC</w:t>
            </w:r>
          </w:p>
        </w:tc>
        <w:tc>
          <w:tcPr>
            <w:tcW w:w="851"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901C6E7" w14:textId="77777777" w:rsidR="00EE60D6" w:rsidRPr="00C602A7" w:rsidRDefault="00EE60D6" w:rsidP="00831018">
            <w:pPr>
              <w:rPr>
                <w:b/>
                <w:bCs/>
              </w:rPr>
            </w:pPr>
            <w:r w:rsidRPr="00C602A7">
              <w:rPr>
                <w:b/>
                <w:bCs/>
              </w:rPr>
              <w:t>ΔBIC</w:t>
            </w:r>
          </w:p>
        </w:tc>
        <w:tc>
          <w:tcPr>
            <w:tcW w:w="2839"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43863F5" w14:textId="77777777" w:rsidR="00EE60D6" w:rsidRPr="00C602A7" w:rsidRDefault="00EE60D6" w:rsidP="00831018">
            <w:pPr>
              <w:rPr>
                <w:b/>
                <w:bCs/>
              </w:rPr>
            </w:pPr>
            <w:r w:rsidRPr="00C602A7">
              <w:rPr>
                <w:b/>
                <w:bCs/>
              </w:rPr>
              <w:t>Estimated onset(s)</w:t>
            </w:r>
          </w:p>
        </w:tc>
      </w:tr>
      <w:tr w:rsidR="00EE60D6" w:rsidRPr="00C602A7" w14:paraId="5F8BE4B7" w14:textId="77777777" w:rsidTr="00831018">
        <w:tc>
          <w:tcPr>
            <w:tcW w:w="1701" w:type="dxa"/>
            <w:tcBorders>
              <w:top w:val="single" w:sz="4" w:space="0" w:color="000000"/>
              <w:left w:val="nil"/>
              <w:bottom w:val="nil"/>
              <w:right w:val="nil"/>
            </w:tcBorders>
            <w:tcMar>
              <w:top w:w="60" w:type="dxa"/>
              <w:left w:w="80" w:type="dxa"/>
              <w:bottom w:w="60" w:type="dxa"/>
              <w:right w:w="80" w:type="dxa"/>
            </w:tcMar>
            <w:vAlign w:val="center"/>
          </w:tcPr>
          <w:p w14:paraId="0860BED2" w14:textId="77777777" w:rsidR="00EE60D6" w:rsidRPr="00C602A7" w:rsidRDefault="00EE60D6" w:rsidP="00831018">
            <w:r w:rsidRPr="00C602A7">
              <w:t>General Ukraine Aid Stance polarization</w:t>
            </w:r>
          </w:p>
        </w:tc>
        <w:tc>
          <w:tcPr>
            <w:tcW w:w="1134" w:type="dxa"/>
            <w:tcBorders>
              <w:top w:val="single" w:sz="4" w:space="0" w:color="000000"/>
              <w:left w:val="nil"/>
              <w:bottom w:val="nil"/>
              <w:right w:val="nil"/>
            </w:tcBorders>
            <w:tcMar>
              <w:top w:w="60" w:type="dxa"/>
              <w:left w:w="80" w:type="dxa"/>
              <w:bottom w:w="60" w:type="dxa"/>
              <w:right w:w="80" w:type="dxa"/>
            </w:tcMar>
            <w:vAlign w:val="center"/>
          </w:tcPr>
          <w:p w14:paraId="02854387" w14:textId="77777777" w:rsidR="00EE60D6" w:rsidRPr="00C602A7" w:rsidRDefault="00EE60D6" w:rsidP="00831018">
            <w:r w:rsidRPr="00C602A7">
              <w:t>Selected</w:t>
            </w:r>
          </w:p>
        </w:tc>
        <w:tc>
          <w:tcPr>
            <w:tcW w:w="1843" w:type="dxa"/>
            <w:tcBorders>
              <w:top w:val="single" w:sz="4" w:space="0" w:color="000000"/>
              <w:left w:val="nil"/>
              <w:bottom w:val="nil"/>
              <w:right w:val="nil"/>
            </w:tcBorders>
            <w:tcMar>
              <w:top w:w="60" w:type="dxa"/>
              <w:left w:w="80" w:type="dxa"/>
              <w:bottom w:w="60" w:type="dxa"/>
              <w:right w:w="80" w:type="dxa"/>
            </w:tcMar>
            <w:vAlign w:val="center"/>
          </w:tcPr>
          <w:p w14:paraId="4D7C3F39" w14:textId="77777777" w:rsidR="00EE60D6" w:rsidRPr="00C602A7" w:rsidRDefault="00EE60D6" w:rsidP="00831018">
            <w:r w:rsidRPr="00C602A7">
              <w:t>Three-shift AR(2)</w:t>
            </w:r>
          </w:p>
        </w:tc>
        <w:tc>
          <w:tcPr>
            <w:tcW w:w="992" w:type="dxa"/>
            <w:tcBorders>
              <w:top w:val="single" w:sz="4" w:space="0" w:color="000000"/>
              <w:left w:val="nil"/>
              <w:bottom w:val="nil"/>
              <w:right w:val="nil"/>
            </w:tcBorders>
            <w:tcMar>
              <w:top w:w="60" w:type="dxa"/>
              <w:left w:w="80" w:type="dxa"/>
              <w:bottom w:w="60" w:type="dxa"/>
              <w:right w:w="80" w:type="dxa"/>
            </w:tcMar>
            <w:vAlign w:val="center"/>
          </w:tcPr>
          <w:p w14:paraId="32925BDB" w14:textId="77777777" w:rsidR="00EE60D6" w:rsidRPr="00C602A7" w:rsidRDefault="00EE60D6" w:rsidP="00831018">
            <w:r w:rsidRPr="00C602A7">
              <w:t>218.41</w:t>
            </w:r>
          </w:p>
        </w:tc>
        <w:tc>
          <w:tcPr>
            <w:tcW w:w="851" w:type="dxa"/>
            <w:tcBorders>
              <w:top w:val="single" w:sz="4" w:space="0" w:color="000000"/>
              <w:left w:val="nil"/>
              <w:bottom w:val="nil"/>
              <w:right w:val="nil"/>
            </w:tcBorders>
            <w:tcMar>
              <w:top w:w="60" w:type="dxa"/>
              <w:left w:w="80" w:type="dxa"/>
              <w:bottom w:w="60" w:type="dxa"/>
              <w:right w:w="80" w:type="dxa"/>
            </w:tcMar>
            <w:vAlign w:val="center"/>
          </w:tcPr>
          <w:p w14:paraId="33DAAB7D" w14:textId="77777777" w:rsidR="00EE60D6" w:rsidRPr="00C602A7" w:rsidRDefault="00EE60D6" w:rsidP="00831018">
            <w:r w:rsidRPr="00C602A7">
              <w:t>0.00</w:t>
            </w:r>
          </w:p>
        </w:tc>
        <w:tc>
          <w:tcPr>
            <w:tcW w:w="2839" w:type="dxa"/>
            <w:tcBorders>
              <w:top w:val="single" w:sz="4" w:space="0" w:color="000000"/>
              <w:left w:val="nil"/>
              <w:bottom w:val="nil"/>
              <w:right w:val="nil"/>
            </w:tcBorders>
            <w:tcMar>
              <w:top w:w="60" w:type="dxa"/>
              <w:left w:w="80" w:type="dxa"/>
              <w:bottom w:w="60" w:type="dxa"/>
              <w:right w:w="80" w:type="dxa"/>
            </w:tcMar>
            <w:vAlign w:val="center"/>
          </w:tcPr>
          <w:p w14:paraId="66F1A676" w14:textId="77777777" w:rsidR="00EE60D6" w:rsidRPr="00C602A7" w:rsidRDefault="00EE60D6" w:rsidP="00831018">
            <w:r w:rsidRPr="00C602A7">
              <w:t>2022‑09, 2023‑04, 2023‑09</w:t>
            </w:r>
          </w:p>
        </w:tc>
      </w:tr>
      <w:tr w:rsidR="00EE60D6" w:rsidRPr="00C602A7" w14:paraId="039DF5E1" w14:textId="77777777" w:rsidTr="00831018">
        <w:tc>
          <w:tcPr>
            <w:tcW w:w="1701" w:type="dxa"/>
            <w:tcBorders>
              <w:top w:val="nil"/>
              <w:left w:val="nil"/>
              <w:bottom w:val="single" w:sz="4" w:space="0" w:color="000000"/>
              <w:right w:val="nil"/>
            </w:tcBorders>
            <w:tcMar>
              <w:top w:w="60" w:type="dxa"/>
              <w:left w:w="80" w:type="dxa"/>
              <w:bottom w:w="60" w:type="dxa"/>
              <w:right w:w="80" w:type="dxa"/>
            </w:tcMar>
            <w:vAlign w:val="center"/>
          </w:tcPr>
          <w:p w14:paraId="14D2373F" w14:textId="77777777" w:rsidR="00EE60D6" w:rsidRPr="00C602A7" w:rsidRDefault="00EE60D6" w:rsidP="00831018">
            <w:r w:rsidRPr="00C602A7">
              <w:t>General Ukraine Aid Stance polarization</w:t>
            </w:r>
          </w:p>
        </w:tc>
        <w:tc>
          <w:tcPr>
            <w:tcW w:w="1134" w:type="dxa"/>
            <w:tcBorders>
              <w:top w:val="nil"/>
              <w:left w:val="nil"/>
              <w:bottom w:val="single" w:sz="4" w:space="0" w:color="000000"/>
              <w:right w:val="nil"/>
            </w:tcBorders>
            <w:tcMar>
              <w:top w:w="60" w:type="dxa"/>
              <w:left w:w="80" w:type="dxa"/>
              <w:bottom w:w="60" w:type="dxa"/>
              <w:right w:w="80" w:type="dxa"/>
            </w:tcMar>
            <w:vAlign w:val="center"/>
          </w:tcPr>
          <w:p w14:paraId="5F9E1B8A" w14:textId="77777777" w:rsidR="00EE60D6" w:rsidRPr="00C602A7" w:rsidRDefault="00EE60D6" w:rsidP="00831018">
            <w:r w:rsidRPr="00C602A7">
              <w:t>Runner-up</w:t>
            </w:r>
          </w:p>
        </w:tc>
        <w:tc>
          <w:tcPr>
            <w:tcW w:w="1843" w:type="dxa"/>
            <w:tcBorders>
              <w:top w:val="nil"/>
              <w:left w:val="nil"/>
              <w:bottom w:val="single" w:sz="4" w:space="0" w:color="000000"/>
              <w:right w:val="nil"/>
            </w:tcBorders>
            <w:tcMar>
              <w:top w:w="60" w:type="dxa"/>
              <w:left w:w="80" w:type="dxa"/>
              <w:bottom w:w="60" w:type="dxa"/>
              <w:right w:w="80" w:type="dxa"/>
            </w:tcMar>
            <w:vAlign w:val="center"/>
          </w:tcPr>
          <w:p w14:paraId="4F936B0D" w14:textId="77777777" w:rsidR="00EE60D6" w:rsidRPr="00C602A7" w:rsidRDefault="00EE60D6" w:rsidP="00831018">
            <w:r w:rsidRPr="00C602A7">
              <w:t>Four-shift AR(2)</w:t>
            </w:r>
          </w:p>
        </w:tc>
        <w:tc>
          <w:tcPr>
            <w:tcW w:w="992" w:type="dxa"/>
            <w:tcBorders>
              <w:top w:val="nil"/>
              <w:left w:val="nil"/>
              <w:bottom w:val="single" w:sz="4" w:space="0" w:color="000000"/>
              <w:right w:val="nil"/>
            </w:tcBorders>
            <w:tcMar>
              <w:top w:w="60" w:type="dxa"/>
              <w:left w:w="80" w:type="dxa"/>
              <w:bottom w:w="60" w:type="dxa"/>
              <w:right w:w="80" w:type="dxa"/>
            </w:tcMar>
            <w:vAlign w:val="center"/>
          </w:tcPr>
          <w:p w14:paraId="657EBD78" w14:textId="77777777" w:rsidR="00EE60D6" w:rsidRPr="00C602A7" w:rsidRDefault="00EE60D6" w:rsidP="00831018">
            <w:r w:rsidRPr="00C602A7">
              <w:t>219.66</w:t>
            </w:r>
          </w:p>
        </w:tc>
        <w:tc>
          <w:tcPr>
            <w:tcW w:w="851" w:type="dxa"/>
            <w:tcBorders>
              <w:top w:val="nil"/>
              <w:left w:val="nil"/>
              <w:bottom w:val="single" w:sz="4" w:space="0" w:color="000000"/>
              <w:right w:val="nil"/>
            </w:tcBorders>
            <w:tcMar>
              <w:top w:w="60" w:type="dxa"/>
              <w:left w:w="80" w:type="dxa"/>
              <w:bottom w:w="60" w:type="dxa"/>
              <w:right w:w="80" w:type="dxa"/>
            </w:tcMar>
            <w:vAlign w:val="center"/>
          </w:tcPr>
          <w:p w14:paraId="4A378613" w14:textId="77777777" w:rsidR="00EE60D6" w:rsidRPr="00C602A7" w:rsidRDefault="00EE60D6" w:rsidP="00831018">
            <w:r w:rsidRPr="00C602A7">
              <w:t>1.25</w:t>
            </w:r>
          </w:p>
        </w:tc>
        <w:tc>
          <w:tcPr>
            <w:tcW w:w="2839" w:type="dxa"/>
            <w:tcBorders>
              <w:top w:val="nil"/>
              <w:left w:val="nil"/>
              <w:bottom w:val="single" w:sz="4" w:space="0" w:color="000000"/>
              <w:right w:val="nil"/>
            </w:tcBorders>
            <w:tcMar>
              <w:top w:w="60" w:type="dxa"/>
              <w:left w:w="80" w:type="dxa"/>
              <w:bottom w:w="60" w:type="dxa"/>
              <w:right w:w="80" w:type="dxa"/>
            </w:tcMar>
            <w:vAlign w:val="center"/>
          </w:tcPr>
          <w:p w14:paraId="4F1F6CCE" w14:textId="77777777" w:rsidR="00EE60D6" w:rsidRPr="00C602A7" w:rsidRDefault="00EE60D6" w:rsidP="00831018">
            <w:r w:rsidRPr="00C602A7">
              <w:t>2022‑09, 2023‑01, 2023‑05, 2023‑09</w:t>
            </w:r>
          </w:p>
        </w:tc>
      </w:tr>
      <w:tr w:rsidR="00EE60D6" w:rsidRPr="00C602A7" w14:paraId="20E17172" w14:textId="77777777" w:rsidTr="00831018">
        <w:tc>
          <w:tcPr>
            <w:tcW w:w="1701"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5DEE6073" w14:textId="77777777" w:rsidR="00EE60D6" w:rsidRPr="00C602A7" w:rsidRDefault="00EE60D6" w:rsidP="00831018">
            <w:r w:rsidRPr="00C602A7">
              <w:t>Party Brand Index</w:t>
            </w:r>
          </w:p>
        </w:tc>
        <w:tc>
          <w:tcPr>
            <w:tcW w:w="1134"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1CF6FFF5" w14:textId="77777777" w:rsidR="00EE60D6" w:rsidRPr="00C602A7" w:rsidRDefault="00EE60D6" w:rsidP="00831018">
            <w:r w:rsidRPr="00C602A7">
              <w:t>Selected</w:t>
            </w:r>
          </w:p>
        </w:tc>
        <w:tc>
          <w:tcPr>
            <w:tcW w:w="1843"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4AC62E39" w14:textId="77777777" w:rsidR="00EE60D6" w:rsidRPr="00C602A7" w:rsidRDefault="00EE60D6" w:rsidP="00831018">
            <w:r w:rsidRPr="00C602A7">
              <w:t>One-shift AR(0)</w:t>
            </w:r>
          </w:p>
        </w:tc>
        <w:tc>
          <w:tcPr>
            <w:tcW w:w="992"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2FE820D7" w14:textId="77777777" w:rsidR="00EE60D6" w:rsidRPr="00C602A7" w:rsidRDefault="00EE60D6" w:rsidP="00831018">
            <w:r w:rsidRPr="00C602A7">
              <w:t>215.48</w:t>
            </w:r>
          </w:p>
        </w:tc>
        <w:tc>
          <w:tcPr>
            <w:tcW w:w="851"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7740B3AA" w14:textId="77777777" w:rsidR="00EE60D6" w:rsidRPr="00C602A7" w:rsidRDefault="00EE60D6" w:rsidP="00831018">
            <w:r w:rsidRPr="00C602A7">
              <w:t>0.00</w:t>
            </w:r>
          </w:p>
        </w:tc>
        <w:tc>
          <w:tcPr>
            <w:tcW w:w="2839" w:type="dxa"/>
            <w:tcBorders>
              <w:top w:val="single" w:sz="4" w:space="0" w:color="000000"/>
              <w:left w:val="none" w:sz="0" w:space="0" w:color="FFFFFF"/>
              <w:bottom w:val="none" w:sz="0" w:space="0" w:color="FFFFFF"/>
              <w:right w:val="none" w:sz="0" w:space="0" w:color="FFFFFF"/>
            </w:tcBorders>
            <w:tcMar>
              <w:top w:w="60" w:type="dxa"/>
              <w:left w:w="80" w:type="dxa"/>
              <w:bottom w:w="60" w:type="dxa"/>
              <w:right w:w="80" w:type="dxa"/>
            </w:tcMar>
            <w:vAlign w:val="center"/>
          </w:tcPr>
          <w:p w14:paraId="08397F9D" w14:textId="77777777" w:rsidR="00EE60D6" w:rsidRPr="00C602A7" w:rsidRDefault="00EE60D6" w:rsidP="00831018">
            <w:r w:rsidRPr="00C602A7">
              <w:t>2023‑09</w:t>
            </w:r>
          </w:p>
        </w:tc>
      </w:tr>
      <w:tr w:rsidR="00EE60D6" w:rsidRPr="00C602A7" w14:paraId="5311F3B2" w14:textId="77777777" w:rsidTr="00831018">
        <w:tc>
          <w:tcPr>
            <w:tcW w:w="1701"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03C9D9DD" w14:textId="77777777" w:rsidR="00EE60D6" w:rsidRPr="00C602A7" w:rsidRDefault="00EE60D6" w:rsidP="00831018">
            <w:r w:rsidRPr="00C602A7">
              <w:t>Party Brand Index</w:t>
            </w:r>
          </w:p>
        </w:tc>
        <w:tc>
          <w:tcPr>
            <w:tcW w:w="1134"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1B7B6A5" w14:textId="77777777" w:rsidR="00EE60D6" w:rsidRPr="00C602A7" w:rsidRDefault="00EE60D6" w:rsidP="00831018">
            <w:r w:rsidRPr="00C602A7">
              <w:t xml:space="preserve">Runner-up </w:t>
            </w:r>
          </w:p>
        </w:tc>
        <w:tc>
          <w:tcPr>
            <w:tcW w:w="1843"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2FE6BD19" w14:textId="77777777" w:rsidR="00EE60D6" w:rsidRPr="00C602A7" w:rsidRDefault="00EE60D6" w:rsidP="00831018">
            <w:r w:rsidRPr="00C602A7">
              <w:t>No-shift AR(1)</w:t>
            </w:r>
          </w:p>
        </w:tc>
        <w:tc>
          <w:tcPr>
            <w:tcW w:w="992"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41F123CD" w14:textId="77777777" w:rsidR="00EE60D6" w:rsidRPr="00C602A7" w:rsidRDefault="00EE60D6" w:rsidP="00831018">
            <w:r w:rsidRPr="00C602A7">
              <w:t>224.83</w:t>
            </w:r>
          </w:p>
        </w:tc>
        <w:tc>
          <w:tcPr>
            <w:tcW w:w="851"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5AF74065" w14:textId="77777777" w:rsidR="00EE60D6" w:rsidRPr="00C602A7" w:rsidRDefault="00EE60D6" w:rsidP="00831018">
            <w:r w:rsidRPr="00C602A7">
              <w:t>9.35</w:t>
            </w:r>
          </w:p>
        </w:tc>
        <w:tc>
          <w:tcPr>
            <w:tcW w:w="2839"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5A6E431F" w14:textId="77777777" w:rsidR="00EE60D6" w:rsidRPr="00C602A7" w:rsidRDefault="00EE60D6" w:rsidP="00831018">
            <w:r w:rsidRPr="00C602A7">
              <w:t>None</w:t>
            </w:r>
          </w:p>
        </w:tc>
      </w:tr>
    </w:tbl>
    <w:p w14:paraId="72BEE208" w14:textId="77777777" w:rsidR="00EE60D6" w:rsidRPr="004036FF" w:rsidRDefault="00EE60D6" w:rsidP="00EE60D6">
      <w:pPr>
        <w:pStyle w:val="2"/>
      </w:pPr>
      <w:r w:rsidRPr="00C602A7">
        <w:t>RQ1</w:t>
      </w:r>
    </w:p>
    <w:p w14:paraId="1FF23C1A" w14:textId="77777777" w:rsidR="00EE60D6" w:rsidRPr="00C602A7" w:rsidRDefault="00EE60D6" w:rsidP="00EE60D6">
      <w:pPr>
        <w:rPr>
          <w:rFonts w:eastAsia="Times New Roman"/>
        </w:rPr>
      </w:pPr>
      <w:r w:rsidRPr="00C602A7">
        <w:t xml:space="preserve">General Ukraine Aid Stance polarization increased significantly over the study period. Across the 34 months, the Hamed-Rao Mann-Kendall statistic was </w:t>
      </w:r>
      <w:r w:rsidRPr="00C602A7">
        <w:rPr>
          <w:i/>
          <w:iCs/>
        </w:rPr>
        <w:t>S</w:t>
      </w:r>
      <w:r w:rsidRPr="00C602A7">
        <w:t xml:space="preserve"> = 185, Kendall’s </w:t>
      </w:r>
      <w:r w:rsidRPr="00C602A7">
        <w:rPr>
          <w:rFonts w:eastAsia="Times New Roman"/>
          <w:i/>
          <w:iCs/>
        </w:rPr>
        <w:t>τ</w:t>
      </w:r>
      <w:r w:rsidRPr="00C602A7">
        <w:rPr>
          <w:rFonts w:eastAsia="Times New Roman"/>
        </w:rPr>
        <w:t xml:space="preserve"> = .330, </w:t>
      </w:r>
      <w:r w:rsidRPr="00C602A7">
        <w:rPr>
          <w:rFonts w:eastAsia="Times New Roman"/>
          <w:i/>
          <w:iCs/>
        </w:rPr>
        <w:t>Z</w:t>
      </w:r>
      <w:r w:rsidRPr="00C602A7">
        <w:rPr>
          <w:rFonts w:eastAsia="Times New Roman"/>
        </w:rPr>
        <w:t xml:space="preserve"> = 2.73, </w:t>
      </w:r>
      <w:r w:rsidRPr="00C602A7">
        <w:rPr>
          <w:rFonts w:eastAsia="Times New Roman"/>
          <w:i/>
          <w:iCs/>
        </w:rPr>
        <w:t>p</w:t>
      </w:r>
      <w:r w:rsidRPr="00C602A7">
        <w:rPr>
          <w:rFonts w:eastAsia="Times New Roman"/>
        </w:rPr>
        <w:t xml:space="preserve"> = .006. Based on </w:t>
      </w:r>
      <w:r w:rsidRPr="00C602A7">
        <w:t xml:space="preserve">Kendall’s </w:t>
      </w:r>
      <w:r w:rsidRPr="00C602A7">
        <w:rPr>
          <w:rFonts w:eastAsia="Times New Roman"/>
          <w:i/>
          <w:iCs/>
        </w:rPr>
        <w:t>τ</w:t>
      </w:r>
      <w:r w:rsidRPr="00C602A7">
        <w:rPr>
          <w:rFonts w:eastAsia="Times New Roman"/>
        </w:rPr>
        <w:t>, we can learn that, of the 561 pairs our data allows, 373 showed a wider polarization in the later month against 188 that showed a narrower one. The Sen slope was 0.29 polarization points per month, with a 95% rank interval of [0.061, 0.59], which suggests a rough growth of 9.6 points from March 2022 to December 2024.</w:t>
      </w:r>
    </w:p>
    <w:p w14:paraId="2AF87A34" w14:textId="77777777" w:rsidR="00EE60D6" w:rsidRPr="00C602A7" w:rsidRDefault="00EE60D6" w:rsidP="00EE60D6">
      <w:pPr>
        <w:rPr>
          <w:rFonts w:eastAsia="Times New Roman"/>
        </w:rPr>
      </w:pPr>
    </w:p>
    <w:p w14:paraId="1974DEAE" w14:textId="77777777" w:rsidR="00EE60D6" w:rsidRPr="00C602A7" w:rsidRDefault="00EE60D6" w:rsidP="00EE60D6">
      <w:pPr>
        <w:rPr>
          <w:rFonts w:eastAsia="Times New Roman"/>
        </w:rPr>
      </w:pPr>
      <w:r w:rsidRPr="00C602A7">
        <w:rPr>
          <w:rFonts w:eastAsia="Times New Roman"/>
        </w:rPr>
        <w:t xml:space="preserve">Under the selected structural model, which we detail below, the fitted December 2024 polarization gap was 11.71 points larger than the fitted March 2022 gap with the 95% structure-conditional interval of [9.99, 13.42], p &lt; 0.001. Take this evidence with Sen slope, the two places the period increase at roughly 10 to 12 points on the 0 to 100 stance scale, a change of about 40% against the 28.2 point level of the first regime (March 2022 to September 2022). </w:t>
      </w:r>
      <w:r w:rsidRPr="00C602A7">
        <w:rPr>
          <w:rFonts w:eastAsia="Times New Roman"/>
          <w:highlight w:val="yellow"/>
        </w:rPr>
        <w:t xml:space="preserve">Figure </w:t>
      </w:r>
      <w:r>
        <w:rPr>
          <w:rFonts w:eastAsia="Times New Roman" w:hint="eastAsia"/>
          <w:highlight w:val="yellow"/>
        </w:rPr>
        <w:t>2</w:t>
      </w:r>
      <w:r w:rsidRPr="00C602A7">
        <w:rPr>
          <w:rFonts w:eastAsia="Times New Roman"/>
          <w:highlight w:val="yellow"/>
        </w:rPr>
        <w:t xml:space="preserve"> Panel A shows the exact temporal trajectory with the selected regime and shift. H1a is supported.</w:t>
      </w:r>
      <w:r w:rsidRPr="00C602A7">
        <w:rPr>
          <w:rFonts w:eastAsia="Times New Roman"/>
        </w:rPr>
        <w:t xml:space="preserve"> </w:t>
      </w:r>
    </w:p>
    <w:p w14:paraId="338F7F1F" w14:textId="77777777" w:rsidR="00EE60D6" w:rsidRPr="00C602A7" w:rsidRDefault="00EE60D6" w:rsidP="00EE60D6">
      <w:pPr>
        <w:keepNext/>
        <w:spacing w:before="320" w:line="240" w:lineRule="auto"/>
      </w:pPr>
      <w:r w:rsidRPr="00C602A7">
        <w:rPr>
          <w:rFonts w:eastAsia="Times New Roman"/>
          <w:b/>
          <w:bCs/>
        </w:rPr>
        <w:t xml:space="preserve">Figure </w:t>
      </w:r>
      <w:r>
        <w:rPr>
          <w:rFonts w:eastAsia="Times New Roman" w:hint="eastAsia"/>
          <w:b/>
          <w:bCs/>
        </w:rPr>
        <w:t>2</w:t>
      </w:r>
      <w:r w:rsidRPr="00C602A7">
        <w:t xml:space="preserve">: </w:t>
      </w:r>
      <w:r>
        <w:rPr>
          <w:rFonts w:eastAsia="Times New Roman" w:hint="eastAsia"/>
          <w:i/>
          <w:iCs/>
        </w:rPr>
        <w:t>Temporal Trajectory</w:t>
      </w:r>
      <w:r w:rsidRPr="00C602A7">
        <w:rPr>
          <w:rFonts w:eastAsia="Times New Roman"/>
          <w:i/>
          <w:iCs/>
        </w:rPr>
        <w:t xml:space="preserve"> of Polarization and the Party Brand Index</w:t>
      </w:r>
    </w:p>
    <w:p w14:paraId="230C8DCC" w14:textId="77777777" w:rsidR="00EE60D6" w:rsidRPr="00C602A7" w:rsidRDefault="00EE60D6" w:rsidP="00EE60D6">
      <w:pPr>
        <w:spacing w:line="240" w:lineRule="auto"/>
        <w:jc w:val="center"/>
      </w:pPr>
      <w:commentRangeStart w:id="5"/>
      <w:r w:rsidRPr="00C602A7">
        <w:rPr>
          <w:noProof/>
        </w:rPr>
        <w:drawing>
          <wp:inline distT="0" distB="0" distL="0" distR="0" wp14:anchorId="51A309D9" wp14:editId="76BDB487">
            <wp:extent cx="5942900" cy="3895595"/>
            <wp:effectExtent l="0" t="0" r="1270" b="3810"/>
            <wp:docPr id="2090121228" name="图片 209012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4876" b="8464"/>
                    <a:stretch>
                      <a:fillRect/>
                    </a:stretch>
                  </pic:blipFill>
                  <pic:spPr bwMode="auto">
                    <a:xfrm>
                      <a:off x="0" y="0"/>
                      <a:ext cx="5943600" cy="3896054"/>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Pr="00C602A7">
        <w:rPr>
          <w:rStyle w:val="af5"/>
          <w:sz w:val="22"/>
          <w:szCs w:val="22"/>
        </w:rPr>
        <w:commentReference w:id="5"/>
      </w:r>
    </w:p>
    <w:p w14:paraId="33A8942A" w14:textId="77777777" w:rsidR="00EE60D6" w:rsidRPr="00C602A7" w:rsidRDefault="00EE60D6" w:rsidP="00EE60D6">
      <w:pPr>
        <w:spacing w:before="160" w:after="240" w:line="240" w:lineRule="auto"/>
      </w:pPr>
      <w:r w:rsidRPr="00C602A7">
        <w:rPr>
          <w:rFonts w:eastAsia="Times New Roman"/>
          <w:i/>
          <w:iCs/>
        </w:rPr>
        <w:t xml:space="preserve">Note. </w:t>
      </w:r>
      <w:r w:rsidRPr="00C602A7">
        <w:rPr>
          <w:rFonts w:eastAsia="Times New Roman"/>
        </w:rPr>
        <w:t>Panel A shows General Ukraine Aid Stance polarization, discussed under RQ1. Panel B shows the Party Brand Index, discussed under RQ4. Bands are pointwise 95% article-cluster measurement intervals, and onset lines mark estimated new-regime starts.</w:t>
      </w:r>
    </w:p>
    <w:p w14:paraId="6548ECEB" w14:textId="77777777" w:rsidR="00EE60D6" w:rsidRPr="00C602A7" w:rsidRDefault="00EE60D6" w:rsidP="00EE60D6">
      <w:r w:rsidRPr="00C602A7">
        <w:rPr>
          <w:highlight w:val="yellow"/>
        </w:rPr>
        <w:t xml:space="preserve">Table </w:t>
      </w:r>
      <w:r>
        <w:rPr>
          <w:rFonts w:hint="eastAsia"/>
          <w:highlight w:val="yellow"/>
        </w:rPr>
        <w:t>6</w:t>
      </w:r>
      <w:r w:rsidRPr="00C602A7">
        <w:rPr>
          <w:highlight w:val="yellow"/>
        </w:rPr>
        <w:t xml:space="preserve"> reports the three descriptions fitted</w:t>
      </w:r>
      <w:r w:rsidRPr="00C602A7">
        <w:t xml:space="preserve">: a single gradual trend with no shifts, a set of constant levels separated by shifts at particular onset dates, and constant levels with a single gradual trend running through them. The shift-only model carried the lowest adjusted BIC at 218.41, against 228.23 by the trend-only model and 221.90 for shift-plus-trend model. The common slope in the third model was -0.019 points per month, 95% CI[-0.21, 0.18], </w:t>
      </w:r>
      <w:r w:rsidRPr="00C602A7">
        <w:rPr>
          <w:i/>
          <w:iCs/>
        </w:rPr>
        <w:t>p</w:t>
      </w:r>
      <w:r w:rsidRPr="00C602A7">
        <w:t xml:space="preserve"> = .85, so adding a trend to a model that already contains shi</w:t>
      </w:r>
      <w:r>
        <w:rPr>
          <w:rFonts w:hint="eastAsia"/>
        </w:rPr>
        <w:t>f</w:t>
      </w:r>
      <w:r w:rsidRPr="00C602A7">
        <w:t xml:space="preserve">ts contributed no additional structure. </w:t>
      </w:r>
    </w:p>
    <w:p w14:paraId="39B5CF29" w14:textId="77777777" w:rsidR="00EE60D6" w:rsidRPr="00C602A7" w:rsidRDefault="00EE60D6" w:rsidP="00EE60D6">
      <w:pPr>
        <w:rPr>
          <w:i/>
        </w:rPr>
      </w:pPr>
    </w:p>
    <w:p w14:paraId="0ED91EEE" w14:textId="77777777" w:rsidR="00EE60D6" w:rsidRPr="00C602A7" w:rsidRDefault="00EE60D6" w:rsidP="00EE60D6">
      <w:pPr>
        <w:rPr>
          <w:b/>
          <w:bCs/>
        </w:rPr>
      </w:pPr>
      <w:r w:rsidRPr="00C602A7">
        <w:rPr>
          <w:b/>
          <w:bCs/>
        </w:rPr>
        <w:t xml:space="preserve">Table </w:t>
      </w:r>
      <w:r>
        <w:rPr>
          <w:rFonts w:hint="eastAsia"/>
          <w:b/>
          <w:bCs/>
        </w:rPr>
        <w:t>6</w:t>
      </w:r>
      <w:r w:rsidRPr="00C602A7">
        <w:rPr>
          <w:b/>
          <w:bCs/>
        </w:rPr>
        <w:t xml:space="preserve">: </w:t>
      </w:r>
      <w:r w:rsidRPr="00C602A7">
        <w:rPr>
          <w:b/>
          <w:bCs/>
          <w:i/>
          <w:iCs/>
        </w:rPr>
        <w:t>Comparison of the Three Trajectory Models for Polarization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27"/>
        <w:gridCol w:w="784"/>
        <w:gridCol w:w="1191"/>
        <w:gridCol w:w="983"/>
        <w:gridCol w:w="775"/>
        <w:gridCol w:w="2900"/>
      </w:tblGrid>
      <w:tr w:rsidR="00EE60D6" w:rsidRPr="00C602A7" w14:paraId="2E8B2523" w14:textId="77777777" w:rsidTr="00831018">
        <w:trPr>
          <w:tblHeader/>
        </w:trPr>
        <w:tc>
          <w:tcPr>
            <w:tcW w:w="1457"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3A844B6E" w14:textId="77777777" w:rsidR="00EE60D6" w:rsidRPr="00C602A7" w:rsidRDefault="00EE60D6" w:rsidP="00831018">
            <w:pPr>
              <w:rPr>
                <w:b/>
                <w:bCs/>
              </w:rPr>
            </w:pPr>
            <w:r w:rsidRPr="00C602A7">
              <w:rPr>
                <w:b/>
                <w:bCs/>
              </w:rPr>
              <w:lastRenderedPageBreak/>
              <w:t>Model class</w:t>
            </w:r>
          </w:p>
        </w:tc>
        <w:tc>
          <w:tcPr>
            <w:tcW w:w="419"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004E92EE" w14:textId="77777777" w:rsidR="00EE60D6" w:rsidRPr="00C602A7" w:rsidRDefault="00EE60D6" w:rsidP="00831018">
            <w:pPr>
              <w:rPr>
                <w:b/>
                <w:bCs/>
              </w:rPr>
            </w:pPr>
            <w:r w:rsidRPr="00C602A7">
              <w:rPr>
                <w:b/>
                <w:bCs/>
              </w:rPr>
              <w:t>Shifts</w:t>
            </w:r>
          </w:p>
        </w:tc>
        <w:tc>
          <w:tcPr>
            <w:tcW w:w="636"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61677160" w14:textId="77777777" w:rsidR="00EE60D6" w:rsidRPr="00C602A7" w:rsidRDefault="00EE60D6" w:rsidP="00831018">
            <w:pPr>
              <w:rPr>
                <w:b/>
                <w:bCs/>
              </w:rPr>
            </w:pPr>
            <w:r w:rsidRPr="00C602A7">
              <w:rPr>
                <w:b/>
                <w:bCs/>
              </w:rPr>
              <w:t>AR order</w:t>
            </w:r>
          </w:p>
        </w:tc>
        <w:tc>
          <w:tcPr>
            <w:tcW w:w="525"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58756391" w14:textId="77777777" w:rsidR="00EE60D6" w:rsidRPr="00C602A7" w:rsidRDefault="00EE60D6" w:rsidP="00831018">
            <w:pPr>
              <w:rPr>
                <w:b/>
                <w:bCs/>
              </w:rPr>
            </w:pPr>
            <w:r w:rsidRPr="00C602A7">
              <w:rPr>
                <w:b/>
                <w:bCs/>
              </w:rPr>
              <w:t>BIC</w:t>
            </w:r>
          </w:p>
        </w:tc>
        <w:tc>
          <w:tcPr>
            <w:tcW w:w="414"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2A7984EC" w14:textId="77777777" w:rsidR="00EE60D6" w:rsidRPr="00C602A7" w:rsidRDefault="00EE60D6" w:rsidP="00831018">
            <w:pPr>
              <w:rPr>
                <w:b/>
                <w:bCs/>
              </w:rPr>
            </w:pPr>
            <w:r w:rsidRPr="00C602A7">
              <w:rPr>
                <w:b/>
                <w:bCs/>
              </w:rPr>
              <w:t>ΔBIC</w:t>
            </w:r>
          </w:p>
        </w:tc>
        <w:tc>
          <w:tcPr>
            <w:tcW w:w="1549"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12ED2402" w14:textId="77777777" w:rsidR="00EE60D6" w:rsidRPr="00C602A7" w:rsidRDefault="00EE60D6" w:rsidP="00831018">
            <w:pPr>
              <w:rPr>
                <w:b/>
                <w:bCs/>
              </w:rPr>
            </w:pPr>
            <w:r w:rsidRPr="00C602A7">
              <w:rPr>
                <w:b/>
                <w:bCs/>
              </w:rPr>
              <w:t>Estimated onset(s)</w:t>
            </w:r>
          </w:p>
        </w:tc>
      </w:tr>
      <w:tr w:rsidR="00EE60D6" w:rsidRPr="00C602A7" w14:paraId="486B8A5E" w14:textId="77777777" w:rsidTr="00831018">
        <w:tc>
          <w:tcPr>
            <w:tcW w:w="145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1C8356" w14:textId="77777777" w:rsidR="00EE60D6" w:rsidRPr="00C602A7" w:rsidRDefault="00EE60D6" w:rsidP="00831018">
            <w:r w:rsidRPr="00C602A7">
              <w:t>Trend only</w:t>
            </w:r>
          </w:p>
        </w:tc>
        <w:tc>
          <w:tcPr>
            <w:tcW w:w="41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E748FD" w14:textId="77777777" w:rsidR="00EE60D6" w:rsidRPr="00C602A7" w:rsidRDefault="00EE60D6" w:rsidP="00831018">
            <w:r w:rsidRPr="00C602A7">
              <w:t>0</w:t>
            </w:r>
          </w:p>
        </w:tc>
        <w:tc>
          <w:tcPr>
            <w:tcW w:w="636"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80E70" w14:textId="77777777" w:rsidR="00EE60D6" w:rsidRPr="00C602A7" w:rsidRDefault="00EE60D6" w:rsidP="00831018">
            <w:r w:rsidRPr="00C602A7">
              <w:t>AR(0)</w:t>
            </w:r>
          </w:p>
        </w:tc>
        <w:tc>
          <w:tcPr>
            <w:tcW w:w="525"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7EDA8B" w14:textId="77777777" w:rsidR="00EE60D6" w:rsidRPr="00C602A7" w:rsidRDefault="00EE60D6" w:rsidP="00831018">
            <w:r w:rsidRPr="00C602A7">
              <w:t>228.23</w:t>
            </w:r>
          </w:p>
        </w:tc>
        <w:tc>
          <w:tcPr>
            <w:tcW w:w="414"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92EA00" w14:textId="77777777" w:rsidR="00EE60D6" w:rsidRPr="00C602A7" w:rsidRDefault="00EE60D6" w:rsidP="00831018">
            <w:r w:rsidRPr="00C602A7">
              <w:t>9.82</w:t>
            </w:r>
          </w:p>
        </w:tc>
        <w:tc>
          <w:tcPr>
            <w:tcW w:w="154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27E43B" w14:textId="77777777" w:rsidR="00EE60D6" w:rsidRPr="00C602A7" w:rsidRDefault="00EE60D6" w:rsidP="00831018">
            <w:r w:rsidRPr="00C602A7">
              <w:t>None</w:t>
            </w:r>
          </w:p>
        </w:tc>
      </w:tr>
      <w:tr w:rsidR="00EE60D6" w:rsidRPr="00C602A7" w14:paraId="420CA4FF" w14:textId="77777777" w:rsidTr="00831018">
        <w:tc>
          <w:tcPr>
            <w:tcW w:w="145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A8174E" w14:textId="77777777" w:rsidR="00EE60D6" w:rsidRPr="00C602A7" w:rsidRDefault="00EE60D6" w:rsidP="00831018">
            <w:r w:rsidRPr="00C602A7">
              <w:t>Shifts only (</w:t>
            </w:r>
            <w:r w:rsidRPr="00C602A7">
              <w:rPr>
                <w:b/>
                <w:bCs/>
              </w:rPr>
              <w:t>selected</w:t>
            </w:r>
            <w:r w:rsidRPr="00C602A7">
              <w:t>)</w:t>
            </w:r>
          </w:p>
        </w:tc>
        <w:tc>
          <w:tcPr>
            <w:tcW w:w="41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92FF67" w14:textId="77777777" w:rsidR="00EE60D6" w:rsidRPr="00C602A7" w:rsidRDefault="00EE60D6" w:rsidP="00831018">
            <w:r w:rsidRPr="00C602A7">
              <w:t>3</w:t>
            </w:r>
          </w:p>
        </w:tc>
        <w:tc>
          <w:tcPr>
            <w:tcW w:w="636"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5CD3C1" w14:textId="77777777" w:rsidR="00EE60D6" w:rsidRPr="00C602A7" w:rsidRDefault="00EE60D6" w:rsidP="00831018">
            <w:r w:rsidRPr="00C602A7">
              <w:t>AR(2)</w:t>
            </w:r>
          </w:p>
        </w:tc>
        <w:tc>
          <w:tcPr>
            <w:tcW w:w="525"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347BF1" w14:textId="77777777" w:rsidR="00EE60D6" w:rsidRPr="00C602A7" w:rsidRDefault="00EE60D6" w:rsidP="00831018">
            <w:r w:rsidRPr="00C602A7">
              <w:t>218.41</w:t>
            </w:r>
          </w:p>
        </w:tc>
        <w:tc>
          <w:tcPr>
            <w:tcW w:w="414"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838472" w14:textId="77777777" w:rsidR="00EE60D6" w:rsidRPr="00C602A7" w:rsidRDefault="00EE60D6" w:rsidP="00831018">
            <w:r w:rsidRPr="00C602A7">
              <w:t>0.00</w:t>
            </w:r>
          </w:p>
        </w:tc>
        <w:tc>
          <w:tcPr>
            <w:tcW w:w="154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7CF695" w14:textId="77777777" w:rsidR="00EE60D6" w:rsidRPr="00C602A7" w:rsidRDefault="00EE60D6" w:rsidP="00831018">
            <w:r w:rsidRPr="00C602A7">
              <w:t>2022‑09, 2023‑04, 2023‑09</w:t>
            </w:r>
          </w:p>
        </w:tc>
      </w:tr>
      <w:tr w:rsidR="00EE60D6" w:rsidRPr="00C602A7" w14:paraId="4D40844E" w14:textId="77777777" w:rsidTr="00831018">
        <w:tc>
          <w:tcPr>
            <w:tcW w:w="1457"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A228F91" w14:textId="77777777" w:rsidR="00EE60D6" w:rsidRPr="00C602A7" w:rsidRDefault="00EE60D6" w:rsidP="00831018">
            <w:r w:rsidRPr="00C602A7">
              <w:t>Shifts plus common trend</w:t>
            </w:r>
          </w:p>
        </w:tc>
        <w:tc>
          <w:tcPr>
            <w:tcW w:w="419"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1AEAB214" w14:textId="77777777" w:rsidR="00EE60D6" w:rsidRPr="00C602A7" w:rsidRDefault="00EE60D6" w:rsidP="00831018">
            <w:r w:rsidRPr="00C602A7">
              <w:t>3</w:t>
            </w:r>
          </w:p>
        </w:tc>
        <w:tc>
          <w:tcPr>
            <w:tcW w:w="636"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38BE5B3E" w14:textId="77777777" w:rsidR="00EE60D6" w:rsidRPr="00C602A7" w:rsidRDefault="00EE60D6" w:rsidP="00831018">
            <w:r w:rsidRPr="00C602A7">
              <w:t>AR(2)</w:t>
            </w:r>
          </w:p>
        </w:tc>
        <w:tc>
          <w:tcPr>
            <w:tcW w:w="525"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9BF3947" w14:textId="77777777" w:rsidR="00EE60D6" w:rsidRPr="00C602A7" w:rsidRDefault="00EE60D6" w:rsidP="00831018">
            <w:r w:rsidRPr="00C602A7">
              <w:t>221.90</w:t>
            </w:r>
          </w:p>
        </w:tc>
        <w:tc>
          <w:tcPr>
            <w:tcW w:w="414"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38055E3E" w14:textId="77777777" w:rsidR="00EE60D6" w:rsidRPr="00C602A7" w:rsidRDefault="00EE60D6" w:rsidP="00831018">
            <w:r w:rsidRPr="00C602A7">
              <w:t>3.49</w:t>
            </w:r>
          </w:p>
        </w:tc>
        <w:tc>
          <w:tcPr>
            <w:tcW w:w="1549"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40FD3755" w14:textId="77777777" w:rsidR="00EE60D6" w:rsidRPr="00C602A7" w:rsidRDefault="00EE60D6" w:rsidP="00831018">
            <w:r w:rsidRPr="00C602A7">
              <w:t>2022‑09, 2023‑04, 2023‑09</w:t>
            </w:r>
          </w:p>
        </w:tc>
      </w:tr>
    </w:tbl>
    <w:p w14:paraId="3F2088AA" w14:textId="77777777" w:rsidR="00EE60D6" w:rsidRPr="00C602A7" w:rsidRDefault="00EE60D6" w:rsidP="00EE60D6">
      <w:pPr>
        <w:rPr>
          <w:i/>
          <w:iCs/>
        </w:rPr>
      </w:pPr>
    </w:p>
    <w:p w14:paraId="5E27C3EA" w14:textId="77777777" w:rsidR="00EE60D6" w:rsidRDefault="00EE60D6" w:rsidP="00EE60D6">
      <w:pPr>
        <w:rPr>
          <w:rFonts w:eastAsia="Times New Roman"/>
        </w:rPr>
      </w:pPr>
      <w:r>
        <w:rPr>
          <w:rFonts w:hint="eastAsia"/>
        </w:rPr>
        <w:t xml:space="preserve">The selected model placed onset of each regime to September 2022, April 2023, and September 2023. Its four regime level were 28.2, 37.3, 28.7, and 39.9 polarization points: the trajectory increased, fell back to its starting level, then rose again and sustained. Such pattern is what a single slope could average over and why shift model outperformed the rest. This structure also held under sensitivity tests. Minimum regime duration of 3, 4 and 5 months returned the same results. The 6-month duration retained three shifts and moved only the middle onset because April to March 2023 is a five-month regime. Nevertheless, the runner-up four-shift alternative was also competitive at </w:t>
      </w:r>
      <w:r w:rsidRPr="00C602A7">
        <w:rPr>
          <w:rFonts w:eastAsia="Times New Roman"/>
        </w:rPr>
        <w:t>ΔBIC = 1.2</w:t>
      </w:r>
      <w:r>
        <w:rPr>
          <w:rFonts w:eastAsia="Times New Roman" w:hint="eastAsia"/>
        </w:rPr>
        <w:t xml:space="preserve">5. </w:t>
      </w:r>
      <w:r>
        <w:rPr>
          <w:rFonts w:eastAsia="Times New Roman"/>
        </w:rPr>
        <w:t>Nonetheless</w:t>
      </w:r>
      <w:r>
        <w:rPr>
          <w:rFonts w:eastAsia="Times New Roman" w:hint="eastAsia"/>
        </w:rPr>
        <w:t xml:space="preserve">, the evidence suggests that the temporal trajectory of General Aid Stance polarization was punctuated rather than gradual. H1b is supported. </w:t>
      </w:r>
    </w:p>
    <w:p w14:paraId="3693BFE6" w14:textId="77777777" w:rsidR="00EE60D6" w:rsidRDefault="00EE60D6" w:rsidP="00EE60D6">
      <w:pPr>
        <w:pStyle w:val="2"/>
      </w:pPr>
      <w:r>
        <w:rPr>
          <w:rFonts w:hint="eastAsia"/>
        </w:rPr>
        <w:t>RQ2a</w:t>
      </w:r>
    </w:p>
    <w:p w14:paraId="5D35B6DD" w14:textId="77777777" w:rsidR="00EE60D6" w:rsidRDefault="00EE60D6" w:rsidP="00EE60D6">
      <w:r w:rsidRPr="00B0057B">
        <w:rPr>
          <w:rFonts w:hint="eastAsia"/>
          <w:highlight w:val="yellow"/>
        </w:rPr>
        <w:t xml:space="preserve">As shown in </w:t>
      </w:r>
      <w:r>
        <w:rPr>
          <w:rFonts w:hint="eastAsia"/>
          <w:highlight w:val="yellow"/>
        </w:rPr>
        <w:t>F</w:t>
      </w:r>
      <w:r w:rsidRPr="00B0057B">
        <w:rPr>
          <w:rFonts w:hint="eastAsia"/>
          <w:highlight w:val="yellow"/>
        </w:rPr>
        <w:t xml:space="preserve">igure </w:t>
      </w:r>
      <w:r>
        <w:rPr>
          <w:rFonts w:hint="eastAsia"/>
          <w:highlight w:val="yellow"/>
        </w:rPr>
        <w:t>3</w:t>
      </w:r>
      <w:r w:rsidRPr="00B0057B">
        <w:rPr>
          <w:rFonts w:hint="eastAsia"/>
          <w:highlight w:val="yellow"/>
        </w:rPr>
        <w:t>, b</w:t>
      </w:r>
      <w:r>
        <w:rPr>
          <w:rFonts w:hint="eastAsia"/>
        </w:rPr>
        <w:t>oth party</w:t>
      </w:r>
      <w:r>
        <w:t>’</w:t>
      </w:r>
      <w:r>
        <w:rPr>
          <w:rFonts w:hint="eastAsia"/>
        </w:rPr>
        <w:t xml:space="preserve">s stance </w:t>
      </w:r>
      <w:r>
        <w:t>has</w:t>
      </w:r>
      <w:r>
        <w:rPr>
          <w:rFonts w:hint="eastAsia"/>
        </w:rPr>
        <w:t xml:space="preserve"> moved toward opposition, though the Republican have moved further. The Republican</w:t>
      </w:r>
      <w:r>
        <w:t>’</w:t>
      </w:r>
      <w:r>
        <w:rPr>
          <w:rFonts w:hint="eastAsia"/>
        </w:rPr>
        <w:t xml:space="preserve">s marginal Sen slope was 0.42 General Aid Stance points per month (95% CI [0.23, 0.67], </w:t>
      </w:r>
      <w:r w:rsidRPr="00B84622">
        <w:rPr>
          <w:rFonts w:hint="eastAsia"/>
          <w:i/>
          <w:iCs/>
        </w:rPr>
        <w:t>p</w:t>
      </w:r>
      <w:r>
        <w:rPr>
          <w:rFonts w:hint="eastAsia"/>
        </w:rPr>
        <w:t xml:space="preserve"> &lt; .001), and the Democratic slope was 0.17 points per month (95% CI[0.065, 0.28], p = .015). However, to decisively compare the movement between the two, we held both parties to the same 561 month pairs. The median of the paired Republican-and-Democratic slope difference was 0.29 per month (95% CI[0.061, 0.59], </w:t>
      </w:r>
      <w:r w:rsidRPr="00CA38F2">
        <w:rPr>
          <w:rFonts w:hint="eastAsia"/>
          <w:i/>
          <w:iCs/>
        </w:rPr>
        <w:t>p</w:t>
      </w:r>
      <w:r>
        <w:rPr>
          <w:rFonts w:hint="eastAsia"/>
        </w:rPr>
        <w:t xml:space="preserve"> = 0.006). As stated in Method, this estimate is identical to the polarization Sen slope, but it does establish the fact that Republican, as reflected by news, moved further than Democrats. Therefore, H2a is supported. </w:t>
      </w:r>
    </w:p>
    <w:p w14:paraId="70B53418" w14:textId="77777777" w:rsidR="00EE60D6" w:rsidRDefault="00EE60D6" w:rsidP="00EE60D6"/>
    <w:p w14:paraId="729C6790" w14:textId="77777777" w:rsidR="00EE60D6" w:rsidRPr="00AC2347" w:rsidRDefault="00EE60D6" w:rsidP="00EE60D6">
      <w:pPr>
        <w:rPr>
          <w:b/>
          <w:bCs/>
        </w:rPr>
      </w:pPr>
      <w:r w:rsidRPr="00AC2347">
        <w:rPr>
          <w:b/>
          <w:bCs/>
        </w:rPr>
        <w:t xml:space="preserve">Figure </w:t>
      </w:r>
      <w:r>
        <w:rPr>
          <w:rFonts w:hint="eastAsia"/>
          <w:b/>
          <w:bCs/>
        </w:rPr>
        <w:t>3</w:t>
      </w:r>
      <w:r w:rsidRPr="00AC2347">
        <w:rPr>
          <w:rFonts w:hint="eastAsia"/>
          <w:b/>
          <w:bCs/>
        </w:rPr>
        <w:t xml:space="preserve">: </w:t>
      </w:r>
      <w:r w:rsidRPr="00AC2347">
        <w:rPr>
          <w:b/>
          <w:bCs/>
          <w:i/>
          <w:iCs/>
        </w:rPr>
        <w:t>Party Stance Trajectories and Direct Paired Change</w:t>
      </w:r>
    </w:p>
    <w:p w14:paraId="753E0043" w14:textId="77777777" w:rsidR="00EE60D6" w:rsidRPr="00CF67CB" w:rsidRDefault="00EE60D6" w:rsidP="00EE60D6">
      <w:r w:rsidRPr="00CF67CB">
        <w:rPr>
          <w:noProof/>
        </w:rPr>
        <w:lastRenderedPageBreak/>
        <w:drawing>
          <wp:inline distT="0" distB="0" distL="0" distR="0" wp14:anchorId="66C3920E" wp14:editId="77C71C64">
            <wp:extent cx="5943459" cy="3293082"/>
            <wp:effectExtent l="0" t="0" r="635" b="0"/>
            <wp:docPr id="1958009467" name="图片 195800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5231" b="8118"/>
                    <a:stretch>
                      <a:fillRect/>
                    </a:stretch>
                  </pic:blipFill>
                  <pic:spPr bwMode="auto">
                    <a:xfrm>
                      <a:off x="0" y="0"/>
                      <a:ext cx="5943600" cy="3293160"/>
                    </a:xfrm>
                    <a:prstGeom prst="rect">
                      <a:avLst/>
                    </a:prstGeom>
                    <a:ln>
                      <a:noFill/>
                    </a:ln>
                    <a:extLst>
                      <a:ext uri="{53640926-AAD7-44D8-BBD7-CCE9431645EC}">
                        <a14:shadowObscured xmlns:a14="http://schemas.microsoft.com/office/drawing/2010/main"/>
                      </a:ext>
                    </a:extLst>
                  </pic:spPr>
                </pic:pic>
              </a:graphicData>
            </a:graphic>
          </wp:inline>
        </w:drawing>
      </w:r>
    </w:p>
    <w:p w14:paraId="669CFB68" w14:textId="77777777" w:rsidR="00EE60D6" w:rsidRPr="00AC2347" w:rsidRDefault="00EE60D6" w:rsidP="00EE60D6">
      <w:r w:rsidRPr="00CF67CB">
        <w:rPr>
          <w:i/>
          <w:iCs/>
        </w:rPr>
        <w:t xml:space="preserve">Note. </w:t>
      </w:r>
      <w:r w:rsidRPr="00CF67CB">
        <w:t>Panel A shows monthly General Ukraine Aid Stance for each party. Panel B shows the two marginal Sen slopes and the direct paired contrast. Bands are pointwise 95% article-cluster measurement intervals; forest intervals are 95% Sen rank intervals.</w:t>
      </w:r>
    </w:p>
    <w:p w14:paraId="2F65A25E" w14:textId="77777777" w:rsidR="00EE60D6" w:rsidRDefault="00EE60D6" w:rsidP="00EE60D6">
      <w:pPr>
        <w:pStyle w:val="2"/>
      </w:pPr>
      <w:r>
        <w:rPr>
          <w:rFonts w:hint="eastAsia"/>
        </w:rPr>
        <w:t>RQ2b</w:t>
      </w:r>
    </w:p>
    <w:p w14:paraId="6912C4F7" w14:textId="77777777" w:rsidR="00EE60D6" w:rsidRPr="00CF67CB" w:rsidRDefault="00EE60D6" w:rsidP="00EE60D6">
      <w:r>
        <w:rPr>
          <w:rFonts w:hint="eastAsia"/>
        </w:rPr>
        <w:t>The three explanatory dimensions together accounted for 29.4% of the variation in General Ukraine Aid Stance polarization. Resource Allocation supplied the greatest contribution at 0.18, which is 61.2% of the mo</w:t>
      </w:r>
      <w:r w:rsidRPr="00F91536">
        <w:t xml:space="preserve">del R², </w:t>
      </w:r>
      <w:r>
        <w:rPr>
          <w:rFonts w:hint="eastAsia"/>
        </w:rPr>
        <w:t xml:space="preserve">followed by Ukraine Characterization at 24.3%, and Threat Priority at 14.4%. </w:t>
      </w:r>
      <w:r w:rsidRPr="007F3D16">
        <w:rPr>
          <w:rFonts w:hint="eastAsia"/>
          <w:highlight w:val="yellow"/>
        </w:rPr>
        <w:t xml:space="preserve">Table </w:t>
      </w:r>
      <w:r>
        <w:rPr>
          <w:rFonts w:hint="eastAsia"/>
          <w:highlight w:val="yellow"/>
        </w:rPr>
        <w:t>7</w:t>
      </w:r>
      <w:r w:rsidRPr="007F3D16">
        <w:rPr>
          <w:rFonts w:hint="eastAsia"/>
          <w:highlight w:val="yellow"/>
        </w:rPr>
        <w:t xml:space="preserve"> reports the full decomposition.</w:t>
      </w:r>
      <w:r>
        <w:rPr>
          <w:rFonts w:hint="eastAsia"/>
        </w:rPr>
        <w:t xml:space="preserve"> The Resource-Allocation-and-Ukraine-Characterization contrast was 0.11 (95% CI[-0.27, 0.48]), and the Resource-Allocation-and-Threat-Priority contrast was 0.14 (95% CI[-0.24, 0.51]). Both interval included zero. Additionally, Resource Allocation ranked first in 50.5% of the stationary bootstrap draws, which is close to random across replicates. Therefore, while Resource Allocation did came on top as theory would suggest, H2b is not supported. </w:t>
      </w:r>
    </w:p>
    <w:p w14:paraId="101B2940" w14:textId="77777777" w:rsidR="00EE60D6" w:rsidRDefault="00EE60D6" w:rsidP="00EE60D6"/>
    <w:p w14:paraId="7D0A36D7" w14:textId="77777777" w:rsidR="00EE60D6" w:rsidRPr="00CF67CB" w:rsidRDefault="00EE60D6" w:rsidP="00EE60D6">
      <w:r w:rsidRPr="00CF67CB">
        <w:rPr>
          <w:b/>
          <w:bCs/>
        </w:rPr>
        <w:t xml:space="preserve">Table </w:t>
      </w:r>
      <w:r>
        <w:rPr>
          <w:rFonts w:hint="eastAsia"/>
          <w:b/>
          <w:bCs/>
        </w:rPr>
        <w:t>7</w:t>
      </w:r>
      <w:r>
        <w:rPr>
          <w:rFonts w:hint="eastAsia"/>
        </w:rPr>
        <w:t xml:space="preserve">: </w:t>
      </w:r>
      <w:r w:rsidRPr="00E85746">
        <w:rPr>
          <w:i/>
          <w:iCs/>
        </w:rPr>
        <w:t>Descriptive General-Dominance Decomposition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73"/>
        <w:gridCol w:w="3052"/>
        <w:gridCol w:w="991"/>
        <w:gridCol w:w="1237"/>
        <w:gridCol w:w="2007"/>
      </w:tblGrid>
      <w:tr w:rsidR="00EE60D6" w:rsidRPr="00CF67CB" w14:paraId="5F8EF773" w14:textId="77777777" w:rsidTr="00831018">
        <w:trPr>
          <w:tblHeader/>
        </w:trPr>
        <w:tc>
          <w:tcPr>
            <w:tcW w:w="1107"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0BE6D7F6" w14:textId="77777777" w:rsidR="00EE60D6" w:rsidRPr="00CF67CB" w:rsidRDefault="00EE60D6" w:rsidP="00831018">
            <w:r w:rsidRPr="00CF67CB">
              <w:rPr>
                <w:b/>
                <w:bCs/>
              </w:rPr>
              <w:t>Row role</w:t>
            </w:r>
          </w:p>
        </w:tc>
        <w:tc>
          <w:tcPr>
            <w:tcW w:w="1630"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31F7A39A" w14:textId="77777777" w:rsidR="00EE60D6" w:rsidRPr="00CF67CB" w:rsidRDefault="00EE60D6" w:rsidP="00831018">
            <w:r w:rsidRPr="00CF67CB">
              <w:rPr>
                <w:b/>
                <w:bCs/>
              </w:rPr>
              <w:t>Construct or contrast</w:t>
            </w:r>
          </w:p>
        </w:tc>
        <w:tc>
          <w:tcPr>
            <w:tcW w:w="529"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044C1D5F" w14:textId="77777777" w:rsidR="00EE60D6" w:rsidRPr="00CF67CB" w:rsidRDefault="00EE60D6" w:rsidP="00831018">
            <w:r w:rsidRPr="00CF67CB">
              <w:rPr>
                <w:b/>
                <w:bCs/>
              </w:rPr>
              <w:t>Estimate</w:t>
            </w:r>
          </w:p>
        </w:tc>
        <w:tc>
          <w:tcPr>
            <w:tcW w:w="661"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770F717E" w14:textId="77777777" w:rsidR="00EE60D6" w:rsidRPr="00CF67CB" w:rsidRDefault="00EE60D6" w:rsidP="00831018">
            <w:r w:rsidRPr="00CF67CB">
              <w:rPr>
                <w:b/>
                <w:bCs/>
              </w:rPr>
              <w:t>Share of model R²</w:t>
            </w:r>
          </w:p>
        </w:tc>
        <w:tc>
          <w:tcPr>
            <w:tcW w:w="1072" w:type="pct"/>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tcPr>
          <w:p w14:paraId="2681E084" w14:textId="77777777" w:rsidR="00EE60D6" w:rsidRPr="00CF67CB" w:rsidRDefault="00EE60D6" w:rsidP="00831018">
            <w:r w:rsidRPr="00CF67CB">
              <w:rPr>
                <w:b/>
                <w:bCs/>
              </w:rPr>
              <w:t>Simultaneous 95% interval</w:t>
            </w:r>
          </w:p>
        </w:tc>
      </w:tr>
      <w:tr w:rsidR="00EE60D6" w:rsidRPr="00CF67CB" w14:paraId="0B868FC2" w14:textId="77777777" w:rsidTr="00831018">
        <w:tc>
          <w:tcPr>
            <w:tcW w:w="110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B7EC45" w14:textId="77777777" w:rsidR="00EE60D6" w:rsidRPr="00CF67CB" w:rsidRDefault="00EE60D6" w:rsidP="00831018">
            <w:r w:rsidRPr="00CF67CB">
              <w:t>Observed contribution</w:t>
            </w:r>
          </w:p>
        </w:tc>
        <w:tc>
          <w:tcPr>
            <w:tcW w:w="1630"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EFBF59" w14:textId="77777777" w:rsidR="00EE60D6" w:rsidRPr="00CF67CB" w:rsidRDefault="00EE60D6" w:rsidP="00831018">
            <w:r w:rsidRPr="00CF67CB">
              <w:t>Resource Allocation</w:t>
            </w:r>
          </w:p>
        </w:tc>
        <w:tc>
          <w:tcPr>
            <w:tcW w:w="52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8CA096" w14:textId="77777777" w:rsidR="00EE60D6" w:rsidRPr="00CF67CB" w:rsidRDefault="00EE60D6" w:rsidP="00831018">
            <w:r w:rsidRPr="00CF67CB">
              <w:t>0.180</w:t>
            </w:r>
          </w:p>
        </w:tc>
        <w:tc>
          <w:tcPr>
            <w:tcW w:w="661"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F95982" w14:textId="77777777" w:rsidR="00EE60D6" w:rsidRPr="00CF67CB" w:rsidRDefault="00EE60D6" w:rsidP="00831018">
            <w:r w:rsidRPr="00CF67CB">
              <w:t>61.2%</w:t>
            </w:r>
          </w:p>
        </w:tc>
        <w:tc>
          <w:tcPr>
            <w:tcW w:w="1072"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EBA0DA" w14:textId="77777777" w:rsidR="00EE60D6" w:rsidRPr="00CF67CB" w:rsidRDefault="00EE60D6" w:rsidP="00831018">
            <w:r w:rsidRPr="00CF67CB">
              <w:t>—</w:t>
            </w:r>
          </w:p>
        </w:tc>
      </w:tr>
      <w:tr w:rsidR="00EE60D6" w:rsidRPr="00CF67CB" w14:paraId="10B84A43" w14:textId="77777777" w:rsidTr="00831018">
        <w:tc>
          <w:tcPr>
            <w:tcW w:w="110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45C0AC" w14:textId="77777777" w:rsidR="00EE60D6" w:rsidRPr="00CF67CB" w:rsidRDefault="00EE60D6" w:rsidP="00831018">
            <w:r w:rsidRPr="00CF67CB">
              <w:t>Observed contribution</w:t>
            </w:r>
          </w:p>
        </w:tc>
        <w:tc>
          <w:tcPr>
            <w:tcW w:w="1630"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FD4CFE" w14:textId="77777777" w:rsidR="00EE60D6" w:rsidRPr="00CF67CB" w:rsidRDefault="00EE60D6" w:rsidP="00831018">
            <w:r w:rsidRPr="00CF67CB">
              <w:t>Ukraine Characterization</w:t>
            </w:r>
          </w:p>
        </w:tc>
        <w:tc>
          <w:tcPr>
            <w:tcW w:w="52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7F8332" w14:textId="77777777" w:rsidR="00EE60D6" w:rsidRPr="00CF67CB" w:rsidRDefault="00EE60D6" w:rsidP="00831018">
            <w:r w:rsidRPr="00CF67CB">
              <w:t>0.072</w:t>
            </w:r>
          </w:p>
        </w:tc>
        <w:tc>
          <w:tcPr>
            <w:tcW w:w="661"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D8BD40" w14:textId="77777777" w:rsidR="00EE60D6" w:rsidRPr="00CF67CB" w:rsidRDefault="00EE60D6" w:rsidP="00831018">
            <w:r w:rsidRPr="00CF67CB">
              <w:t>24.3%</w:t>
            </w:r>
          </w:p>
        </w:tc>
        <w:tc>
          <w:tcPr>
            <w:tcW w:w="1072"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E120E9" w14:textId="77777777" w:rsidR="00EE60D6" w:rsidRPr="00CF67CB" w:rsidRDefault="00EE60D6" w:rsidP="00831018">
            <w:r w:rsidRPr="00CF67CB">
              <w:t>—</w:t>
            </w:r>
          </w:p>
        </w:tc>
      </w:tr>
      <w:tr w:rsidR="00EE60D6" w:rsidRPr="00CF67CB" w14:paraId="5D86E24B" w14:textId="77777777" w:rsidTr="00831018">
        <w:tc>
          <w:tcPr>
            <w:tcW w:w="110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05A7FD" w14:textId="77777777" w:rsidR="00EE60D6" w:rsidRPr="00CF67CB" w:rsidRDefault="00EE60D6" w:rsidP="00831018">
            <w:r w:rsidRPr="00CF67CB">
              <w:t>Observed contribution</w:t>
            </w:r>
          </w:p>
        </w:tc>
        <w:tc>
          <w:tcPr>
            <w:tcW w:w="1630"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0A3880" w14:textId="77777777" w:rsidR="00EE60D6" w:rsidRPr="00CF67CB" w:rsidRDefault="00EE60D6" w:rsidP="00831018">
            <w:r>
              <w:t>Threat Priority</w:t>
            </w:r>
          </w:p>
        </w:tc>
        <w:tc>
          <w:tcPr>
            <w:tcW w:w="52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266B0D" w14:textId="77777777" w:rsidR="00EE60D6" w:rsidRPr="00CF67CB" w:rsidRDefault="00EE60D6" w:rsidP="00831018">
            <w:r w:rsidRPr="00CF67CB">
              <w:t>0.042</w:t>
            </w:r>
          </w:p>
        </w:tc>
        <w:tc>
          <w:tcPr>
            <w:tcW w:w="661"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E5C8C8" w14:textId="77777777" w:rsidR="00EE60D6" w:rsidRPr="00CF67CB" w:rsidRDefault="00EE60D6" w:rsidP="00831018">
            <w:r w:rsidRPr="00CF67CB">
              <w:t>14.4%</w:t>
            </w:r>
          </w:p>
        </w:tc>
        <w:tc>
          <w:tcPr>
            <w:tcW w:w="1072"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54928D" w14:textId="77777777" w:rsidR="00EE60D6" w:rsidRPr="00CF67CB" w:rsidRDefault="00EE60D6" w:rsidP="00831018">
            <w:r w:rsidRPr="00CF67CB">
              <w:t>—</w:t>
            </w:r>
          </w:p>
        </w:tc>
      </w:tr>
      <w:tr w:rsidR="00EE60D6" w:rsidRPr="00CF67CB" w14:paraId="4DD33F24" w14:textId="77777777" w:rsidTr="00831018">
        <w:tc>
          <w:tcPr>
            <w:tcW w:w="1107"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A4447F" w14:textId="77777777" w:rsidR="00EE60D6" w:rsidRPr="00CF67CB" w:rsidRDefault="00EE60D6" w:rsidP="00831018">
            <w:r w:rsidRPr="00CF67CB">
              <w:lastRenderedPageBreak/>
              <w:t>Dependence-preserving contrast</w:t>
            </w:r>
          </w:p>
        </w:tc>
        <w:tc>
          <w:tcPr>
            <w:tcW w:w="1630"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E4692C" w14:textId="77777777" w:rsidR="00EE60D6" w:rsidRPr="00CF67CB" w:rsidRDefault="00EE60D6" w:rsidP="00831018">
            <w:r w:rsidRPr="00CF67CB">
              <w:t xml:space="preserve">Resource Allocation </w:t>
            </w:r>
            <w:r w:rsidRPr="00F91536">
              <w:rPr>
                <w:i/>
                <w:iCs/>
              </w:rPr>
              <w:t>minus</w:t>
            </w:r>
            <w:r w:rsidRPr="00CF67CB">
              <w:t xml:space="preserve"> Ukraine Characterization</w:t>
            </w:r>
          </w:p>
        </w:tc>
        <w:tc>
          <w:tcPr>
            <w:tcW w:w="529"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A376D5" w14:textId="77777777" w:rsidR="00EE60D6" w:rsidRPr="00CF67CB" w:rsidRDefault="00EE60D6" w:rsidP="00831018">
            <w:r w:rsidRPr="00CF67CB">
              <w:t>0.109</w:t>
            </w:r>
          </w:p>
        </w:tc>
        <w:tc>
          <w:tcPr>
            <w:tcW w:w="661"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12858B" w14:textId="77777777" w:rsidR="00EE60D6" w:rsidRPr="00CF67CB" w:rsidRDefault="00EE60D6" w:rsidP="00831018">
            <w:r w:rsidRPr="00CF67CB">
              <w:t>—</w:t>
            </w:r>
          </w:p>
        </w:tc>
        <w:tc>
          <w:tcPr>
            <w:tcW w:w="1072" w:type="pct"/>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9A203A" w14:textId="77777777" w:rsidR="00EE60D6" w:rsidRPr="00CF67CB" w:rsidRDefault="00EE60D6" w:rsidP="00831018">
            <w:r w:rsidRPr="00CF67CB">
              <w:t>[-0.265, 0.482]</w:t>
            </w:r>
          </w:p>
        </w:tc>
      </w:tr>
      <w:tr w:rsidR="00EE60D6" w:rsidRPr="00CF67CB" w14:paraId="1F3F32B5" w14:textId="77777777" w:rsidTr="00831018">
        <w:tc>
          <w:tcPr>
            <w:tcW w:w="1107"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3C2A1B66" w14:textId="77777777" w:rsidR="00EE60D6" w:rsidRPr="00CF67CB" w:rsidRDefault="00EE60D6" w:rsidP="00831018">
            <w:r w:rsidRPr="00CF67CB">
              <w:t>Dependence-preserving contrast</w:t>
            </w:r>
          </w:p>
        </w:tc>
        <w:tc>
          <w:tcPr>
            <w:tcW w:w="1630"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3669F14C" w14:textId="77777777" w:rsidR="00EE60D6" w:rsidRPr="00CF67CB" w:rsidRDefault="00EE60D6" w:rsidP="00831018">
            <w:r w:rsidRPr="00CF67CB">
              <w:t xml:space="preserve">Resource Allocation </w:t>
            </w:r>
            <w:r w:rsidRPr="00F91536">
              <w:rPr>
                <w:i/>
                <w:iCs/>
              </w:rPr>
              <w:t>minus</w:t>
            </w:r>
            <w:r w:rsidRPr="00CF67CB">
              <w:t xml:space="preserve"> </w:t>
            </w:r>
            <w:r>
              <w:t>Threat Priority</w:t>
            </w:r>
          </w:p>
        </w:tc>
        <w:tc>
          <w:tcPr>
            <w:tcW w:w="529"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195AB0E7" w14:textId="77777777" w:rsidR="00EE60D6" w:rsidRPr="00CF67CB" w:rsidRDefault="00EE60D6" w:rsidP="00831018">
            <w:r w:rsidRPr="00CF67CB">
              <w:t>0.138</w:t>
            </w:r>
          </w:p>
        </w:tc>
        <w:tc>
          <w:tcPr>
            <w:tcW w:w="661"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47413B8D" w14:textId="77777777" w:rsidR="00EE60D6" w:rsidRPr="00CF67CB" w:rsidRDefault="00EE60D6" w:rsidP="00831018">
            <w:r w:rsidRPr="00CF67CB">
              <w:t>—</w:t>
            </w:r>
          </w:p>
        </w:tc>
        <w:tc>
          <w:tcPr>
            <w:tcW w:w="1072" w:type="pct"/>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2C965B74" w14:textId="77777777" w:rsidR="00EE60D6" w:rsidRPr="00CF67CB" w:rsidRDefault="00EE60D6" w:rsidP="00831018">
            <w:r w:rsidRPr="00CF67CB">
              <w:t>[-0.235, 0.511]</w:t>
            </w:r>
          </w:p>
        </w:tc>
      </w:tr>
    </w:tbl>
    <w:p w14:paraId="5688FAC2" w14:textId="77777777" w:rsidR="00EE60D6" w:rsidRDefault="00EE60D6" w:rsidP="00EE60D6">
      <w:r w:rsidRPr="00E85746">
        <w:rPr>
          <w:i/>
          <w:iCs/>
        </w:rPr>
        <w:t xml:space="preserve">Note. </w:t>
      </w:r>
      <w:r w:rsidRPr="00CF67CB">
        <w:t xml:space="preserve">Resource Allocation accounted for 61.2% of complete-model R² and ranked first in 50.5% of dependence-preserving replicates. Both simultaneous pairwise intervals included zero. The model decomposes contemporaneous alignment within month. </w:t>
      </w:r>
      <w:r>
        <w:t>Threat Priority</w:t>
      </w:r>
      <w:r w:rsidRPr="00CF67CB">
        <w:t xml:space="preserve"> numeric coverage was 9.8%.</w:t>
      </w:r>
    </w:p>
    <w:p w14:paraId="6008B65F" w14:textId="77777777" w:rsidR="00EE60D6" w:rsidRDefault="00EE60D6" w:rsidP="00EE60D6">
      <w:pPr>
        <w:pStyle w:val="2"/>
      </w:pPr>
      <w:r>
        <w:rPr>
          <w:rFonts w:hint="eastAsia"/>
        </w:rPr>
        <w:t>RQ3</w:t>
      </w:r>
    </w:p>
    <w:p w14:paraId="494948CE" w14:textId="77777777" w:rsidR="00EE60D6" w:rsidRDefault="00EE60D6" w:rsidP="00EE60D6">
      <w:r>
        <w:rPr>
          <w:rFonts w:hint="eastAsia"/>
        </w:rPr>
        <w:t>Neither party</w:t>
      </w:r>
      <w:r>
        <w:t>’</w:t>
      </w:r>
      <w:r>
        <w:rPr>
          <w:rFonts w:hint="eastAsia"/>
        </w:rPr>
        <w:t xml:space="preserve">s General Aid Stance polarization showed significant relationship with within-party coherence. We selected the model with lowest BIC of 498.58 that contained independently monthly errors, over the alternative with AR(1) and BIC of 500.92. This choice was held fixed across measurement panels. Since a lower IQR indicates greater within-party coherence, greater coherence with higher polarization </w:t>
      </w:r>
      <w:r>
        <w:t>would</w:t>
      </w:r>
      <w:r>
        <w:rPr>
          <w:rFonts w:hint="eastAsia"/>
        </w:rPr>
        <w:t xml:space="preserve"> appear as a negative coefficient. </w:t>
      </w:r>
      <w:r w:rsidRPr="008C6CC3">
        <w:rPr>
          <w:rFonts w:hint="eastAsia"/>
          <w:highlight w:val="yellow"/>
        </w:rPr>
        <w:t xml:space="preserve">Table </w:t>
      </w:r>
      <w:r>
        <w:rPr>
          <w:rFonts w:hint="eastAsia"/>
          <w:highlight w:val="yellow"/>
        </w:rPr>
        <w:t>8</w:t>
      </w:r>
      <w:r w:rsidRPr="008C6CC3">
        <w:rPr>
          <w:rFonts w:hint="eastAsia"/>
          <w:highlight w:val="yellow"/>
        </w:rPr>
        <w:t xml:space="preserve"> reports the coefficient for centered polarization and centered time, split by party.</w:t>
      </w:r>
      <w:r>
        <w:rPr>
          <w:rFonts w:hint="eastAsia"/>
        </w:rPr>
        <w:t xml:space="preserve"> </w:t>
      </w:r>
    </w:p>
    <w:p w14:paraId="1B7AEF10" w14:textId="77777777" w:rsidR="00EE60D6" w:rsidRDefault="00EE60D6" w:rsidP="00EE60D6"/>
    <w:p w14:paraId="563205B0" w14:textId="77777777" w:rsidR="00EE60D6" w:rsidRPr="0045510A" w:rsidRDefault="00EE60D6" w:rsidP="00EE60D6">
      <w:pPr>
        <w:pStyle w:val="3"/>
        <w:rPr>
          <w:rFonts w:eastAsia="宋体"/>
          <w:b/>
          <w:bCs/>
          <w:sz w:val="27"/>
          <w:szCs w:val="27"/>
        </w:rPr>
      </w:pPr>
      <w:r w:rsidRPr="00FE6339">
        <w:rPr>
          <w:b/>
          <w:bCs/>
          <w:i w:val="0"/>
          <w:iCs w:val="0"/>
        </w:rPr>
        <w:t xml:space="preserve">Table </w:t>
      </w:r>
      <w:r w:rsidRPr="00FE6339">
        <w:rPr>
          <w:rFonts w:hint="eastAsia"/>
          <w:b/>
          <w:bCs/>
          <w:i w:val="0"/>
          <w:iCs w:val="0"/>
        </w:rPr>
        <w:t>8</w:t>
      </w:r>
      <w:r w:rsidRPr="00FE6339">
        <w:rPr>
          <w:b/>
          <w:bCs/>
          <w:i w:val="0"/>
          <w:iCs w:val="0"/>
        </w:rPr>
        <w:t xml:space="preserve">: </w:t>
      </w:r>
      <w:r w:rsidRPr="0045510A">
        <w:rPr>
          <w:b/>
          <w:bCs/>
        </w:rPr>
        <w:t>Model of Within-Party Coherence</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2016"/>
        <w:gridCol w:w="1132"/>
        <w:gridCol w:w="1181"/>
        <w:gridCol w:w="1352"/>
        <w:gridCol w:w="626"/>
        <w:gridCol w:w="1949"/>
      </w:tblGrid>
      <w:tr w:rsidR="00EE60D6" w14:paraId="0FD38652" w14:textId="77777777" w:rsidTr="00831018">
        <w:trPr>
          <w:tblHeader/>
          <w:tblCellSpacing w:w="15" w:type="dxa"/>
        </w:trPr>
        <w:tc>
          <w:tcPr>
            <w:tcW w:w="566" w:type="pct"/>
            <w:tcBorders>
              <w:top w:val="nil"/>
              <w:bottom w:val="single" w:sz="4" w:space="0" w:color="auto"/>
            </w:tcBorders>
            <w:vAlign w:val="center"/>
            <w:hideMark/>
          </w:tcPr>
          <w:p w14:paraId="581118B6" w14:textId="77777777" w:rsidR="00EE60D6" w:rsidRPr="0045510A" w:rsidRDefault="00EE60D6" w:rsidP="00831018">
            <w:pPr>
              <w:spacing w:line="240" w:lineRule="auto"/>
              <w:rPr>
                <w:b/>
                <w:bCs/>
              </w:rPr>
            </w:pPr>
            <w:r w:rsidRPr="0045510A">
              <w:rPr>
                <w:b/>
                <w:bCs/>
              </w:rPr>
              <w:t>Party</w:t>
            </w:r>
          </w:p>
        </w:tc>
        <w:tc>
          <w:tcPr>
            <w:tcW w:w="1061" w:type="pct"/>
            <w:tcBorders>
              <w:top w:val="nil"/>
              <w:bottom w:val="single" w:sz="4" w:space="0" w:color="auto"/>
            </w:tcBorders>
            <w:vAlign w:val="center"/>
            <w:hideMark/>
          </w:tcPr>
          <w:p w14:paraId="22EDEDEA" w14:textId="77777777" w:rsidR="00EE60D6" w:rsidRPr="0045510A" w:rsidRDefault="00EE60D6" w:rsidP="00831018">
            <w:pPr>
              <w:spacing w:line="240" w:lineRule="auto"/>
              <w:rPr>
                <w:b/>
                <w:bCs/>
              </w:rPr>
            </w:pPr>
            <w:r w:rsidRPr="0045510A">
              <w:rPr>
                <w:b/>
                <w:bCs/>
              </w:rPr>
              <w:t>Term</w:t>
            </w:r>
          </w:p>
        </w:tc>
        <w:tc>
          <w:tcPr>
            <w:tcW w:w="589" w:type="pct"/>
            <w:tcBorders>
              <w:top w:val="nil"/>
              <w:bottom w:val="single" w:sz="4" w:space="0" w:color="auto"/>
            </w:tcBorders>
            <w:vAlign w:val="center"/>
            <w:hideMark/>
          </w:tcPr>
          <w:p w14:paraId="1CCCDDC9" w14:textId="77777777" w:rsidR="00EE60D6" w:rsidRPr="0045510A" w:rsidRDefault="00EE60D6" w:rsidP="00831018">
            <w:pPr>
              <w:spacing w:line="240" w:lineRule="auto"/>
              <w:rPr>
                <w:b/>
                <w:bCs/>
              </w:rPr>
            </w:pPr>
            <w:r w:rsidRPr="0045510A">
              <w:rPr>
                <w:b/>
                <w:bCs/>
              </w:rPr>
              <w:t>β</w:t>
            </w:r>
          </w:p>
        </w:tc>
        <w:tc>
          <w:tcPr>
            <w:tcW w:w="615" w:type="pct"/>
            <w:tcBorders>
              <w:top w:val="nil"/>
              <w:bottom w:val="single" w:sz="4" w:space="0" w:color="auto"/>
            </w:tcBorders>
            <w:vAlign w:val="center"/>
            <w:hideMark/>
          </w:tcPr>
          <w:p w14:paraId="7A652F33" w14:textId="77777777" w:rsidR="00EE60D6" w:rsidRPr="0045510A" w:rsidRDefault="00EE60D6" w:rsidP="00831018">
            <w:pPr>
              <w:spacing w:line="240" w:lineRule="auto"/>
              <w:rPr>
                <w:b/>
                <w:bCs/>
              </w:rPr>
            </w:pPr>
            <w:r w:rsidRPr="0045510A">
              <w:rPr>
                <w:b/>
                <w:bCs/>
              </w:rPr>
              <w:t>SE</w:t>
            </w:r>
          </w:p>
        </w:tc>
        <w:tc>
          <w:tcPr>
            <w:tcW w:w="706" w:type="pct"/>
            <w:tcBorders>
              <w:top w:val="nil"/>
              <w:bottom w:val="single" w:sz="4" w:space="0" w:color="auto"/>
            </w:tcBorders>
            <w:vAlign w:val="center"/>
            <w:hideMark/>
          </w:tcPr>
          <w:p w14:paraId="16D0A6CC" w14:textId="77777777" w:rsidR="00EE60D6" w:rsidRPr="0045510A" w:rsidRDefault="00EE60D6" w:rsidP="00831018">
            <w:pPr>
              <w:spacing w:line="240" w:lineRule="auto"/>
              <w:rPr>
                <w:b/>
                <w:bCs/>
              </w:rPr>
            </w:pPr>
            <w:r w:rsidRPr="0045510A">
              <w:rPr>
                <w:b/>
                <w:bCs/>
              </w:rPr>
              <w:t>95% CI</w:t>
            </w:r>
          </w:p>
        </w:tc>
        <w:tc>
          <w:tcPr>
            <w:tcW w:w="318" w:type="pct"/>
            <w:tcBorders>
              <w:top w:val="nil"/>
              <w:bottom w:val="single" w:sz="4" w:space="0" w:color="auto"/>
            </w:tcBorders>
            <w:vAlign w:val="center"/>
            <w:hideMark/>
          </w:tcPr>
          <w:p w14:paraId="5D9BAFE8" w14:textId="77777777" w:rsidR="00EE60D6" w:rsidRPr="0045510A" w:rsidRDefault="00EE60D6" w:rsidP="00831018">
            <w:pPr>
              <w:spacing w:line="240" w:lineRule="auto"/>
              <w:rPr>
                <w:b/>
                <w:bCs/>
              </w:rPr>
            </w:pPr>
            <w:r w:rsidRPr="0045510A">
              <w:rPr>
                <w:b/>
                <w:bCs/>
              </w:rPr>
              <w:t>p</w:t>
            </w:r>
          </w:p>
        </w:tc>
        <w:tc>
          <w:tcPr>
            <w:tcW w:w="1017" w:type="pct"/>
            <w:tcBorders>
              <w:top w:val="nil"/>
              <w:bottom w:val="single" w:sz="4" w:space="0" w:color="auto"/>
            </w:tcBorders>
            <w:vAlign w:val="center"/>
            <w:hideMark/>
          </w:tcPr>
          <w:p w14:paraId="38B84248" w14:textId="77777777" w:rsidR="00EE60D6" w:rsidRPr="0045510A" w:rsidRDefault="00EE60D6" w:rsidP="00831018">
            <w:pPr>
              <w:spacing w:line="240" w:lineRule="auto"/>
              <w:rPr>
                <w:b/>
                <w:bCs/>
              </w:rPr>
            </w:pPr>
            <w:r w:rsidRPr="0045510A">
              <w:rPr>
                <w:b/>
                <w:bCs/>
              </w:rPr>
              <w:t>Measurement 95% CI</w:t>
            </w:r>
          </w:p>
        </w:tc>
      </w:tr>
      <w:tr w:rsidR="00EE60D6" w14:paraId="2B6BA1AF" w14:textId="77777777" w:rsidTr="00831018">
        <w:trPr>
          <w:tblCellSpacing w:w="15" w:type="dxa"/>
        </w:trPr>
        <w:tc>
          <w:tcPr>
            <w:tcW w:w="566" w:type="pct"/>
            <w:vAlign w:val="center"/>
            <w:hideMark/>
          </w:tcPr>
          <w:p w14:paraId="40D4BA2D" w14:textId="77777777" w:rsidR="00EE60D6" w:rsidRPr="0045510A" w:rsidRDefault="00EE60D6" w:rsidP="00831018">
            <w:pPr>
              <w:spacing w:line="240" w:lineRule="auto"/>
            </w:pPr>
            <w:r w:rsidRPr="0045510A">
              <w:t>Republican</w:t>
            </w:r>
          </w:p>
        </w:tc>
        <w:tc>
          <w:tcPr>
            <w:tcW w:w="1061" w:type="pct"/>
            <w:vAlign w:val="center"/>
            <w:hideMark/>
          </w:tcPr>
          <w:p w14:paraId="3BF727A4" w14:textId="77777777" w:rsidR="00EE60D6" w:rsidRPr="0045510A" w:rsidRDefault="00EE60D6" w:rsidP="00831018">
            <w:pPr>
              <w:spacing w:line="240" w:lineRule="auto"/>
            </w:pPr>
            <w:r w:rsidRPr="0045510A">
              <w:t>Intercept</w:t>
            </w:r>
          </w:p>
        </w:tc>
        <w:tc>
          <w:tcPr>
            <w:tcW w:w="589" w:type="pct"/>
            <w:vAlign w:val="center"/>
            <w:hideMark/>
          </w:tcPr>
          <w:p w14:paraId="13B88982" w14:textId="77777777" w:rsidR="00EE60D6" w:rsidRPr="0045510A" w:rsidRDefault="00EE60D6" w:rsidP="00831018">
            <w:pPr>
              <w:spacing w:line="240" w:lineRule="auto"/>
            </w:pPr>
            <w:r w:rsidRPr="0045510A">
              <w:t>39.89</w:t>
            </w:r>
          </w:p>
        </w:tc>
        <w:tc>
          <w:tcPr>
            <w:tcW w:w="615" w:type="pct"/>
            <w:vAlign w:val="center"/>
            <w:hideMark/>
          </w:tcPr>
          <w:p w14:paraId="29800C48" w14:textId="77777777" w:rsidR="00EE60D6" w:rsidRPr="0045510A" w:rsidRDefault="00EE60D6" w:rsidP="00831018">
            <w:pPr>
              <w:spacing w:line="240" w:lineRule="auto"/>
            </w:pPr>
            <w:r w:rsidRPr="0045510A">
              <w:t>1.73</w:t>
            </w:r>
          </w:p>
        </w:tc>
        <w:tc>
          <w:tcPr>
            <w:tcW w:w="706" w:type="pct"/>
            <w:vAlign w:val="center"/>
            <w:hideMark/>
          </w:tcPr>
          <w:p w14:paraId="3063E7A5" w14:textId="77777777" w:rsidR="00EE60D6" w:rsidRPr="0045510A" w:rsidRDefault="00EE60D6" w:rsidP="00831018">
            <w:pPr>
              <w:spacing w:line="240" w:lineRule="auto"/>
            </w:pPr>
            <w:r w:rsidRPr="0045510A">
              <w:t>[36.36, 43.42]</w:t>
            </w:r>
          </w:p>
        </w:tc>
        <w:tc>
          <w:tcPr>
            <w:tcW w:w="318" w:type="pct"/>
            <w:vAlign w:val="center"/>
            <w:hideMark/>
          </w:tcPr>
          <w:p w14:paraId="03BA7558" w14:textId="77777777" w:rsidR="00EE60D6" w:rsidRPr="0045510A" w:rsidRDefault="00EE60D6" w:rsidP="00831018">
            <w:pPr>
              <w:spacing w:line="240" w:lineRule="auto"/>
            </w:pPr>
            <w:r w:rsidRPr="0045510A">
              <w:t>&lt; .001</w:t>
            </w:r>
          </w:p>
        </w:tc>
        <w:tc>
          <w:tcPr>
            <w:tcW w:w="1017" w:type="pct"/>
            <w:vAlign w:val="center"/>
            <w:hideMark/>
          </w:tcPr>
          <w:p w14:paraId="233460A0" w14:textId="77777777" w:rsidR="00EE60D6" w:rsidRPr="0045510A" w:rsidRDefault="00EE60D6" w:rsidP="00831018">
            <w:pPr>
              <w:spacing w:line="240" w:lineRule="auto"/>
            </w:pPr>
            <w:r w:rsidRPr="0045510A">
              <w:t>[36.40, 42.35]</w:t>
            </w:r>
          </w:p>
        </w:tc>
      </w:tr>
      <w:tr w:rsidR="00EE60D6" w14:paraId="5DF35418" w14:textId="77777777" w:rsidTr="00831018">
        <w:trPr>
          <w:tblCellSpacing w:w="15" w:type="dxa"/>
        </w:trPr>
        <w:tc>
          <w:tcPr>
            <w:tcW w:w="566" w:type="pct"/>
            <w:vAlign w:val="center"/>
            <w:hideMark/>
          </w:tcPr>
          <w:p w14:paraId="5B267BF5" w14:textId="77777777" w:rsidR="00EE60D6" w:rsidRPr="0045510A" w:rsidRDefault="00EE60D6" w:rsidP="00831018">
            <w:pPr>
              <w:spacing w:line="240" w:lineRule="auto"/>
            </w:pPr>
            <w:r w:rsidRPr="0045510A">
              <w:t>Republican</w:t>
            </w:r>
          </w:p>
        </w:tc>
        <w:tc>
          <w:tcPr>
            <w:tcW w:w="1061" w:type="pct"/>
            <w:vAlign w:val="center"/>
            <w:hideMark/>
          </w:tcPr>
          <w:p w14:paraId="6E6E477C" w14:textId="77777777" w:rsidR="00EE60D6" w:rsidRPr="0045510A" w:rsidRDefault="00EE60D6" w:rsidP="00831018">
            <w:pPr>
              <w:spacing w:line="240" w:lineRule="auto"/>
            </w:pPr>
            <w:r w:rsidRPr="0045510A">
              <w:t>Polarization</w:t>
            </w:r>
          </w:p>
        </w:tc>
        <w:tc>
          <w:tcPr>
            <w:tcW w:w="589" w:type="pct"/>
            <w:vAlign w:val="center"/>
            <w:hideMark/>
          </w:tcPr>
          <w:p w14:paraId="17B945F4" w14:textId="77777777" w:rsidR="00EE60D6" w:rsidRPr="0045510A" w:rsidRDefault="00EE60D6" w:rsidP="00831018">
            <w:pPr>
              <w:spacing w:line="240" w:lineRule="auto"/>
            </w:pPr>
            <w:r w:rsidRPr="0045510A">
              <w:t>0.049</w:t>
            </w:r>
          </w:p>
        </w:tc>
        <w:tc>
          <w:tcPr>
            <w:tcW w:w="615" w:type="pct"/>
            <w:vAlign w:val="center"/>
            <w:hideMark/>
          </w:tcPr>
          <w:p w14:paraId="39BD5651" w14:textId="77777777" w:rsidR="00EE60D6" w:rsidRPr="0045510A" w:rsidRDefault="00EE60D6" w:rsidP="00831018">
            <w:pPr>
              <w:spacing w:line="240" w:lineRule="auto"/>
            </w:pPr>
            <w:r w:rsidRPr="0045510A">
              <w:t>0.291</w:t>
            </w:r>
          </w:p>
        </w:tc>
        <w:tc>
          <w:tcPr>
            <w:tcW w:w="706" w:type="pct"/>
            <w:vAlign w:val="center"/>
            <w:hideMark/>
          </w:tcPr>
          <w:p w14:paraId="2FA52F81" w14:textId="77777777" w:rsidR="00EE60D6" w:rsidRPr="0045510A" w:rsidRDefault="00EE60D6" w:rsidP="00831018">
            <w:pPr>
              <w:spacing w:line="240" w:lineRule="auto"/>
            </w:pPr>
            <w:r w:rsidRPr="0045510A">
              <w:t>[−0.545, 0.643]</w:t>
            </w:r>
          </w:p>
        </w:tc>
        <w:tc>
          <w:tcPr>
            <w:tcW w:w="318" w:type="pct"/>
            <w:vAlign w:val="center"/>
            <w:hideMark/>
          </w:tcPr>
          <w:p w14:paraId="6F1C25AD" w14:textId="77777777" w:rsidR="00EE60D6" w:rsidRPr="0045510A" w:rsidRDefault="00EE60D6" w:rsidP="00831018">
            <w:pPr>
              <w:spacing w:line="240" w:lineRule="auto"/>
            </w:pPr>
            <w:r w:rsidRPr="0045510A">
              <w:t>.868</w:t>
            </w:r>
          </w:p>
        </w:tc>
        <w:tc>
          <w:tcPr>
            <w:tcW w:w="1017" w:type="pct"/>
            <w:vAlign w:val="center"/>
            <w:hideMark/>
          </w:tcPr>
          <w:p w14:paraId="25DE586F" w14:textId="77777777" w:rsidR="00EE60D6" w:rsidRPr="0045510A" w:rsidRDefault="00EE60D6" w:rsidP="00831018">
            <w:pPr>
              <w:spacing w:line="240" w:lineRule="auto"/>
            </w:pPr>
            <w:r w:rsidRPr="0045510A">
              <w:t>[−1.022, 0.466]</w:t>
            </w:r>
          </w:p>
        </w:tc>
      </w:tr>
      <w:tr w:rsidR="00EE60D6" w14:paraId="2B74115F" w14:textId="77777777" w:rsidTr="00831018">
        <w:trPr>
          <w:tblCellSpacing w:w="15" w:type="dxa"/>
        </w:trPr>
        <w:tc>
          <w:tcPr>
            <w:tcW w:w="566" w:type="pct"/>
            <w:vAlign w:val="center"/>
            <w:hideMark/>
          </w:tcPr>
          <w:p w14:paraId="5AEDF848" w14:textId="77777777" w:rsidR="00EE60D6" w:rsidRPr="0045510A" w:rsidRDefault="00EE60D6" w:rsidP="00831018">
            <w:pPr>
              <w:spacing w:line="240" w:lineRule="auto"/>
            </w:pPr>
            <w:r w:rsidRPr="0045510A">
              <w:t>Republican</w:t>
            </w:r>
          </w:p>
        </w:tc>
        <w:tc>
          <w:tcPr>
            <w:tcW w:w="1061" w:type="pct"/>
            <w:vAlign w:val="center"/>
            <w:hideMark/>
          </w:tcPr>
          <w:p w14:paraId="765ABAA5" w14:textId="77777777" w:rsidR="00EE60D6" w:rsidRPr="0045510A" w:rsidRDefault="00EE60D6" w:rsidP="00831018">
            <w:pPr>
              <w:spacing w:line="240" w:lineRule="auto"/>
            </w:pPr>
            <w:r w:rsidRPr="0045510A">
              <w:t>Time</w:t>
            </w:r>
          </w:p>
        </w:tc>
        <w:tc>
          <w:tcPr>
            <w:tcW w:w="589" w:type="pct"/>
            <w:vAlign w:val="center"/>
            <w:hideMark/>
          </w:tcPr>
          <w:p w14:paraId="11B739A4" w14:textId="77777777" w:rsidR="00EE60D6" w:rsidRPr="0045510A" w:rsidRDefault="00EE60D6" w:rsidP="00831018">
            <w:pPr>
              <w:spacing w:line="240" w:lineRule="auto"/>
            </w:pPr>
            <w:r w:rsidRPr="0045510A">
              <w:t>−0.7</w:t>
            </w:r>
            <w:r>
              <w:rPr>
                <w:rFonts w:hint="eastAsia"/>
              </w:rPr>
              <w:t>7</w:t>
            </w:r>
          </w:p>
        </w:tc>
        <w:tc>
          <w:tcPr>
            <w:tcW w:w="615" w:type="pct"/>
            <w:vAlign w:val="center"/>
            <w:hideMark/>
          </w:tcPr>
          <w:p w14:paraId="3D2AF90F" w14:textId="77777777" w:rsidR="00EE60D6" w:rsidRPr="0045510A" w:rsidRDefault="00EE60D6" w:rsidP="00831018">
            <w:pPr>
              <w:spacing w:line="240" w:lineRule="auto"/>
            </w:pPr>
            <w:r w:rsidRPr="0045510A">
              <w:t>0.208</w:t>
            </w:r>
          </w:p>
        </w:tc>
        <w:tc>
          <w:tcPr>
            <w:tcW w:w="706" w:type="pct"/>
            <w:vAlign w:val="center"/>
            <w:hideMark/>
          </w:tcPr>
          <w:p w14:paraId="34A17BEF" w14:textId="77777777" w:rsidR="00EE60D6" w:rsidRPr="0045510A" w:rsidRDefault="00EE60D6" w:rsidP="00831018">
            <w:pPr>
              <w:spacing w:line="240" w:lineRule="auto"/>
            </w:pPr>
            <w:r w:rsidRPr="0045510A">
              <w:t>[−1.189, −0.342]</w:t>
            </w:r>
          </w:p>
        </w:tc>
        <w:tc>
          <w:tcPr>
            <w:tcW w:w="318" w:type="pct"/>
            <w:vAlign w:val="center"/>
            <w:hideMark/>
          </w:tcPr>
          <w:p w14:paraId="321C3E3E" w14:textId="77777777" w:rsidR="00EE60D6" w:rsidRPr="0045510A" w:rsidRDefault="00EE60D6" w:rsidP="00831018">
            <w:pPr>
              <w:spacing w:line="240" w:lineRule="auto"/>
              <w:rPr>
                <w:b/>
                <w:bCs/>
              </w:rPr>
            </w:pPr>
            <w:r w:rsidRPr="0045510A">
              <w:rPr>
                <w:b/>
                <w:bCs/>
              </w:rPr>
              <w:t>&lt; .001</w:t>
            </w:r>
          </w:p>
        </w:tc>
        <w:tc>
          <w:tcPr>
            <w:tcW w:w="1017" w:type="pct"/>
            <w:vAlign w:val="center"/>
            <w:hideMark/>
          </w:tcPr>
          <w:p w14:paraId="008C8FC4" w14:textId="77777777" w:rsidR="00EE60D6" w:rsidRPr="0045510A" w:rsidRDefault="00EE60D6" w:rsidP="00831018">
            <w:pPr>
              <w:spacing w:line="240" w:lineRule="auto"/>
            </w:pPr>
            <w:r w:rsidRPr="0045510A">
              <w:t>[−0.951, −0.166]</w:t>
            </w:r>
          </w:p>
        </w:tc>
      </w:tr>
      <w:tr w:rsidR="00EE60D6" w14:paraId="5B28D2B5" w14:textId="77777777" w:rsidTr="00831018">
        <w:trPr>
          <w:tblCellSpacing w:w="15" w:type="dxa"/>
        </w:trPr>
        <w:tc>
          <w:tcPr>
            <w:tcW w:w="566" w:type="pct"/>
            <w:tcBorders>
              <w:top w:val="single" w:sz="4" w:space="0" w:color="auto"/>
              <w:bottom w:val="nil"/>
            </w:tcBorders>
            <w:vAlign w:val="center"/>
            <w:hideMark/>
          </w:tcPr>
          <w:p w14:paraId="1ECB21B6" w14:textId="77777777" w:rsidR="00EE60D6" w:rsidRPr="0045510A" w:rsidRDefault="00EE60D6" w:rsidP="00831018">
            <w:pPr>
              <w:spacing w:line="240" w:lineRule="auto"/>
            </w:pPr>
            <w:r w:rsidRPr="0045510A">
              <w:t>Democratic</w:t>
            </w:r>
          </w:p>
        </w:tc>
        <w:tc>
          <w:tcPr>
            <w:tcW w:w="1061" w:type="pct"/>
            <w:tcBorders>
              <w:top w:val="single" w:sz="4" w:space="0" w:color="auto"/>
              <w:bottom w:val="nil"/>
            </w:tcBorders>
            <w:vAlign w:val="center"/>
            <w:hideMark/>
          </w:tcPr>
          <w:p w14:paraId="71D90AEF" w14:textId="77777777" w:rsidR="00EE60D6" w:rsidRPr="0045510A" w:rsidRDefault="00EE60D6" w:rsidP="00831018">
            <w:pPr>
              <w:spacing w:line="240" w:lineRule="auto"/>
            </w:pPr>
            <w:r w:rsidRPr="0045510A">
              <w:t>Intercept</w:t>
            </w:r>
          </w:p>
        </w:tc>
        <w:tc>
          <w:tcPr>
            <w:tcW w:w="589" w:type="pct"/>
            <w:tcBorders>
              <w:top w:val="single" w:sz="4" w:space="0" w:color="auto"/>
              <w:bottom w:val="nil"/>
            </w:tcBorders>
            <w:vAlign w:val="center"/>
            <w:hideMark/>
          </w:tcPr>
          <w:p w14:paraId="2E8563C8" w14:textId="77777777" w:rsidR="00EE60D6" w:rsidRPr="0045510A" w:rsidRDefault="00EE60D6" w:rsidP="00831018">
            <w:pPr>
              <w:spacing w:line="240" w:lineRule="auto"/>
            </w:pPr>
            <w:r w:rsidRPr="0045510A">
              <w:t>20.15</w:t>
            </w:r>
          </w:p>
        </w:tc>
        <w:tc>
          <w:tcPr>
            <w:tcW w:w="615" w:type="pct"/>
            <w:tcBorders>
              <w:top w:val="single" w:sz="4" w:space="0" w:color="auto"/>
              <w:bottom w:val="nil"/>
            </w:tcBorders>
            <w:vAlign w:val="center"/>
            <w:hideMark/>
          </w:tcPr>
          <w:p w14:paraId="4E51AF92" w14:textId="77777777" w:rsidR="00EE60D6" w:rsidRPr="0045510A" w:rsidRDefault="00EE60D6" w:rsidP="00831018">
            <w:pPr>
              <w:spacing w:line="240" w:lineRule="auto"/>
            </w:pPr>
            <w:r w:rsidRPr="0045510A">
              <w:t>0.99</w:t>
            </w:r>
          </w:p>
        </w:tc>
        <w:tc>
          <w:tcPr>
            <w:tcW w:w="706" w:type="pct"/>
            <w:tcBorders>
              <w:top w:val="single" w:sz="4" w:space="0" w:color="auto"/>
              <w:bottom w:val="nil"/>
            </w:tcBorders>
            <w:vAlign w:val="center"/>
            <w:hideMark/>
          </w:tcPr>
          <w:p w14:paraId="2EC94B8F" w14:textId="77777777" w:rsidR="00EE60D6" w:rsidRPr="0045510A" w:rsidRDefault="00EE60D6" w:rsidP="00831018">
            <w:pPr>
              <w:spacing w:line="240" w:lineRule="auto"/>
            </w:pPr>
            <w:r w:rsidRPr="0045510A">
              <w:t>[18.12, 22.17]</w:t>
            </w:r>
          </w:p>
        </w:tc>
        <w:tc>
          <w:tcPr>
            <w:tcW w:w="318" w:type="pct"/>
            <w:tcBorders>
              <w:top w:val="single" w:sz="4" w:space="0" w:color="auto"/>
              <w:bottom w:val="nil"/>
            </w:tcBorders>
            <w:vAlign w:val="center"/>
            <w:hideMark/>
          </w:tcPr>
          <w:p w14:paraId="7B64666A" w14:textId="77777777" w:rsidR="00EE60D6" w:rsidRPr="0045510A" w:rsidRDefault="00EE60D6" w:rsidP="00831018">
            <w:pPr>
              <w:spacing w:line="240" w:lineRule="auto"/>
              <w:rPr>
                <w:b/>
                <w:bCs/>
              </w:rPr>
            </w:pPr>
            <w:r w:rsidRPr="0045510A">
              <w:rPr>
                <w:b/>
                <w:bCs/>
              </w:rPr>
              <w:t>&lt; .001</w:t>
            </w:r>
          </w:p>
        </w:tc>
        <w:tc>
          <w:tcPr>
            <w:tcW w:w="1017" w:type="pct"/>
            <w:tcBorders>
              <w:top w:val="single" w:sz="4" w:space="0" w:color="auto"/>
              <w:bottom w:val="nil"/>
            </w:tcBorders>
            <w:vAlign w:val="center"/>
            <w:hideMark/>
          </w:tcPr>
          <w:p w14:paraId="55B9FCEC" w14:textId="77777777" w:rsidR="00EE60D6" w:rsidRPr="0045510A" w:rsidRDefault="00EE60D6" w:rsidP="00831018">
            <w:pPr>
              <w:spacing w:line="240" w:lineRule="auto"/>
            </w:pPr>
            <w:r w:rsidRPr="0045510A">
              <w:t>[18.43, 21.32]</w:t>
            </w:r>
          </w:p>
        </w:tc>
      </w:tr>
      <w:tr w:rsidR="00EE60D6" w14:paraId="2C1A1F09" w14:textId="77777777" w:rsidTr="00831018">
        <w:trPr>
          <w:tblCellSpacing w:w="15" w:type="dxa"/>
        </w:trPr>
        <w:tc>
          <w:tcPr>
            <w:tcW w:w="566" w:type="pct"/>
            <w:tcBorders>
              <w:top w:val="nil"/>
              <w:bottom w:val="nil"/>
            </w:tcBorders>
            <w:vAlign w:val="center"/>
            <w:hideMark/>
          </w:tcPr>
          <w:p w14:paraId="482855F3" w14:textId="77777777" w:rsidR="00EE60D6" w:rsidRPr="0045510A" w:rsidRDefault="00EE60D6" w:rsidP="00831018">
            <w:pPr>
              <w:spacing w:line="240" w:lineRule="auto"/>
            </w:pPr>
            <w:r w:rsidRPr="0045510A">
              <w:t>Democratic</w:t>
            </w:r>
          </w:p>
        </w:tc>
        <w:tc>
          <w:tcPr>
            <w:tcW w:w="1061" w:type="pct"/>
            <w:tcBorders>
              <w:top w:val="nil"/>
              <w:bottom w:val="nil"/>
            </w:tcBorders>
            <w:vAlign w:val="center"/>
            <w:hideMark/>
          </w:tcPr>
          <w:p w14:paraId="4E763035" w14:textId="77777777" w:rsidR="00EE60D6" w:rsidRPr="0045510A" w:rsidRDefault="00EE60D6" w:rsidP="00831018">
            <w:pPr>
              <w:spacing w:line="240" w:lineRule="auto"/>
            </w:pPr>
            <w:r w:rsidRPr="0045510A">
              <w:t>Polarization</w:t>
            </w:r>
          </w:p>
        </w:tc>
        <w:tc>
          <w:tcPr>
            <w:tcW w:w="589" w:type="pct"/>
            <w:tcBorders>
              <w:top w:val="nil"/>
              <w:bottom w:val="nil"/>
            </w:tcBorders>
            <w:vAlign w:val="center"/>
            <w:hideMark/>
          </w:tcPr>
          <w:p w14:paraId="27242E6F" w14:textId="77777777" w:rsidR="00EE60D6" w:rsidRPr="0045510A" w:rsidRDefault="00EE60D6" w:rsidP="00831018">
            <w:pPr>
              <w:spacing w:line="240" w:lineRule="auto"/>
            </w:pPr>
            <w:r w:rsidRPr="0045510A">
              <w:t>−0.10</w:t>
            </w:r>
          </w:p>
        </w:tc>
        <w:tc>
          <w:tcPr>
            <w:tcW w:w="615" w:type="pct"/>
            <w:tcBorders>
              <w:top w:val="nil"/>
              <w:bottom w:val="nil"/>
            </w:tcBorders>
            <w:vAlign w:val="center"/>
            <w:hideMark/>
          </w:tcPr>
          <w:p w14:paraId="32160F3F" w14:textId="77777777" w:rsidR="00EE60D6" w:rsidRPr="0045510A" w:rsidRDefault="00EE60D6" w:rsidP="00831018">
            <w:pPr>
              <w:spacing w:line="240" w:lineRule="auto"/>
            </w:pPr>
            <w:r w:rsidRPr="0045510A">
              <w:t>0.167</w:t>
            </w:r>
          </w:p>
        </w:tc>
        <w:tc>
          <w:tcPr>
            <w:tcW w:w="706" w:type="pct"/>
            <w:tcBorders>
              <w:top w:val="nil"/>
              <w:bottom w:val="nil"/>
            </w:tcBorders>
            <w:vAlign w:val="center"/>
            <w:hideMark/>
          </w:tcPr>
          <w:p w14:paraId="1353C333" w14:textId="77777777" w:rsidR="00EE60D6" w:rsidRPr="0045510A" w:rsidRDefault="00EE60D6" w:rsidP="00831018">
            <w:pPr>
              <w:spacing w:line="240" w:lineRule="auto"/>
            </w:pPr>
            <w:r w:rsidRPr="0045510A">
              <w:t>[−0.444, 0.237]</w:t>
            </w:r>
          </w:p>
        </w:tc>
        <w:tc>
          <w:tcPr>
            <w:tcW w:w="318" w:type="pct"/>
            <w:tcBorders>
              <w:top w:val="nil"/>
              <w:bottom w:val="nil"/>
            </w:tcBorders>
            <w:vAlign w:val="center"/>
            <w:hideMark/>
          </w:tcPr>
          <w:p w14:paraId="0F7430CE" w14:textId="77777777" w:rsidR="00EE60D6" w:rsidRPr="0045510A" w:rsidRDefault="00EE60D6" w:rsidP="00831018">
            <w:pPr>
              <w:spacing w:line="240" w:lineRule="auto"/>
            </w:pPr>
            <w:r w:rsidRPr="0045510A">
              <w:t>.538</w:t>
            </w:r>
          </w:p>
        </w:tc>
        <w:tc>
          <w:tcPr>
            <w:tcW w:w="1017" w:type="pct"/>
            <w:tcBorders>
              <w:top w:val="nil"/>
              <w:bottom w:val="nil"/>
            </w:tcBorders>
            <w:vAlign w:val="center"/>
            <w:hideMark/>
          </w:tcPr>
          <w:p w14:paraId="778107EE" w14:textId="77777777" w:rsidR="00EE60D6" w:rsidRPr="0045510A" w:rsidRDefault="00EE60D6" w:rsidP="00831018">
            <w:pPr>
              <w:spacing w:line="240" w:lineRule="auto"/>
            </w:pPr>
            <w:r w:rsidRPr="0045510A">
              <w:t>[−0.460, 0.101]</w:t>
            </w:r>
          </w:p>
        </w:tc>
      </w:tr>
      <w:tr w:rsidR="00EE60D6" w14:paraId="4E77D58F" w14:textId="77777777" w:rsidTr="00831018">
        <w:trPr>
          <w:tblCellSpacing w:w="15" w:type="dxa"/>
        </w:trPr>
        <w:tc>
          <w:tcPr>
            <w:tcW w:w="566" w:type="pct"/>
            <w:tcBorders>
              <w:top w:val="nil"/>
              <w:bottom w:val="single" w:sz="4" w:space="0" w:color="auto"/>
            </w:tcBorders>
            <w:vAlign w:val="center"/>
            <w:hideMark/>
          </w:tcPr>
          <w:p w14:paraId="01257391" w14:textId="77777777" w:rsidR="00EE60D6" w:rsidRPr="0045510A" w:rsidRDefault="00EE60D6" w:rsidP="00831018">
            <w:pPr>
              <w:spacing w:line="240" w:lineRule="auto"/>
            </w:pPr>
            <w:r w:rsidRPr="0045510A">
              <w:t>Democratic</w:t>
            </w:r>
          </w:p>
        </w:tc>
        <w:tc>
          <w:tcPr>
            <w:tcW w:w="1061" w:type="pct"/>
            <w:tcBorders>
              <w:top w:val="nil"/>
              <w:bottom w:val="single" w:sz="4" w:space="0" w:color="auto"/>
            </w:tcBorders>
            <w:vAlign w:val="center"/>
            <w:hideMark/>
          </w:tcPr>
          <w:p w14:paraId="14CF263E" w14:textId="77777777" w:rsidR="00EE60D6" w:rsidRPr="0045510A" w:rsidRDefault="00EE60D6" w:rsidP="00831018">
            <w:pPr>
              <w:spacing w:line="240" w:lineRule="auto"/>
            </w:pPr>
            <w:r w:rsidRPr="0045510A">
              <w:t>Time</w:t>
            </w:r>
          </w:p>
        </w:tc>
        <w:tc>
          <w:tcPr>
            <w:tcW w:w="589" w:type="pct"/>
            <w:tcBorders>
              <w:top w:val="nil"/>
              <w:bottom w:val="single" w:sz="4" w:space="0" w:color="auto"/>
            </w:tcBorders>
            <w:vAlign w:val="center"/>
            <w:hideMark/>
          </w:tcPr>
          <w:p w14:paraId="69FAE493" w14:textId="77777777" w:rsidR="00EE60D6" w:rsidRPr="0045510A" w:rsidRDefault="00EE60D6" w:rsidP="00831018">
            <w:pPr>
              <w:spacing w:line="240" w:lineRule="auto"/>
            </w:pPr>
            <w:r w:rsidRPr="0045510A">
              <w:t>0.1</w:t>
            </w:r>
            <w:r>
              <w:rPr>
                <w:rFonts w:hint="eastAsia"/>
              </w:rPr>
              <w:t>7</w:t>
            </w:r>
          </w:p>
        </w:tc>
        <w:tc>
          <w:tcPr>
            <w:tcW w:w="615" w:type="pct"/>
            <w:tcBorders>
              <w:top w:val="nil"/>
              <w:bottom w:val="single" w:sz="4" w:space="0" w:color="auto"/>
            </w:tcBorders>
            <w:vAlign w:val="center"/>
            <w:hideMark/>
          </w:tcPr>
          <w:p w14:paraId="591FCEC1" w14:textId="77777777" w:rsidR="00EE60D6" w:rsidRPr="0045510A" w:rsidRDefault="00EE60D6" w:rsidP="00831018">
            <w:pPr>
              <w:spacing w:line="240" w:lineRule="auto"/>
            </w:pPr>
            <w:r w:rsidRPr="0045510A">
              <w:t>0.119</w:t>
            </w:r>
          </w:p>
        </w:tc>
        <w:tc>
          <w:tcPr>
            <w:tcW w:w="706" w:type="pct"/>
            <w:tcBorders>
              <w:top w:val="nil"/>
              <w:bottom w:val="single" w:sz="4" w:space="0" w:color="auto"/>
            </w:tcBorders>
            <w:vAlign w:val="center"/>
            <w:hideMark/>
          </w:tcPr>
          <w:p w14:paraId="344BA133" w14:textId="77777777" w:rsidR="00EE60D6" w:rsidRPr="0045510A" w:rsidRDefault="00EE60D6" w:rsidP="00831018">
            <w:pPr>
              <w:spacing w:line="240" w:lineRule="auto"/>
            </w:pPr>
            <w:r w:rsidRPr="0045510A">
              <w:t>[−0.078, 0.408]</w:t>
            </w:r>
          </w:p>
        </w:tc>
        <w:tc>
          <w:tcPr>
            <w:tcW w:w="318" w:type="pct"/>
            <w:tcBorders>
              <w:top w:val="nil"/>
              <w:bottom w:val="single" w:sz="4" w:space="0" w:color="auto"/>
            </w:tcBorders>
            <w:vAlign w:val="center"/>
            <w:hideMark/>
          </w:tcPr>
          <w:p w14:paraId="5473E842" w14:textId="77777777" w:rsidR="00EE60D6" w:rsidRPr="0045510A" w:rsidRDefault="00EE60D6" w:rsidP="00831018">
            <w:pPr>
              <w:spacing w:line="240" w:lineRule="auto"/>
            </w:pPr>
            <w:r w:rsidRPr="0045510A">
              <w:t>.176</w:t>
            </w:r>
          </w:p>
        </w:tc>
        <w:tc>
          <w:tcPr>
            <w:tcW w:w="1017" w:type="pct"/>
            <w:tcBorders>
              <w:top w:val="nil"/>
              <w:bottom w:val="single" w:sz="4" w:space="0" w:color="auto"/>
            </w:tcBorders>
            <w:vAlign w:val="center"/>
            <w:hideMark/>
          </w:tcPr>
          <w:p w14:paraId="7DA217CC" w14:textId="77777777" w:rsidR="00EE60D6" w:rsidRPr="0045510A" w:rsidRDefault="00EE60D6" w:rsidP="00831018">
            <w:pPr>
              <w:spacing w:line="240" w:lineRule="auto"/>
            </w:pPr>
            <w:r w:rsidRPr="0045510A">
              <w:t>[−0.032, 0.383]</w:t>
            </w:r>
          </w:p>
        </w:tc>
      </w:tr>
      <w:tr w:rsidR="00EE60D6" w14:paraId="7D79F5D2" w14:textId="77777777" w:rsidTr="00831018">
        <w:trPr>
          <w:tblCellSpacing w:w="15" w:type="dxa"/>
        </w:trPr>
        <w:tc>
          <w:tcPr>
            <w:tcW w:w="566" w:type="pct"/>
            <w:vAlign w:val="center"/>
            <w:hideMark/>
          </w:tcPr>
          <w:p w14:paraId="6648B0BB" w14:textId="77777777" w:rsidR="00EE60D6" w:rsidRPr="0045510A" w:rsidRDefault="00EE60D6" w:rsidP="00831018">
            <w:pPr>
              <w:spacing w:line="240" w:lineRule="auto"/>
            </w:pPr>
            <w:r w:rsidRPr="0045510A">
              <w:t>Contrast</w:t>
            </w:r>
          </w:p>
        </w:tc>
        <w:tc>
          <w:tcPr>
            <w:tcW w:w="1061" w:type="pct"/>
            <w:vAlign w:val="center"/>
            <w:hideMark/>
          </w:tcPr>
          <w:p w14:paraId="0DB0D159" w14:textId="77777777" w:rsidR="00EE60D6" w:rsidRPr="0045510A" w:rsidRDefault="00EE60D6" w:rsidP="00831018">
            <w:pPr>
              <w:spacing w:line="240" w:lineRule="auto"/>
            </w:pPr>
            <w:r w:rsidRPr="0045510A">
              <w:t xml:space="preserve">Republican </w:t>
            </w:r>
            <w:r w:rsidRPr="0045510A">
              <w:rPr>
                <w:i/>
                <w:iCs/>
              </w:rPr>
              <w:t>minus</w:t>
            </w:r>
            <w:r w:rsidRPr="0045510A">
              <w:t xml:space="preserve"> Democratic polarization</w:t>
            </w:r>
          </w:p>
        </w:tc>
        <w:tc>
          <w:tcPr>
            <w:tcW w:w="589" w:type="pct"/>
            <w:vAlign w:val="center"/>
            <w:hideMark/>
          </w:tcPr>
          <w:p w14:paraId="535C0DE3" w14:textId="77777777" w:rsidR="00EE60D6" w:rsidRPr="0045510A" w:rsidRDefault="00EE60D6" w:rsidP="00831018">
            <w:pPr>
              <w:spacing w:line="240" w:lineRule="auto"/>
            </w:pPr>
            <w:r w:rsidRPr="0045510A">
              <w:t>0.15</w:t>
            </w:r>
          </w:p>
        </w:tc>
        <w:tc>
          <w:tcPr>
            <w:tcW w:w="615" w:type="pct"/>
            <w:vAlign w:val="center"/>
            <w:hideMark/>
          </w:tcPr>
          <w:p w14:paraId="0D8D8D0B" w14:textId="77777777" w:rsidR="00EE60D6" w:rsidRPr="0045510A" w:rsidRDefault="00EE60D6" w:rsidP="00831018">
            <w:pPr>
              <w:spacing w:line="240" w:lineRule="auto"/>
            </w:pPr>
            <w:r w:rsidRPr="0045510A">
              <w:t>0.373</w:t>
            </w:r>
          </w:p>
        </w:tc>
        <w:tc>
          <w:tcPr>
            <w:tcW w:w="706" w:type="pct"/>
            <w:vAlign w:val="center"/>
            <w:hideMark/>
          </w:tcPr>
          <w:p w14:paraId="0A688EBB" w14:textId="77777777" w:rsidR="00EE60D6" w:rsidRPr="0045510A" w:rsidRDefault="00EE60D6" w:rsidP="00831018">
            <w:pPr>
              <w:spacing w:line="240" w:lineRule="auto"/>
            </w:pPr>
            <w:r w:rsidRPr="0045510A">
              <w:t>[−0.609, 0.914]</w:t>
            </w:r>
          </w:p>
        </w:tc>
        <w:tc>
          <w:tcPr>
            <w:tcW w:w="318" w:type="pct"/>
            <w:vAlign w:val="center"/>
            <w:hideMark/>
          </w:tcPr>
          <w:p w14:paraId="68384418" w14:textId="77777777" w:rsidR="00EE60D6" w:rsidRPr="0045510A" w:rsidRDefault="00EE60D6" w:rsidP="00831018">
            <w:pPr>
              <w:spacing w:line="240" w:lineRule="auto"/>
            </w:pPr>
            <w:r w:rsidRPr="0045510A">
              <w:t>.685</w:t>
            </w:r>
          </w:p>
        </w:tc>
        <w:tc>
          <w:tcPr>
            <w:tcW w:w="1017" w:type="pct"/>
            <w:vAlign w:val="center"/>
            <w:hideMark/>
          </w:tcPr>
          <w:p w14:paraId="51993458" w14:textId="77777777" w:rsidR="00EE60D6" w:rsidRPr="0045510A" w:rsidRDefault="00EE60D6" w:rsidP="00831018">
            <w:pPr>
              <w:spacing w:line="240" w:lineRule="auto"/>
            </w:pPr>
            <w:r w:rsidRPr="0045510A">
              <w:t>[−0.889, 0.628]</w:t>
            </w:r>
          </w:p>
        </w:tc>
      </w:tr>
    </w:tbl>
    <w:p w14:paraId="4AD88208" w14:textId="77777777" w:rsidR="00EE60D6" w:rsidRDefault="00EE60D6" w:rsidP="00EE60D6">
      <w:r>
        <w:rPr>
          <w:rStyle w:val="af0"/>
        </w:rPr>
        <w:t>Note.</w:t>
      </w:r>
      <w:r>
        <w:t xml:space="preserve"> The outcome is the</w:t>
      </w:r>
      <w:r>
        <w:rPr>
          <w:rFonts w:hint="eastAsia"/>
        </w:rPr>
        <w:t xml:space="preserve"> IQR </w:t>
      </w:r>
      <w:r>
        <w:t>of article-level General Ukraine Aid Stance scores within party and month, so lower values indicate greater message coherence</w:t>
      </w:r>
      <w:r>
        <w:rPr>
          <w:rFonts w:hint="eastAsia"/>
        </w:rPr>
        <w:t xml:space="preserve">. </w:t>
      </w:r>
      <w:r>
        <w:t xml:space="preserve">Polarization and time are centered on their sample means. </w:t>
      </w:r>
      <w:r w:rsidRPr="008939B6">
        <w:rPr>
          <w:i/>
          <w:iCs/>
        </w:rPr>
        <w:t>N</w:t>
      </w:r>
      <w:r>
        <w:rPr>
          <w:rFonts w:hint="eastAsia"/>
        </w:rPr>
        <w:t xml:space="preserve">= 34 months. </w:t>
      </w:r>
    </w:p>
    <w:p w14:paraId="6F0159C6" w14:textId="77777777" w:rsidR="00EE60D6" w:rsidRDefault="00EE60D6" w:rsidP="00EE60D6"/>
    <w:p w14:paraId="21DDFE36" w14:textId="77777777" w:rsidR="00EE60D6" w:rsidRDefault="00EE60D6" w:rsidP="00EE60D6">
      <w:r>
        <w:rPr>
          <w:rFonts w:hint="eastAsia"/>
        </w:rPr>
        <w:t xml:space="preserve">The Democratic coefficient was negative at </w:t>
      </w:r>
      <m:oMath>
        <m:r>
          <w:rPr>
            <w:rFonts w:ascii="Cambria Math" w:hAnsi="Cambria Math"/>
          </w:rPr>
          <m:t>β</m:t>
        </m:r>
      </m:oMath>
      <w:r>
        <w:rPr>
          <w:rFonts w:hint="eastAsia"/>
        </w:rPr>
        <w:t xml:space="preserve"> = -0.10 (95% CI[</w:t>
      </w:r>
      <w:r>
        <w:t>-0.44, 0.2</w:t>
      </w:r>
      <w:r>
        <w:rPr>
          <w:rFonts w:hint="eastAsia"/>
        </w:rPr>
        <w:t>4]) with a measurement-</w:t>
      </w:r>
      <w:r>
        <w:t>propagated</w:t>
      </w:r>
      <w:r>
        <w:rPr>
          <w:rFonts w:hint="eastAsia"/>
        </w:rPr>
        <w:t xml:space="preserve"> interval of </w:t>
      </w:r>
      <w:r>
        <w:t>[-0.46, 0.10]</w:t>
      </w:r>
      <w:r>
        <w:rPr>
          <w:rFonts w:hint="eastAsia"/>
        </w:rPr>
        <w:t xml:space="preserve">. The Republican coefficient was positive at </w:t>
      </w:r>
      <m:oMath>
        <m:r>
          <w:rPr>
            <w:rFonts w:ascii="Cambria Math" w:hAnsi="Cambria Math"/>
          </w:rPr>
          <m:t>β</m:t>
        </m:r>
      </m:oMath>
      <w:r>
        <w:rPr>
          <w:rFonts w:hint="eastAsia"/>
        </w:rPr>
        <w:t xml:space="preserve"> = 0.049 (95% CI</w:t>
      </w:r>
      <w:r>
        <w:t>[-0.5</w:t>
      </w:r>
      <w:r>
        <w:rPr>
          <w:rFonts w:hint="eastAsia"/>
        </w:rPr>
        <w:t>5</w:t>
      </w:r>
      <w:r>
        <w:t>, 0.64]</w:t>
      </w:r>
      <w:r>
        <w:rPr>
          <w:rFonts w:hint="eastAsia"/>
        </w:rPr>
        <w:t>) with a measurement-</w:t>
      </w:r>
      <w:r>
        <w:t>propagated</w:t>
      </w:r>
      <w:r>
        <w:rPr>
          <w:rFonts w:hint="eastAsia"/>
        </w:rPr>
        <w:t xml:space="preserve"> interval of </w:t>
      </w:r>
      <w:r>
        <w:t>[-1.02, 0.4</w:t>
      </w:r>
      <w:r>
        <w:rPr>
          <w:rFonts w:hint="eastAsia"/>
        </w:rPr>
        <w:t>7</w:t>
      </w:r>
      <w:r>
        <w:t>]</w:t>
      </w:r>
      <w:r>
        <w:rPr>
          <w:rFonts w:hint="eastAsia"/>
        </w:rPr>
        <w:t>. Both party</w:t>
      </w:r>
      <w:r>
        <w:t>’</w:t>
      </w:r>
      <w:r>
        <w:rPr>
          <w:rFonts w:hint="eastAsia"/>
        </w:rPr>
        <w:t xml:space="preserve">s CI included zero, suggesting that we cannot reliably confirm if there is a significant positive relationship between polarization and </w:t>
      </w:r>
      <w:r>
        <w:lastRenderedPageBreak/>
        <w:t>within</w:t>
      </w:r>
      <w:r>
        <w:rPr>
          <w:rFonts w:hint="eastAsia"/>
        </w:rPr>
        <w:t xml:space="preserve">-party coherence. Additionally, the Republican coefficient also changed sign under the AR(1) model, reaching -0.26, suggesting that its direction and magnitude is not stable across error structure. Therefore, H3 is not supported. </w:t>
      </w:r>
    </w:p>
    <w:p w14:paraId="5C6E2C11" w14:textId="77777777" w:rsidR="00EE60D6" w:rsidRDefault="00EE60D6" w:rsidP="00EE60D6">
      <w:pPr>
        <w:rPr>
          <w:i/>
          <w:iCs/>
          <w:color w:val="444444"/>
          <w:sz w:val="20"/>
          <w:szCs w:val="20"/>
        </w:rPr>
      </w:pPr>
    </w:p>
    <w:p w14:paraId="099D68D6" w14:textId="77777777" w:rsidR="00EE60D6" w:rsidRDefault="00EE60D6" w:rsidP="00EE60D6">
      <w:r>
        <w:rPr>
          <w:rFonts w:hint="eastAsia"/>
        </w:rPr>
        <w:t>Turning to the time coefficient, however, depicts a different pattern than the polarization coefficients. While Republican</w:t>
      </w:r>
      <w:r>
        <w:t>’</w:t>
      </w:r>
      <w:r>
        <w:rPr>
          <w:rFonts w:hint="eastAsia"/>
        </w:rPr>
        <w:t xml:space="preserve">s within-party coherence increased </w:t>
      </w:r>
      <w:r>
        <w:t>significantly</w:t>
      </w:r>
      <w:r>
        <w:rPr>
          <w:rFonts w:hint="eastAsia"/>
        </w:rPr>
        <w:t xml:space="preserve">, Democrat did not, it instead decreased slightly. Republican raw IQR fell by 0.77 points per month (SE = 0.21, p &lt; 0.001, 95% CI[-1.19, -0.34]), the Democratic raw IQR increased by 0.17 points per month (SE = 0.12, p = 0.18, </w:t>
      </w:r>
      <w:r w:rsidRPr="008D13AE">
        <w:t>95% CI [−0.07</w:t>
      </w:r>
      <w:r>
        <w:rPr>
          <w:rFonts w:hint="eastAsia"/>
        </w:rPr>
        <w:t>8</w:t>
      </w:r>
      <w:r w:rsidRPr="008D13AE">
        <w:t xml:space="preserve"> 0.4</w:t>
      </w:r>
      <w:r>
        <w:rPr>
          <w:rFonts w:hint="eastAsia"/>
        </w:rPr>
        <w:t>1</w:t>
      </w:r>
      <w:r w:rsidRPr="008D13AE">
        <w:t>]</w:t>
      </w:r>
      <w:r>
        <w:rPr>
          <w:rFonts w:hint="eastAsia"/>
        </w:rPr>
        <w:t xml:space="preserve">).  </w:t>
      </w:r>
    </w:p>
    <w:p w14:paraId="76CB995A" w14:textId="77777777" w:rsidR="00EE60D6" w:rsidRDefault="00EE60D6" w:rsidP="00EE60D6">
      <w:pPr>
        <w:pStyle w:val="2"/>
      </w:pPr>
      <w:r w:rsidRPr="00D524EA">
        <w:t>RQ4</w:t>
      </w:r>
    </w:p>
    <w:p w14:paraId="7BC71A10" w14:textId="77777777" w:rsidR="00EE60D6" w:rsidRPr="007076E8" w:rsidRDefault="00EE60D6" w:rsidP="00EE60D6">
      <w:r>
        <w:rPr>
          <w:rFonts w:hint="eastAsia"/>
        </w:rPr>
        <w:t>The PBI ranged from 43.03 in March 2022 to 68.23 in June 2024, averaging at 57.29 across the studied period. It increased significantly, with a Sen slope of 0.36 index points per month (</w:t>
      </w:r>
      <w:r w:rsidRPr="00CF67CB">
        <w:rPr>
          <w:rFonts w:eastAsia="Times New Roman"/>
        </w:rPr>
        <w:t xml:space="preserve">95% </w:t>
      </w:r>
      <w:r>
        <w:rPr>
          <w:rFonts w:eastAsia="Times New Roman" w:hint="eastAsia"/>
        </w:rPr>
        <w:t>CI</w:t>
      </w:r>
      <w:r w:rsidRPr="00CF67CB">
        <w:rPr>
          <w:rFonts w:eastAsia="Times New Roman"/>
        </w:rPr>
        <w:t>[0.1</w:t>
      </w:r>
      <w:r>
        <w:rPr>
          <w:rFonts w:eastAsia="Times New Roman" w:hint="eastAsia"/>
        </w:rPr>
        <w:t>5</w:t>
      </w:r>
      <w:r w:rsidRPr="00CF67CB">
        <w:rPr>
          <w:rFonts w:eastAsia="Times New Roman"/>
        </w:rPr>
        <w:t xml:space="preserve">, 0.54], </w:t>
      </w:r>
      <w:r w:rsidRPr="00793DAB">
        <w:rPr>
          <w:rFonts w:eastAsia="Times New Roman"/>
          <w:i/>
          <w:iCs/>
        </w:rPr>
        <w:t>p</w:t>
      </w:r>
      <w:r w:rsidRPr="00CF67CB">
        <w:rPr>
          <w:rFonts w:eastAsia="Times New Roman"/>
        </w:rPr>
        <w:t xml:space="preserve"> = .001</w:t>
      </w:r>
      <w:r>
        <w:rPr>
          <w:rFonts w:hint="eastAsia"/>
        </w:rPr>
        <w:t xml:space="preserve">), which accumulates to roughly a 12-points rise. The structure that best described the trajectory of PBI is simpler than polarization. The selected model places a single onset in September 2023, BIC = 215.48, as shown in the Panel B of Figure 2. Its regime levels were 53.72 before the onset and 61.30 after the onset, with an increase of 7.58 PBI points. The runner-up was a no-shift AR(1) model that is 9.35 BIC points higher. </w:t>
      </w:r>
    </w:p>
    <w:p w14:paraId="203FC822" w14:textId="77777777" w:rsidR="00EE60D6" w:rsidRPr="00CF67CB" w:rsidRDefault="00EE60D6" w:rsidP="00EE60D6">
      <w:pPr>
        <w:pStyle w:val="2"/>
      </w:pPr>
      <w:r w:rsidRPr="00CF67CB">
        <w:t>Summary of findings</w:t>
      </w:r>
    </w:p>
    <w:p w14:paraId="49ED7E9E" w14:textId="77777777" w:rsidR="00EE60D6" w:rsidRPr="001F3AC2" w:rsidRDefault="00EE60D6" w:rsidP="00EE60D6">
      <w:r>
        <w:rPr>
          <w:rFonts w:hint="eastAsia"/>
        </w:rPr>
        <w:t xml:space="preserve">Overall, the polarization of General Ukraine Aid Stance increased substantially from March 2022 to December 2024, with this increase taking the form of three persistent level shifts rather than steady growth. The paired comparison showed larger Republican than Democratic movement toward opposition, suggesting that most of the growth in polarization is driven by Republican movement. Resource Allocation accounted for the most of the contemporaneous variations in the General Aid Stance polarization. Lastly, the PBI increased and moved to a higher regime level from September 2023, and there was no </w:t>
      </w:r>
      <w:r>
        <w:t>significant</w:t>
      </w:r>
      <w:r>
        <w:rPr>
          <w:rFonts w:hint="eastAsia"/>
        </w:rPr>
        <w:t xml:space="preserve"> correlation between polarization and either party</w:t>
      </w:r>
      <w:r>
        <w:t>’</w:t>
      </w:r>
      <w:r>
        <w:rPr>
          <w:rFonts w:hint="eastAsia"/>
        </w:rPr>
        <w:t xml:space="preserve">s within-party coherence within the studies period. </w:t>
      </w:r>
    </w:p>
    <w:p w14:paraId="371F4B11" w14:textId="77777777" w:rsidR="00EE60D6" w:rsidRDefault="00EE60D6" w:rsidP="00EE60D6">
      <w:pPr>
        <w:pStyle w:val="1"/>
      </w:pPr>
      <w:bookmarkStart w:id="6" w:name="OLE_LINK1"/>
      <w:r>
        <w:rPr>
          <w:rFonts w:hint="eastAsia"/>
        </w:rPr>
        <w:t>Discussion</w:t>
      </w:r>
    </w:p>
    <w:p w14:paraId="468F9295" w14:textId="77777777" w:rsidR="00EE60D6" w:rsidRDefault="00EE60D6" w:rsidP="00EE60D6">
      <w:bookmarkStart w:id="7" w:name="OLE_LINK5"/>
      <w:r w:rsidRPr="00013B23">
        <w:t xml:space="preserve">This study examined whether and how </w:t>
      </w:r>
      <w:r>
        <w:rPr>
          <w:rFonts w:hint="eastAsia"/>
        </w:rPr>
        <w:t xml:space="preserve">media coverage of the Republican and Democrats evolves in relation to the issue of Ukraine Aid from March 2022 to December 2024, treating the rapid transformation of once-bipartisan foreign policy issue as a naturally </w:t>
      </w:r>
      <w:r>
        <w:t>occurring</w:t>
      </w:r>
      <w:r>
        <w:rPr>
          <w:rFonts w:hint="eastAsia"/>
        </w:rPr>
        <w:t xml:space="preserve"> case for observing party brand. Drawing insights from </w:t>
      </w:r>
      <w:r>
        <w:fldChar w:fldCharType="begin"/>
      </w:r>
      <w:r>
        <w:instrText xml:space="preserve"> ADDIN ZOTERO_ITEM CSL_CITATION {"citationID":"J6i1RXKh","properties":{"unsorted":false,"formattedCitation":"(Rieger, 2025b)","plainCitation":"(Rieger, 2025b)","dontUpdate":true,"noteIndex":0},"citationItems":[{"id":8562,"uris":["http://zotero.org/users/6825464/items/3276AFEP"],"itemData":{"id":8562,"type":"article-journal","abstract":"The paper, leaning on discourse-bound identity theory and a contestation concept, examines contestations of support for Ukraine and their prevalence in both parties in U.S. Congress, investigating links to U.S. foreign policy traditions. The discourse analysis shows increasing contestation within the Grand Old Party by the “America First” discursive alliance, which illustrates polarization and intra-party fragmentation, indicating future U.S. foreign policy volatility in international crises.","citation-key":"riegerTheyShouldntReceive2025","container-title":"Zeitschrift für Außen- und Sicherheitspolitik","DOI":"10.1007/s12399-025-01073-2","ISSN":"1866-2196","journalAbbreviation":"Z Außen Sicherheitspolit","language":"en","source":"Springer Link","title":"“They Shouldn’t Receive Another Penny from America!”: Contestations of U.S. Support for Ukraine from the Ideological Margins?","title-short":"“They Shouldn’t Receive Another Penny from America!”","URL":"https://doi.org/10.1007/s12399-025-01073-2","author":[{"family":"Rieger","given":"Eva"}],"accessed":{"date-parts":[["2025",11,23]]},"issued":{"date-parts":[["2025",10,28]]}}}],"schema":"https://github.com/citation-style-language/schema/raw/master/csl-citation.json"} </w:instrText>
      </w:r>
      <w:r>
        <w:fldChar w:fldCharType="separate"/>
      </w:r>
      <w:r>
        <w:rPr>
          <w:noProof/>
        </w:rPr>
        <w:t>Rieger</w:t>
      </w:r>
      <w:r>
        <w:rPr>
          <w:rFonts w:hint="eastAsia"/>
          <w:noProof/>
        </w:rPr>
        <w:t xml:space="preserve"> (</w:t>
      </w:r>
      <w:r>
        <w:rPr>
          <w:noProof/>
        </w:rPr>
        <w:t>2025b)</w:t>
      </w:r>
      <w:r>
        <w:fldChar w:fldCharType="end"/>
      </w:r>
      <w:r>
        <w:rPr>
          <w:rFonts w:hint="eastAsia"/>
        </w:rPr>
        <w:t xml:space="preserve">, we tracked polarization and </w:t>
      </w:r>
      <w:r>
        <w:t>with</w:t>
      </w:r>
      <w:r>
        <w:rPr>
          <w:rFonts w:hint="eastAsia"/>
        </w:rPr>
        <w:t xml:space="preserve">in-party coherence through the General Ukraine Aid Stance dimension and three explanatory dimension: 1) how Ukraine is characterized, 2) which external threat should be prioritized, and 3) whether foreign </w:t>
      </w:r>
      <w:r>
        <w:t>commitment</w:t>
      </w:r>
      <w:r>
        <w:rPr>
          <w:rFonts w:hint="eastAsia"/>
        </w:rPr>
        <w:t xml:space="preserve"> overweights domestic priorities. </w:t>
      </w:r>
    </w:p>
    <w:p w14:paraId="0CF73BF1" w14:textId="77777777" w:rsidR="00EE60D6" w:rsidRDefault="00EE60D6" w:rsidP="00EE60D6"/>
    <w:p w14:paraId="03C34FEA" w14:textId="77777777" w:rsidR="00EE60D6" w:rsidRDefault="00EE60D6" w:rsidP="00EE60D6">
      <w:pPr>
        <w:rPr>
          <w:rFonts w:eastAsia="Times New Roman"/>
        </w:rPr>
      </w:pPr>
      <w:r>
        <w:rPr>
          <w:rFonts w:hint="eastAsia"/>
        </w:rPr>
        <w:t xml:space="preserve">We found that General Ukraine Aid Stance polarization increased substantially </w:t>
      </w:r>
      <w:r>
        <w:t>over th</w:t>
      </w:r>
      <w:r>
        <w:rPr>
          <w:rFonts w:hint="eastAsia"/>
        </w:rPr>
        <w:t>e 34 months, with a Kendall</w:t>
      </w:r>
      <w:r>
        <w:t>’</w:t>
      </w:r>
      <w:r>
        <w:rPr>
          <w:rFonts w:hint="eastAsia"/>
        </w:rPr>
        <w:t xml:space="preserve">s </w:t>
      </w:r>
      <w:r w:rsidRPr="00C602A7">
        <w:rPr>
          <w:rFonts w:eastAsia="Times New Roman"/>
          <w:i/>
          <w:iCs/>
        </w:rPr>
        <w:t>τ</w:t>
      </w:r>
      <w:r w:rsidRPr="00C602A7">
        <w:rPr>
          <w:rFonts w:eastAsia="Times New Roman"/>
        </w:rPr>
        <w:t xml:space="preserve"> = .330</w:t>
      </w:r>
      <w:r>
        <w:rPr>
          <w:rFonts w:eastAsia="Times New Roman" w:hint="eastAsia"/>
        </w:rPr>
        <w:t xml:space="preserve"> (</w:t>
      </w:r>
      <w:r w:rsidRPr="00C602A7">
        <w:rPr>
          <w:rFonts w:eastAsia="Times New Roman"/>
          <w:i/>
          <w:iCs/>
        </w:rPr>
        <w:t>p</w:t>
      </w:r>
      <w:r w:rsidRPr="00C602A7">
        <w:rPr>
          <w:rFonts w:eastAsia="Times New Roman"/>
        </w:rPr>
        <w:t xml:space="preserve"> = .006</w:t>
      </w:r>
      <w:r>
        <w:rPr>
          <w:rFonts w:eastAsia="Times New Roman" w:hint="eastAsia"/>
        </w:rPr>
        <w:t xml:space="preserve">), and a Sen slope of 0.29 points per month. We then compared three </w:t>
      </w:r>
      <w:r>
        <w:rPr>
          <w:rFonts w:eastAsia="Times New Roman" w:hint="eastAsia"/>
        </w:rPr>
        <w:lastRenderedPageBreak/>
        <w:t xml:space="preserve">descriptions of the temporal trajectory of polarization: a single gradual trend, a set of persistent shifts, and a model with sets of </w:t>
      </w:r>
      <w:r>
        <w:rPr>
          <w:rFonts w:eastAsia="Times New Roman"/>
        </w:rPr>
        <w:t>shifts</w:t>
      </w:r>
      <w:r>
        <w:rPr>
          <w:rFonts w:eastAsia="Times New Roman" w:hint="eastAsia"/>
        </w:rPr>
        <w:t xml:space="preserve"> and a common trend running through them. The shift-only model achieved the lowest BIC, with the common trend </w:t>
      </w:r>
      <w:r>
        <w:rPr>
          <w:rFonts w:eastAsia="Times New Roman"/>
        </w:rPr>
        <w:t>contributing</w:t>
      </w:r>
      <w:r>
        <w:rPr>
          <w:rFonts w:eastAsia="Times New Roman" w:hint="eastAsia"/>
        </w:rPr>
        <w:t xml:space="preserve"> no </w:t>
      </w:r>
      <w:r>
        <w:rPr>
          <w:rFonts w:eastAsia="Times New Roman"/>
        </w:rPr>
        <w:t>significantly</w:t>
      </w:r>
      <w:r>
        <w:rPr>
          <w:rFonts w:eastAsia="Times New Roman" w:hint="eastAsia"/>
        </w:rPr>
        <w:t xml:space="preserve"> additional information to the estimation once shifts were admitted. The selected model placed three regime onset month to September 2022, April 2023, and September 2023, leaving four </w:t>
      </w:r>
      <w:r>
        <w:rPr>
          <w:rFonts w:eastAsia="Times New Roman"/>
        </w:rPr>
        <w:t>regimes</w:t>
      </w:r>
      <w:r>
        <w:rPr>
          <w:rFonts w:eastAsia="Times New Roman" w:hint="eastAsia"/>
        </w:rPr>
        <w:t xml:space="preserve"> with polarization levels of 28.2, 37.27, 28.74, and 39.91. Polarization increased </w:t>
      </w:r>
      <w:r>
        <w:rPr>
          <w:rFonts w:eastAsia="Times New Roman"/>
        </w:rPr>
        <w:t>substantively</w:t>
      </w:r>
      <w:r>
        <w:rPr>
          <w:rFonts w:eastAsia="Times New Roman" w:hint="eastAsia"/>
        </w:rPr>
        <w:t xml:space="preserve"> first, but returned to its start point, then increased again and sustained for 16 months. The evidence thus supports a temporal structure that contains multiple </w:t>
      </w:r>
      <w:r>
        <w:rPr>
          <w:rFonts w:eastAsia="Times New Roman"/>
        </w:rPr>
        <w:t>punctuated</w:t>
      </w:r>
      <w:r>
        <w:rPr>
          <w:rFonts w:eastAsia="Times New Roman" w:hint="eastAsia"/>
        </w:rPr>
        <w:t xml:space="preserve"> shifts rather than a gradual trend. </w:t>
      </w:r>
    </w:p>
    <w:p w14:paraId="76DD82CB" w14:textId="77777777" w:rsidR="00EE60D6" w:rsidRDefault="00EE60D6" w:rsidP="00EE60D6">
      <w:pPr>
        <w:rPr>
          <w:rFonts w:eastAsia="Times New Roman"/>
        </w:rPr>
      </w:pPr>
    </w:p>
    <w:p w14:paraId="2AEFAE31" w14:textId="77777777" w:rsidR="00EE60D6" w:rsidRDefault="00EE60D6" w:rsidP="00EE60D6">
      <w:pPr>
        <w:rPr>
          <w:rFonts w:eastAsia="Times New Roman"/>
        </w:rPr>
      </w:pPr>
      <w:r>
        <w:rPr>
          <w:rFonts w:eastAsia="Times New Roman" w:hint="eastAsia"/>
        </w:rPr>
        <w:t xml:space="preserve">Both parties moved significantly towards opposition on the issue of Ukraine Aid, though Republicans moved further. On the Sen slope, Republican moved on average 0.42 points towards the opposition per month, and Democrats moved roughly 0.17 points per month. The median difference between their growth is 0.29 points per month, also significant. This finding is consistent with the notion that minority party are </w:t>
      </w:r>
      <w:r>
        <w:rPr>
          <w:rFonts w:eastAsia="Times New Roman"/>
        </w:rPr>
        <w:t>incentiv</w:t>
      </w:r>
      <w:r>
        <w:rPr>
          <w:rFonts w:eastAsia="Times New Roman" w:hint="eastAsia"/>
        </w:rPr>
        <w:t xml:space="preserve">ized and rewarded more to establish </w:t>
      </w:r>
      <w:r>
        <w:rPr>
          <w:rFonts w:eastAsia="Times New Roman"/>
        </w:rPr>
        <w:t>differentiation</w:t>
      </w:r>
      <w:r>
        <w:rPr>
          <w:rFonts w:eastAsia="Times New Roman" w:hint="eastAsia"/>
        </w:rPr>
        <w:t xml:space="preserve"> on emerging issues. Among the three </w:t>
      </w:r>
      <w:r>
        <w:rPr>
          <w:rFonts w:eastAsia="Times New Roman"/>
        </w:rPr>
        <w:t>explanatory</w:t>
      </w:r>
      <w:r>
        <w:rPr>
          <w:rFonts w:eastAsia="Times New Roman" w:hint="eastAsia"/>
        </w:rPr>
        <w:t xml:space="preserve"> dimension, Resource Allocation showed the largest contemporaneous contribution to the General Ukraind Aid Stance polarization, accounting for 61.2% of modeled R</w:t>
      </w:r>
      <w:r w:rsidRPr="003E7559">
        <w:rPr>
          <w:rFonts w:eastAsia="Times New Roman" w:hint="eastAsia"/>
          <w:vertAlign w:val="superscript"/>
        </w:rPr>
        <w:t>2</w:t>
      </w:r>
      <w:r>
        <w:rPr>
          <w:rFonts w:eastAsia="Times New Roman" w:hint="eastAsia"/>
        </w:rPr>
        <w:t xml:space="preserve">, </w:t>
      </w:r>
      <w:r>
        <w:rPr>
          <w:rFonts w:eastAsia="Times New Roman"/>
        </w:rPr>
        <w:t>superseding</w:t>
      </w:r>
      <w:r>
        <w:rPr>
          <w:rFonts w:eastAsia="Times New Roman" w:hint="eastAsia"/>
        </w:rPr>
        <w:t xml:space="preserve"> Ukraine Characterization (24.3%) and Threat Priority (14.4%). However, this ordering did not survive the stationary bootstrap, therefore, we cannot confirm reliably, within our corpus sample, that this finding generalizes. </w:t>
      </w:r>
    </w:p>
    <w:p w14:paraId="47FA5ECC" w14:textId="77777777" w:rsidR="00EE60D6" w:rsidRDefault="00EE60D6" w:rsidP="00EE60D6">
      <w:pPr>
        <w:rPr>
          <w:rFonts w:eastAsia="Times New Roman"/>
        </w:rPr>
      </w:pPr>
    </w:p>
    <w:p w14:paraId="6B139F82" w14:textId="77777777" w:rsidR="00EE60D6" w:rsidRDefault="00EE60D6" w:rsidP="00EE60D6">
      <w:r>
        <w:t>The Party Brand Index increased significantly across the 34 months, with a Sen slope of 0.36 points per mont</w:t>
      </w:r>
      <w:r>
        <w:rPr>
          <w:rFonts w:hint="eastAsia"/>
        </w:rPr>
        <w:t xml:space="preserve">h. The BIC selected model had one onset </w:t>
      </w:r>
      <w:r>
        <w:t>month</w:t>
      </w:r>
      <w:r>
        <w:rPr>
          <w:rFonts w:hint="eastAsia"/>
        </w:rPr>
        <w:t xml:space="preserve"> </w:t>
      </w:r>
      <w:r>
        <w:t>in</w:t>
      </w:r>
      <w:r>
        <w:rPr>
          <w:rFonts w:hint="eastAsia"/>
        </w:rPr>
        <w:t xml:space="preserve"> September 2023, leaving two regimes averaging at 53.72 and 61.30 index points. However, </w:t>
      </w:r>
      <w:r>
        <w:rPr>
          <w:rFonts w:eastAsia="Times New Roman" w:hint="eastAsia"/>
        </w:rPr>
        <w:t>the underlying General Aid Stance polarization and within-party coherence did not move together.</w:t>
      </w:r>
      <w:r w:rsidRPr="007303C2">
        <w:rPr>
          <w:rFonts w:eastAsia="Times New Roman" w:hint="eastAsia"/>
        </w:rPr>
        <w:t xml:space="preserve"> </w:t>
      </w:r>
      <w:r>
        <w:rPr>
          <w:rFonts w:eastAsia="Times New Roman" w:hint="eastAsia"/>
        </w:rPr>
        <w:t>Neither party</w:t>
      </w:r>
      <w:r>
        <w:rPr>
          <w:rFonts w:eastAsia="Times New Roman"/>
        </w:rPr>
        <w:t>’</w:t>
      </w:r>
      <w:r>
        <w:rPr>
          <w:rFonts w:eastAsia="Times New Roman" w:hint="eastAsia"/>
        </w:rPr>
        <w:t xml:space="preserve">s polarization coefficient was </w:t>
      </w:r>
      <w:r>
        <w:rPr>
          <w:rFonts w:eastAsia="Times New Roman"/>
        </w:rPr>
        <w:t>reliably</w:t>
      </w:r>
      <w:r>
        <w:rPr>
          <w:rFonts w:eastAsia="Times New Roman" w:hint="eastAsia"/>
        </w:rPr>
        <w:t xml:space="preserve"> different from zero when predicting its own within-party coherence of the same month.</w:t>
      </w:r>
      <w:r>
        <w:rPr>
          <w:rFonts w:hint="eastAsia"/>
        </w:rPr>
        <w:t xml:space="preserve"> </w:t>
      </w:r>
      <w:r>
        <w:t xml:space="preserve">What did change was Republican coherence: coverage </w:t>
      </w:r>
      <w:r>
        <w:rPr>
          <w:rFonts w:hint="eastAsia"/>
        </w:rPr>
        <w:t xml:space="preserve">about Republican </w:t>
      </w:r>
      <w:r>
        <w:t xml:space="preserve">converged by a fitted 25.3 </w:t>
      </w:r>
      <w:r>
        <w:rPr>
          <w:rFonts w:hint="eastAsia"/>
        </w:rPr>
        <w:t>IQR</w:t>
      </w:r>
      <w:r>
        <w:t xml:space="preserve"> points over</w:t>
      </w:r>
      <w:r>
        <w:rPr>
          <w:rFonts w:hint="eastAsia"/>
        </w:rPr>
        <w:t xml:space="preserve"> the studied period</w:t>
      </w:r>
      <w:r>
        <w:t>, while</w:t>
      </w:r>
      <w:r>
        <w:rPr>
          <w:rFonts w:hint="eastAsia"/>
        </w:rPr>
        <w:t xml:space="preserve"> Democrat</w:t>
      </w:r>
      <w:r>
        <w:t>’</w:t>
      </w:r>
      <w:r>
        <w:rPr>
          <w:rFonts w:hint="eastAsia"/>
        </w:rPr>
        <w:t xml:space="preserve">s coherence showed a non-significant decline. Therefore, at least for Republican, it has both differentiated sharply from Democrat on the issue of Ukraine aid, and has, over the course of 34 months, consolidated their internal messages regarding their stance. </w:t>
      </w:r>
    </w:p>
    <w:bookmarkEnd w:id="7"/>
    <w:p w14:paraId="6ADB318A" w14:textId="77777777" w:rsidR="00EE60D6" w:rsidRDefault="00EE60D6" w:rsidP="00EE60D6"/>
    <w:p w14:paraId="760869F3" w14:textId="77777777" w:rsidR="00EE60D6" w:rsidRDefault="00EE60D6" w:rsidP="00EE60D6">
      <w:r>
        <w:t xml:space="preserve">Overall, our findings show that a foreign policy issue can acquire a </w:t>
      </w:r>
      <w:r>
        <w:rPr>
          <w:rFonts w:hint="eastAsia"/>
        </w:rPr>
        <w:t>partisan</w:t>
      </w:r>
      <w:r>
        <w:t xml:space="preserve"> brand within months, and that the process was neither smooth, nor symmetric, nor synchronized.</w:t>
      </w:r>
      <w:r>
        <w:rPr>
          <w:rFonts w:hint="eastAsia"/>
        </w:rPr>
        <w:t xml:space="preserve"> </w:t>
      </w:r>
      <w:r>
        <w:t xml:space="preserve">It was not smooth. Both polarization and the Party Brand Index moved between persistent levels rather than </w:t>
      </w:r>
      <w:r>
        <w:rPr>
          <w:rFonts w:hint="eastAsia"/>
        </w:rPr>
        <w:t>gradual trend</w:t>
      </w:r>
      <w:r>
        <w:t>, and both settled into their final regime in September 2023.</w:t>
      </w:r>
      <w:r>
        <w:rPr>
          <w:rFonts w:hint="eastAsia"/>
        </w:rPr>
        <w:t xml:space="preserve"> </w:t>
      </w:r>
    </w:p>
    <w:p w14:paraId="3BD581FE" w14:textId="77777777" w:rsidR="00EE60D6" w:rsidRDefault="00EE60D6" w:rsidP="00EE60D6"/>
    <w:p w14:paraId="08E8CAB6" w14:textId="77777777" w:rsidR="00EE60D6" w:rsidRDefault="00EE60D6" w:rsidP="00EE60D6">
      <w:r>
        <w:t xml:space="preserve">It was not symmetric. Both parties moved toward opposition, </w:t>
      </w:r>
      <w:r>
        <w:rPr>
          <w:rFonts w:hint="eastAsia"/>
        </w:rPr>
        <w:t>but</w:t>
      </w:r>
      <w:r>
        <w:t xml:space="preserve"> Republicans moved further, so the widening </w:t>
      </w:r>
      <w:r>
        <w:rPr>
          <w:rFonts w:hint="eastAsia"/>
        </w:rPr>
        <w:t>polarization</w:t>
      </w:r>
      <w:r>
        <w:t xml:space="preserve"> </w:t>
      </w:r>
      <w:r>
        <w:rPr>
          <w:rFonts w:hint="eastAsia"/>
        </w:rPr>
        <w:t>reflected</w:t>
      </w:r>
      <w:r>
        <w:t xml:space="preserve"> a difference in the extent of </w:t>
      </w:r>
      <w:r>
        <w:rPr>
          <w:rFonts w:hint="eastAsia"/>
        </w:rPr>
        <w:t>directional</w:t>
      </w:r>
      <w:r>
        <w:t xml:space="preserve"> movement rather than one party moving against a fixed </w:t>
      </w:r>
      <w:r>
        <w:rPr>
          <w:rFonts w:hint="eastAsia"/>
        </w:rPr>
        <w:t>position of another</w:t>
      </w:r>
      <w:r>
        <w:t>.</w:t>
      </w:r>
      <w:r>
        <w:rPr>
          <w:rFonts w:hint="eastAsia"/>
        </w:rPr>
        <w:t xml:space="preserve"> </w:t>
      </w:r>
    </w:p>
    <w:p w14:paraId="65B56EFF" w14:textId="77777777" w:rsidR="00EE60D6" w:rsidRDefault="00EE60D6" w:rsidP="00EE60D6"/>
    <w:p w14:paraId="7C702664" w14:textId="77777777" w:rsidR="00EE60D6" w:rsidRDefault="00EE60D6" w:rsidP="00EE60D6">
      <w:r>
        <w:t>It was not synchronized. Both conditions a party brand requires advanced for the Republican Party, which moved further from the Democratic position and consolidat</w:t>
      </w:r>
      <w:r>
        <w:rPr>
          <w:rFonts w:hint="eastAsia"/>
        </w:rPr>
        <w:t>ed on a more consistent position of their own</w:t>
      </w:r>
      <w:r>
        <w:t xml:space="preserve">, yet the two did not move together from month to month. </w:t>
      </w:r>
    </w:p>
    <w:p w14:paraId="757DD0E5" w14:textId="77777777" w:rsidR="00EE60D6" w:rsidRDefault="00EE60D6" w:rsidP="00EE60D6">
      <w:pPr>
        <w:pStyle w:val="2"/>
      </w:pPr>
      <w:r>
        <w:lastRenderedPageBreak/>
        <w:t>Theoretical Implications for Party Brand</w:t>
      </w:r>
    </w:p>
    <w:p w14:paraId="76C3EA15" w14:textId="77777777" w:rsidR="00EE60D6" w:rsidRDefault="00EE60D6" w:rsidP="00EE60D6">
      <w:r>
        <w:t xml:space="preserve">Party brand theory holds that parties are motivated both to occupy distinct positions and to maintain consistent messaging, so that voters can use party labels as informational shortcuts (Lupu, 2013, 2016). Across the 34 months, both conditions advanced for the Republican Party. Its represented position moved further from the Democratic position, and its coverage converged on a more consistent position of its own. The content of the theory is therefore upheld in the case we examined. What our findings adds further is its timing. Polarization and within-party coherence did not move together from month to month. </w:t>
      </w:r>
    </w:p>
    <w:p w14:paraId="54F8226F" w14:textId="77777777" w:rsidR="00EE60D6" w:rsidRDefault="00EE60D6" w:rsidP="00EE60D6"/>
    <w:p w14:paraId="4E4DF170" w14:textId="77777777" w:rsidR="00EE60D6" w:rsidRDefault="00EE60D6" w:rsidP="00EE60D6">
      <w:r>
        <w:t>There instead seems to be a lag for within-party coherence, and there are few explanations as to why. First, polarization and consolidation are not equally costly. A party’s represented position can move as soon as a few prominent voices push out an extreme view, whereas its represented range narrows only if most of its voices follow. The first requires position-taking by individuals; the second requires the remainder of the party to fall into line, which is the work of coordination and resolution of intraparty disputes. Second, our two measures track different parts of the same distribution. Polarization is a difference in party means and responds to the tails, while the IQR is constructed not to. A shift driven by a vocal minority therefore registers in one measure before the other, so temporal misalignment between them might be expected rather than anomalous.</w:t>
      </w:r>
    </w:p>
    <w:p w14:paraId="1F342BDB" w14:textId="77777777" w:rsidR="00EE60D6" w:rsidRDefault="00EE60D6" w:rsidP="00EE60D6"/>
    <w:p w14:paraId="2F83460E" w14:textId="77777777" w:rsidR="00EE60D6" w:rsidRDefault="00EE60D6" w:rsidP="00EE60D6">
      <w:r>
        <w:t>A third possibility concerns how news coverage represents parties rather than how parties behave. Our Literature Review established that perceived brands form through indirect communication, and that argument has a consequence we can now state. When a party is repositioning, its internal disagreement is itself newsworthy, so coverage may amplify the range of intraparty opinion at precisely the moments when the party is trying to narrow it. If that holds, represented coherence is structurally harder to achieve than represented distinctiveness, and the lag we observe would be a property of the medium rather than of the party. Our design cannot separate this reading from the previous two.</w:t>
      </w:r>
    </w:p>
    <w:p w14:paraId="5A23443A" w14:textId="77777777" w:rsidR="00EE60D6" w:rsidRDefault="00EE60D6" w:rsidP="00EE60D6"/>
    <w:p w14:paraId="15FD474E" w14:textId="77777777" w:rsidR="00EE60D6" w:rsidRDefault="00EE60D6" w:rsidP="00EE60D6">
      <w:r>
        <w:t>Democratic coverage shows the complement to the Republican pattern. Democrats held an upward but more maintained position, with a coherence that did not narrow and in fact widened slightly without reaching significance. Republicans, holding the minority position in the Senate and facing unified Democratic control until late 2022, had reason to establish ownership on an emerging issue</w:t>
      </w:r>
      <w:r>
        <w:rPr>
          <w:rFonts w:hint="eastAsia"/>
        </w:rPr>
        <w:t xml:space="preserve"> </w:t>
      </w:r>
      <w:r>
        <w:fldChar w:fldCharType="begin"/>
      </w:r>
      <w:r>
        <w:instrText xml:space="preserve"> ADDIN ZOTERO_ITEM CSL_CITATION {"citationID":"cFKd71DY","properties":{"unsorted":false,"formattedCitation":"(Abou-Chadi &amp; Orlowski, 2016; Kollberg, 2025)","plainCitation":"(Abou-Chadi &amp; Orlowski, 2016; Kollberg, 2025)","noteIndex":0},"citationItems":[{"id":8354,"uris":["http://zotero.org/users/6825464/items/8F4XZD4B"],"itemData":{"id":8354,"type":"article-journal","abstract":"This article investigates how the degree of electoral competition affects parties’ policy positions. It follows a growing body of research on party positioning in multiparty competition that regards elections as signals for parties that have to choose their positions and issue strategies. In this article we argue that previous elections provide information about the competitiveness of the upcoming election. The expected degree of electoral competition affects parties’ future policy positions since with increasing competitiveness of an election, parties have higher incentives to move toward a vote-maximizing position. However, what constitutes a vote-maximizing strategy varies between parties. While large mainstream parties have an incentive to moderate their positions, small and niche parties choose more extreme positions to distinguish themselves from their mainstream competitors. Applying a novel measure of electoral competitiveness, we find that the degree of electoral competition indeed determines parties’ policy shifts, but that this effect is moderated by party size.","citation-key":"abou-chadiModerateNecessaryRole2016","container-title":"The Journal of Politics","DOI":"10.1086/685585","ISSN":"0022-3816","issue":"3","page":"868-881","publisher":"The University of Chicago Press","source":"journals.uchicago.edu (Atypon)","title":"Moderate as Necessary: The Role of Electoral Competitiveness and Party Size in Explaining Parties’ Policy Shifts","title-short":"Moderate as Necessary","volume":"78","author":[{"family":"Abou-Chadi","given":"Tarik"},{"family":"Orlowski","given":"Matthias"}],"issued":{"date-parts":[["2016",7]]}}},{"id":8459,"uris":["http://zotero.org/users/6825464/items/VANKFGN7"],"itemData":{"id":8459,"type":"article-journal","abstract":"Under what conditions can challenger parties disrupt mainstream party dominance in democratic institutions? While extant work describes the cultural and economic developments that benefit challengers and parties’ programmatic responses to these, I demonstrate when and how challengers exploit these conditions in their political communication. Theoretically, I posit that challenger parties have relatively stronger vote-seeking incentives than mainstream parties. These collective incentives affect individual parliamentarians’ cost–benefit calculations. Challenger parliamentarians will engage in anti-establishment rhetoric and issue-entrepreneurship when these signals are more likely to reach the voting public and pay-off electorally. I test this theory by analysing parliamentary debates from the European Parliament (1999–2016) through a novel combination of word embeddings and bespoke dictionaries. I find that challenger parties indeed pursue different communication strategies than mainstream parties. Challenger parliamentarians engage in anti-establishment rhetoric in the run-up to elections and issue-entrepreneurship during crises. This is because these factors make speeches more likely to be transmitted to voters. These results demonstrate that challengers adjust their political communication in opportune moments giving them a competitive advantage over less flexible mainstream parties.","citation-key":"kollbergChallengerAdvantageHow2025","container-title":"Journal of European Public Policy","DOI":"10.1080/13501763.2024.2391510","ISSN":"1350-1763","issue":"9","note":"_eprint: https://doi.org/10.1080/13501763.2024.2391510","page":"2252-2281","publisher":"Routledge","source":"Taylor and Francis+NEJM","title":"The challenger advantage – how challenger parties disrupt mainstream party dominance in the European Parliament","volume":"32","author":[{"family":"Kollberg","given":"Markus"}],"issued":{"date-parts":[["2025",9,2]]}}}],"schema":"https://github.com/citation-style-language/schema/raw/master/csl-citation.json"} </w:instrText>
      </w:r>
      <w:r>
        <w:fldChar w:fldCharType="separate"/>
      </w:r>
      <w:r>
        <w:rPr>
          <w:noProof/>
        </w:rPr>
        <w:t>(Abou-Chadi &amp; Orlowski, 2016; Kollberg, 2025)</w:t>
      </w:r>
      <w:r>
        <w:fldChar w:fldCharType="end"/>
      </w:r>
      <w:r>
        <w:t>. Democrats faced the costs of abandoning a signature policy of the incumbent administration. What our findings add is that the challenger’s project extended beyond positional movement to internal consolidation, while the incumbent’s did neither.</w:t>
      </w:r>
    </w:p>
    <w:p w14:paraId="30A533D5" w14:textId="77777777" w:rsidR="00EE60D6" w:rsidRDefault="00EE60D6" w:rsidP="00EE60D6"/>
    <w:p w14:paraId="4CC24A92" w14:textId="77777777" w:rsidR="00EE60D6" w:rsidRDefault="00EE60D6" w:rsidP="00EE60D6">
      <w:r>
        <w:t xml:space="preserve">Additionally, this asymmetry is visible only because we measured both conditions at once. Party brand theory names distinctiveness and consistency as jointly necessary, but empirical work has largely operationalized the first, and a measure of divergence cannot register whether the second is keeping pace. Constructing the Party Brand Index as a geometric mean makes that question answerable, because a conjunctive measure is dampened whenever its components develop unevenly. The index increased across the period and stepped up once, in September 2023, on a base where one party consolidated and the other did not. Its rise is therefore conservative with respect to what joint development would have produced, and the gap between the two is itself a point of interest. Therefore, the index does more than </w:t>
      </w:r>
      <w:r>
        <w:lastRenderedPageBreak/>
        <w:t xml:space="preserve">summarize brand conditions. It provides a way of asking whether a brand is developing on both conditions or on one, which is a question the theory poses and existing measures cannot answer. </w:t>
      </w:r>
    </w:p>
    <w:p w14:paraId="54B394DC" w14:textId="77777777" w:rsidR="00EE60D6" w:rsidRDefault="00EE60D6" w:rsidP="00EE60D6">
      <w:pPr>
        <w:pStyle w:val="2"/>
      </w:pPr>
      <w:r>
        <w:t>Foreign Policy Polarization</w:t>
      </w:r>
    </w:p>
    <w:p w14:paraId="0862A340" w14:textId="77777777" w:rsidR="00EE60D6" w:rsidRDefault="00EE60D6" w:rsidP="00EE60D6">
      <w:r>
        <w:t xml:space="preserve">The Ukraine aid case also speaks to longstanding debates about whether politics stops at the water’s edge. </w:t>
      </w:r>
      <w:r>
        <w:fldChar w:fldCharType="begin"/>
      </w:r>
      <w:r>
        <w:instrText xml:space="preserve"> ADDIN ZOTERO_ITEM CSL_CITATION {"citationID":"jtCU4sCT","properties":{"unsorted":false,"formattedCitation":"(Bryan &amp; Tama, 2022)","plainCitation":"(Bryan &amp; Tama, 2022)","dontUpdate":true,"noteIndex":0},"citationItems":[{"id":8481,"uris":["http://zotero.org/users/6825464/items/PWIQLZ8V"],"itemData":{"id":8481,"type":"article-journal","abstract":"To what extent are U.S. elected officials polarized on foreign policy? And how do patterns of polarization and bipartisanship differ across policy areas? Using an original data set of nearly 3000 important congressional votes since the end of the Cold War, we find that severe polarization remains the exception rather than the norm in U.S. foreign policy debates and that the U.S. Congress is still less polarized on international than on domestic issues. We also show that foreign policy bipartisanship regularly takes several forms, including bipartisan agreement in support of the president’s policies, cross-partisan coalitions, and even bipartisan opposition to the president’s policies. Collectively, our findings provide a more nuanced portrait of the politics of U.S. foreign policy than many recent accounts, point to persistent differences in the political alignments associated with different policy areas, and highlight the importance of conceiving of polarization and bipartisanship as more than binary categories.","citation-key":"bryanPrevalenceBipartisanshipUS2022","container-title":"International Politics","DOI":"10.1057/s41311-021-00348-7","ISSN":"1740-3898","issue":"5","journalAbbreviation":"Int Polit","language":"en","page":"874-897","source":"Springer Link","title":"The prevalence of bipartisanship in U.S. foreign policy: an analysis of important congressional votes","title-short":"The prevalence of bipartisanship in U.S. foreign policy","volume":"59","author":[{"family":"Bryan","given":"James D."},{"family":"Tama","given":"Jordan"}],"issued":{"date-parts":[["2022",10,1]]}}}],"schema":"https://github.com/citation-style-language/schema/raw/master/csl-citation.json"} </w:instrText>
      </w:r>
      <w:r>
        <w:fldChar w:fldCharType="separate"/>
      </w:r>
      <w:r>
        <w:rPr>
          <w:noProof/>
        </w:rPr>
        <w:t>Bryan &amp; Tama</w:t>
      </w:r>
      <w:r>
        <w:rPr>
          <w:rFonts w:hint="eastAsia"/>
          <w:noProof/>
        </w:rPr>
        <w:t xml:space="preserve"> (</w:t>
      </w:r>
      <w:r>
        <w:rPr>
          <w:noProof/>
        </w:rPr>
        <w:t>2022)</w:t>
      </w:r>
      <w:r>
        <w:fldChar w:fldCharType="end"/>
      </w:r>
      <w:r>
        <w:rPr>
          <w:rFonts w:hint="eastAsia"/>
        </w:rPr>
        <w:t xml:space="preserve"> </w:t>
      </w:r>
      <w:r>
        <w:t xml:space="preserve">find that extreme partisan division on foreign policy remains the exception and that international issues are still less polarized than domestic ones. Our findings do not contradict that general claim, but they show how quickly a particular issue can move. An issue that began with broad elite agreement and little established partisan disagreement acquired a persistent partisan structure within eighteen months. </w:t>
      </w:r>
      <w:r>
        <w:fldChar w:fldCharType="begin"/>
      </w:r>
      <w:r>
        <w:instrText xml:space="preserve"> ADDIN ZOTERO_ITEM CSL_CITATION {"citationID":"XyKhihGC","properties":{"unsorted":false,"formattedCitation":"(Guisinger &amp; Saunders, 2017)","plainCitation":"(Guisinger &amp; Saunders, 2017)","dontUpdate":true,"noteIndex":0},"citationItems":[{"id":8371,"uris":["http://zotero.org/users/6825464/items/9KVRNHMR"],"itemData":{"id":8371,"type":"article-journal","abstract":"When and how do elite messages shape mass opinion on international issues? Do informational or partisan components of elite cues dominate? Recent survey ex","citation-key":"guisingerMappingBoundariesElite2017","container-title":"International Studies Quarterly","DOI":"10.1093/isq/sqx022","ISSN":"0020-8833","issue":"2","journalAbbreviation":"Int Stud Q","language":"en","page":"425-441","publisher":"Oxford Academic","source":"academic.oup.com","title":"Mapping the Boundaries of Elite Cues: How Elites Shape Mass Opinion across International Issues","title-short":"Mapping the Boundaries of Elite Cues","volume":"61","author":[{"family":"Guisinger","given":"Alexandra"},{"family":"Saunders","given":"Elizabeth N."}],"issued":{"date-parts":[["2017",6,1]]}}}],"schema":"https://github.com/citation-style-language/schema/raw/master/csl-citation.json"} </w:instrText>
      </w:r>
      <w:r>
        <w:fldChar w:fldCharType="separate"/>
      </w:r>
      <w:r>
        <w:rPr>
          <w:noProof/>
        </w:rPr>
        <w:t>Guisinger &amp; Saunders</w:t>
      </w:r>
      <w:r>
        <w:rPr>
          <w:rFonts w:hint="eastAsia"/>
          <w:noProof/>
        </w:rPr>
        <w:t xml:space="preserve"> (</w:t>
      </w:r>
      <w:r>
        <w:rPr>
          <w:noProof/>
        </w:rPr>
        <w:t>2017)</w:t>
      </w:r>
      <w:r>
        <w:fldChar w:fldCharType="end"/>
      </w:r>
      <w:r>
        <w:rPr>
          <w:rFonts w:hint="eastAsia"/>
        </w:rPr>
        <w:t xml:space="preserve"> </w:t>
      </w:r>
      <w:r>
        <w:t>show that the influence of party cues varies with how much baseline disagreement an issue already carries, which implies that an issue arriving without such a baseline is not thereby protected from acquiring one. Partisan sorting, media fragmentation, and intensified electoral competition may now expose foreign policy issues to the same dynamics that characterize domestic politics.</w:t>
      </w:r>
    </w:p>
    <w:p w14:paraId="4B1D943C" w14:textId="77777777" w:rsidR="00EE60D6" w:rsidRDefault="00EE60D6" w:rsidP="00EE60D6"/>
    <w:p w14:paraId="48CC8E4C" w14:textId="77777777" w:rsidR="00EE60D6" w:rsidRDefault="00EE60D6" w:rsidP="00EE60D6">
      <w:r>
        <w:t xml:space="preserve">The dimensional result speaks to how that exposure operates. </w:t>
      </w:r>
      <w:r>
        <w:fldChar w:fldCharType="begin"/>
      </w:r>
      <w:r>
        <w:instrText xml:space="preserve"> ADDIN ZOTERO_ITEM CSL_CITATION {"citationID":"UEvlNhz4","properties":{"unsorted":false,"formattedCitation":"(Jeong &amp; Quirk, 2019)","plainCitation":"(Jeong &amp; Quirk, 2019)","dontUpdate":true,"noteIndex":0},"citationItems":[{"id":8353,"uris":["http://zotero.org/users/6825464/items/8CB74SPA"],"itemData":{"id":8353,"type":"article-journal","abstract":"Severe party conflict, not a high-minded suspension of politics, now prevails “at the water’s edge.” Democrats and Republicans fight pitched battles over foreign affairs. But are the two parties polarized in their substantive preferences on foreign policy, or mainly jockeying for partisan advantage? Are they polarized on foreign policy less sharply than on domestic policy? What are the sources of party polarization over foreign policy? Using a new measure of senatorial foreign-policy preferences from 1945-2010, we explore party polarization over foreign policy. We find that foreign-policy preferences have had varying relationships with party politics and general ideology. Since the 1960s, however, the parties have become increasingly polarized on foreign policy. Using a multilevel analysis, we show that foreign-policy polarization has developed in response to partisan electoral rivalry, foreign-policy events, and general ideological polarization. The analysis indicates an increasing influence of domestic politics on foreign policy.","citation-key":"jeongDivisionWatersEdge2019","container-title":"American Politics Research","DOI":"10.1177/1532673X17719721","ISSN":"1532-673X","issue":"1","language":"EN","page":"58-87","publisher":"SAGE Publications Inc","source":"SAGE Journals","title":"Division at the Water’s Edge: The Polarization of Foreign Policy","title-short":"Division at the Water’s Edge","volume":"47","author":[{"family":"Jeong","given":"Gyung-Ho"},{"family":"Quirk","given":"Paul J."}],"issued":{"date-parts":[["2019",1,1]]}}}],"schema":"https://github.com/citation-style-language/schema/raw/master/csl-citation.json"} </w:instrText>
      </w:r>
      <w:r>
        <w:fldChar w:fldCharType="separate"/>
      </w:r>
      <w:r>
        <w:rPr>
          <w:noProof/>
        </w:rPr>
        <w:t>Jeong &amp; Quirk</w:t>
      </w:r>
      <w:r>
        <w:rPr>
          <w:rFonts w:hint="eastAsia"/>
          <w:noProof/>
        </w:rPr>
        <w:t xml:space="preserve"> (</w:t>
      </w:r>
      <w:r>
        <w:rPr>
          <w:noProof/>
        </w:rPr>
        <w:t>2019)</w:t>
      </w:r>
      <w:r>
        <w:fldChar w:fldCharType="end"/>
      </w:r>
      <w:r>
        <w:t xml:space="preserve"> argue that foreign policy polarization is largely derivative of broader domestic polarization, and </w:t>
      </w:r>
      <w:r>
        <w:fldChar w:fldCharType="begin"/>
      </w:r>
      <w:r>
        <w:instrText xml:space="preserve"> ADDIN ZOTERO_ITEM CSL_CITATION {"citationID":"AcpGpo5b","properties":{"unsorted":false,"formattedCitation":"(Borg, 2024)","plainCitation":"(Borg, 2024)","dontUpdate":true,"noteIndex":0},"citationItems":[{"id":8370,"uris":["http://zotero.org/users/6825464/items/A67RAXV7"],"itemData":{"id":8370,"type":"article-journal","abstract":"Growing polarization among the US electorate has in recent years attracted considerable attention from academic and non-academic observers. This paper examines some of the ways in which polarization affects US foreign and security policy in the post-Trump era. In particular, the paper offers an account of why bipartisan agreement over the so-called “rise of China” has prevailed in the face of powerful trends towards increased polarization, while domestic opinions over US aid to Ukraine have become much more contested. Drawing on a constructivist understanding of foreign policy as performative of a certain vision of the domestic self, this paper shows how US aid to Ukraine has become entangled with competing visions of the US, while domestic opinions of China have remained stable. While such a constructivist understanding does not necessarily challenge rationalist accounts, it is helpful in unravelling the link between national identity, domestic polarization, and foreign policy.","citation-key":"borgBattleSoulThis2024","container-title":"International Journal","DOI":"10.1177/00207020241232986","ISSN":"0020-7020","issue":"1","journalAbbreviation":"International Journal","language":"EN","page":"22-39","publisher":"SAGE Publications Ltd","source":"SAGE Journals","title":"“A Battle for the Soul of This Nation”: How Domestic Polarization Affects US Foreign Policy in Post-Trump America","title-short":"“A Battle for the Soul of This Nation”","volume":"79","author":[{"family":"Borg","given":"Stefan"}],"issued":{"date-parts":[["2024",3,1]]}}}],"schema":"https://github.com/citation-style-language/schema/raw/master/csl-citation.json"} </w:instrText>
      </w:r>
      <w:r>
        <w:fldChar w:fldCharType="separate"/>
      </w:r>
      <w:r>
        <w:rPr>
          <w:noProof/>
        </w:rPr>
        <w:t>Borg</w:t>
      </w:r>
      <w:r>
        <w:rPr>
          <w:rFonts w:hint="eastAsia"/>
          <w:noProof/>
        </w:rPr>
        <w:t xml:space="preserve"> (2</w:t>
      </w:r>
      <w:r>
        <w:rPr>
          <w:noProof/>
        </w:rPr>
        <w:t>024)</w:t>
      </w:r>
      <w:r>
        <w:fldChar w:fldCharType="end"/>
      </w:r>
      <w:r>
        <w:rPr>
          <w:rFonts w:hint="eastAsia"/>
        </w:rPr>
        <w:t xml:space="preserve"> </w:t>
      </w:r>
      <w:r>
        <w:t>extends this to competing visions of American identity and priorities. Of the three explanatory dimensions, the framing that set foreign commitments against domestic priorities showed the closest contemporaneous alignment with the aid stance gap, contributing 0.18 of the complete model R</w:t>
      </w:r>
      <w:r w:rsidRPr="007232BD">
        <w:rPr>
          <w:vertAlign w:val="superscript"/>
        </w:rPr>
        <w:t>2</w:t>
      </w:r>
      <w:r>
        <w:t xml:space="preserve"> of 0.294. This is the ordering the spillover account anticipates: connecting a novel foreign policy issue to well-established domestic issue appears to be the route by which it polarized, rather than disagreement about Ukraine itself or about which external threat deserves priority. Both simultaneous contrasts included zero and Resource Allocation ranked first in only 50.5 percent of dependence-preserving replicates, so the ordering is descriptive rather than established.</w:t>
      </w:r>
    </w:p>
    <w:p w14:paraId="6A7BE4E8" w14:textId="77777777" w:rsidR="00EE60D6" w:rsidRDefault="00EE60D6" w:rsidP="00EE60D6"/>
    <w:p w14:paraId="2E097651" w14:textId="77777777" w:rsidR="00EE60D6" w:rsidRDefault="00EE60D6" w:rsidP="00EE60D6">
      <w:r>
        <w:t>Our findings also speak about how apparent consensus should be interpreted.</w:t>
      </w:r>
      <w:r>
        <w:rPr>
          <w:rFonts w:hint="eastAsia"/>
        </w:rPr>
        <w:t xml:space="preserve"> </w:t>
      </w:r>
      <w:r>
        <w:fldChar w:fldCharType="begin"/>
      </w:r>
      <w:r>
        <w:instrText xml:space="preserve"> ADDIN ZOTERO_ITEM CSL_CITATION {"citationID":"S2PbmUQ3","properties":{"unsorted":false,"formattedCitation":"(Friedrichs &amp; Tama, 2022)","plainCitation":"(Friedrichs &amp; Tama, 2022)","dontUpdate":true,"noteIndex":0},"citationItems":[{"id":8375,"uris":["http://zotero.org/users/6825464/items/57CREI5V"],"itemData":{"id":8375,"type":"article-journal","abstract":"Polarization in the USA has been on the rise for several decades. In this context, few observers expect politics today to stop “at the water’s edge,” as the old cliché goes. But key questions about the relationship between polarization and US foreign policy remain to be fully answered. To what extent are American ideas about foreign policy now polarized along partisan lines? How is polarization changing the foreign policy behavior of the US Congress and President? And how is polarization altering the effectiveness of US foreign policy and influencing America’s role in the world? In this introductory article to our special issue “Domestic Polarization and US Foreign Policy: Ideas, Institutions, and Policy Implications,” we provide an overview of key debates and existing knowledge about these questions, highlight important new findings from the contributions to the special issue, and suggest avenues for further research on this increasingly important topic.","citation-key":"friedrichsPolarizationUSForeign2022","container-title":"International Politics (Hague, Netherlands)","DOI":"10.1057/s41311-022-00381-0","ISSN":"1384-5748","issue":"5","journalAbbreviation":"Int Polit (Hague)","page":"767-785","PMID":"40477983","PMCID":"PMC8914437","source":"PubMed Central","title":"Polarization and US foreign policy: key debates and new findings","title-short":"Polarization and US foreign policy","volume":"59","author":[{"family":"Friedrichs","given":"Gordon M."},{"family":"Tama","given":"Jordan"}],"issued":{"date-parts":[["2022"]]}}}],"schema":"https://github.com/citation-style-language/schema/raw/master/csl-citation.json"} </w:instrText>
      </w:r>
      <w:r>
        <w:fldChar w:fldCharType="separate"/>
      </w:r>
      <w:r>
        <w:rPr>
          <w:noProof/>
        </w:rPr>
        <w:t>Friedrichs &amp; Tama</w:t>
      </w:r>
      <w:r>
        <w:rPr>
          <w:rFonts w:hint="eastAsia"/>
          <w:noProof/>
        </w:rPr>
        <w:t xml:space="preserve"> (</w:t>
      </w:r>
      <w:r>
        <w:rPr>
          <w:noProof/>
        </w:rPr>
        <w:t>2022)</w:t>
      </w:r>
      <w:r>
        <w:fldChar w:fldCharType="end"/>
      </w:r>
      <w:r>
        <w:t xml:space="preserve"> note that interparty agreement can coexist with intraparty division, and that aggregate party differences can obscure what is happening inside each party. Our two measures separate these. The between-party polarization widened while Republican’s coherence narrowed and Democratic coherence did not, which is a pattern no measure of polarization alone would reveal. This suggests that studies reporting foreign policy polarization from party means may be describing only half of what changed.</w:t>
      </w:r>
    </w:p>
    <w:p w14:paraId="3C0CD9B1" w14:textId="77777777" w:rsidR="00EE60D6" w:rsidRDefault="00EE60D6" w:rsidP="00EE60D6"/>
    <w:p w14:paraId="54083417" w14:textId="77777777" w:rsidR="00EE60D6" w:rsidRDefault="00EE60D6" w:rsidP="00EE60D6">
      <w:r>
        <w:t>Finally, our findings do not imply that all foreign policy issues will polarize. Ukraine aid may represent a particular type of issue that is novel, initially unsettled, and open to reframing around domestic priorities.</w:t>
      </w:r>
    </w:p>
    <w:p w14:paraId="59C3398F" w14:textId="77777777" w:rsidR="00EE60D6" w:rsidRPr="004D5702" w:rsidRDefault="00EE60D6" w:rsidP="00EE60D6">
      <w:pPr>
        <w:pStyle w:val="2"/>
      </w:pPr>
      <w:r w:rsidRPr="004D5702">
        <w:t>The Structure of the Polarization Trajectory</w:t>
      </w:r>
    </w:p>
    <w:p w14:paraId="31840FAC" w14:textId="77777777" w:rsidR="00EE60D6" w:rsidRPr="00727DE2" w:rsidRDefault="00EE60D6" w:rsidP="00EE60D6">
      <w:r w:rsidRPr="00727DE2">
        <w:t xml:space="preserve">The joint model located three estimated regime onsets, in September 2022, April 2023, and September 2023. The trajectory rose, returned to approximately its starting level, then rose again to a level it held for the final 16 months. This structure matters beyond model fit. Party brand theory describes differentiation as a strategic project, and a project that proceeds in stages looks different from one that accumulates. Our </w:t>
      </w:r>
      <w:r w:rsidRPr="00727DE2">
        <w:lastRenderedPageBreak/>
        <w:t>trajectory shows a period of elevated branding that did not hold, followed by one that did. Whichever mechanism produced the durable shift, it was not simply more of what produced the first.</w:t>
      </w:r>
    </w:p>
    <w:p w14:paraId="325A0277" w14:textId="77777777" w:rsidR="00EE60D6" w:rsidRDefault="00EE60D6" w:rsidP="00EE60D6"/>
    <w:p w14:paraId="421D65EC" w14:textId="77777777" w:rsidR="00EE60D6" w:rsidRDefault="00EE60D6" w:rsidP="00EE60D6">
      <w:r>
        <w:t xml:space="preserve">For the polarization to grow, one party has to move away from the other, and around the first onset both moved. On the Republican side, opposition shifted from the party’s fringe to its leadership rank. Through the first half of 2022 the position belonged to a small group of members, but in October 2022 then Minority Leader Kevin McCarthy told </w:t>
      </w:r>
      <w:r w:rsidRPr="00F0664F">
        <w:rPr>
          <w:i/>
          <w:iCs/>
        </w:rPr>
        <w:t xml:space="preserve">The Hill </w:t>
      </w:r>
      <w:r>
        <w:t xml:space="preserve">that a Republican majority would not write a blank check for Ukraine </w:t>
      </w:r>
      <w:r>
        <w:fldChar w:fldCharType="begin"/>
      </w:r>
      <w:r>
        <w:instrText xml:space="preserve"> ADDIN ZOTERO_ITEM CSL_CITATION {"citationID":"RWS0auLe","properties":{"unsorted":false,"formattedCitation":"(Brooks, 2022)","plainCitation":"(Brooks, 2022)","noteIndex":0},"citationItems":[{"id":9682,"uris":["http://zotero.org/users/6825464/items/WCQGC7C4"],"itemData":{"id":9682,"type":"article-newspaper","abstract":"House Minority Leader Kevin McCarthy (R-Calif.) said that House Republicans will not write “a blank check” to Ukraine if they take control of the lower chamber next year, marking one of the cleares…","container-title":"The Hill","language":"en-US","title":"McCarthy warns no ‘blank check’ to Ukraine in GOP majority","URL":"https://thehill.com/homenews/house/3694022-mccarthy-warns-no-blank-check-to-ukraine-in-gop-majority/","author":[{"family":"Brooks","given":"Emily"}],"accessed":{"date-parts":[["2026",8,23]]},"issued":{"date-parts":[["2022",10,18]]}}}],"schema":"https://github.com/citation-style-language/schema/raw/master/csl-citation.json"} </w:instrText>
      </w:r>
      <w:r>
        <w:fldChar w:fldCharType="separate"/>
      </w:r>
      <w:r>
        <w:rPr>
          <w:noProof/>
        </w:rPr>
        <w:t>(Brooks, 2022)</w:t>
      </w:r>
      <w:r>
        <w:fldChar w:fldCharType="end"/>
      </w:r>
      <w:r>
        <w:t xml:space="preserve">. On the Democratic side, the one move in the opposite direction was suppressed within a day. Thirty members of the Congressional Progressive Caucus released a letter urging the White House to pursue direct diplomacy with Russia on 24 October 2022, and the caucus withdrew it the following afternoon, with its chair stating that Democrats were united in their commitment to Ukraine and that the letter was being conflated with McCarthy’s position </w:t>
      </w:r>
      <w:r>
        <w:fldChar w:fldCharType="begin"/>
      </w:r>
      <w:r>
        <w:instrText xml:space="preserve"> ADDIN ZOTERO_ITEM CSL_CITATION {"citationID":"Xb9PldCz","properties":{"unsorted":false,"formattedCitation":"(Pilkington, 2022)","plainCitation":"(Pilkington, 2022)","noteIndex":0},"citationItems":[{"id":9683,"uris":["http://zotero.org/users/6825464/items/L7LE4TQB"],"itemData":{"id":9683,"type":"article-newspaper","abstract":"Dramatic U-turn from progressive caucus, withdrawing letter sent to US president urging talks to end war in Ukraine","container-title":"The Guardian","ISSN":"0261-3077","language":"en-GB","section":"US news","source":"The Guardian","title":"Progressive Democrats retract Biden Ukraine letter after furious debate","URL":"https://www.theguardian.com/us-news/2022/oct/25/democrats-joe-biden-ukraine-war-russia-letter","author":[{"family":"Pilkington","given":"Ed"}],"accessed":{"date-parts":[["2026",8,23]]},"issued":{"date-parts":[["2022",10,25]]}}}],"schema":"https://github.com/citation-style-language/schema/raw/master/csl-citation.json"} </w:instrText>
      </w:r>
      <w:r>
        <w:fldChar w:fldCharType="separate"/>
      </w:r>
      <w:r>
        <w:rPr>
          <w:noProof/>
        </w:rPr>
        <w:t>(Pilkington, 2022)</w:t>
      </w:r>
      <w:r>
        <w:fldChar w:fldCharType="end"/>
      </w:r>
      <w:r>
        <w:t xml:space="preserve">. Democratic elites objected that the letter undercut a position of support at precisely the moment Republicans were divided over further aid </w:t>
      </w:r>
      <w:r>
        <w:fldChar w:fldCharType="begin"/>
      </w:r>
      <w:r>
        <w:instrText xml:space="preserve"> ADDIN ZOTERO_ITEM CSL_CITATION {"citationID":"Pc6qpdzp","properties":{"unsorted":false,"formattedCitation":"(Raju et al., 2022)","plainCitation":"(Raju et al., 2022)","noteIndex":0},"citationItems":[{"id":9684,"uris":["http://zotero.org/users/6825464/items/4NI8H98R"],"itemData":{"id":9684,"type":"article-newspaper","abstract":"A House progressive leader abruptly withdrew a letter pushing the Biden administration to pursue diplomacy in Russia’s war with Ukraine, an about-face following furious internal backlash from Democrats who felt blindsided by the move just two weeks before the November midterms.","container-title":"CNN","language":"en","title":"Jayapal withdraws letter on Ukraine policy amid Democratic anger","URL":"https://www.cnn.com/2022/10/25/politics/pramila-jayapal-ukraine-letter-democratic-backlash","author":[{"family":"Raju","given":"Manu"},{"family":"Diaz","given":"Daniella"},{"family":"Liptak","given":"Kevin"}],"accessed":{"date-parts":[["2026",8,23]]},"issued":{"date-parts":[["2022",10,25]]}}}],"schema":"https://github.com/citation-style-language/schema/raw/master/csl-citation.json"} </w:instrText>
      </w:r>
      <w:r>
        <w:fldChar w:fldCharType="separate"/>
      </w:r>
      <w:r>
        <w:rPr>
          <w:noProof/>
        </w:rPr>
        <w:t>(Raju et al., 2022)</w:t>
      </w:r>
      <w:r>
        <w:fldChar w:fldCharType="end"/>
      </w:r>
      <w:r>
        <w:t>. Both movements are what the asymmetric incentives reviewed would predict: the challenger attempts to own the emerging issue as an election approach, and the incumbent seeks to maintain a position it already owns. The regime then held for seven months, perhaps due to the conversion of a campaign position into a governing one. Republicans took the House majority in January 2023, so a commitment McCarthy made while seeking the speakership became the position of the chamber that controls appropriations. What had been a claim about what a majority would do became a constraint on what the majority did.</w:t>
      </w:r>
    </w:p>
    <w:p w14:paraId="7CDBEEA4" w14:textId="77777777" w:rsidR="00EE60D6" w:rsidRDefault="00EE60D6" w:rsidP="00EE60D6"/>
    <w:p w14:paraId="1C5EF69A" w14:textId="77777777" w:rsidR="00EE60D6" w:rsidRDefault="00EE60D6" w:rsidP="00EE60D6">
      <w:r>
        <w:t>The second onset returns polarization to approximately its opening level</w:t>
      </w:r>
      <w:r>
        <w:rPr>
          <w:rFonts w:hint="eastAsia"/>
        </w:rPr>
        <w:t xml:space="preserve">. </w:t>
      </w:r>
      <w:r>
        <w:t xml:space="preserve">The most prominent Republican statement against aid in this window </w:t>
      </w:r>
      <w:r>
        <w:rPr>
          <w:rFonts w:hint="eastAsia"/>
        </w:rPr>
        <w:t>is</w:t>
      </w:r>
      <w:r>
        <w:t xml:space="preserve"> from within the party. Ron DeSantis described the war as a territorial dispute outside vital United States interests in March 2023 </w:t>
      </w:r>
      <w:bookmarkStart w:id="8" w:name="_Hlk238457732"/>
      <w:r>
        <w:fldChar w:fldCharType="begin"/>
      </w:r>
      <w:r>
        <w:instrText xml:space="preserve"> ADDIN ZOTERO_ITEM CSL_CITATION {"citationID":"Wpfiw2Dg","properties":{"unsorted":false,"formattedCitation":"(Garrity, 2023)","plainCitation":"(Garrity, 2023)","noteIndex":0},"citationItems":[{"id":9686,"uris":["http://zotero.org/users/6825464/items/Z5SADNII"],"itemData":{"id":9686,"type":"article-newspaper","abstract":"It is a \"clear vital national interest, to support what is going on in Ukraine,” New Hampshire Gov. Chris Sununu said.","container-title":"POLITICO","language":"en","title":"Republicans slam DeSantis for calling war in Ukraine 'a territorial dispute'","URL":"https://www.politico.com/news/2023/03/19/desantis-republicans-ukraine-sununu-00087762","author":[{"family":"Garrity","given":"Kelly"}],"accessed":{"date-parts":[["2026",8,24]]},"issued":{"date-parts":[["2023",3,19]]}}}],"schema":"https://github.com/citation-style-language/schema/raw/master/csl-citation.json"} </w:instrText>
      </w:r>
      <w:r>
        <w:fldChar w:fldCharType="separate"/>
      </w:r>
      <w:r>
        <w:rPr>
          <w:noProof/>
        </w:rPr>
        <w:t>(Garrity, 2023)</w:t>
      </w:r>
      <w:r>
        <w:fldChar w:fldCharType="end"/>
      </w:r>
      <w:bookmarkEnd w:id="8"/>
      <w:r>
        <w:t xml:space="preserve">, and senior Senate Republicans including Mitch McConnell, Marco Rubio, Lindsey Graham and Thom Tillis publicly rejected that characterization </w:t>
      </w:r>
      <w:r>
        <w:fldChar w:fldCharType="begin"/>
      </w:r>
      <w:r>
        <w:instrText xml:space="preserve"> ADDIN ZOTERO_ITEM CSL_CITATION {"citationID":"Uk5InUht","properties":{"unsorted":false,"formattedCitation":"(Garrity, 2023)","plainCitation":"(Garrity, 2023)","noteIndex":0},"citationItems":[{"id":9686,"uris":["http://zotero.org/users/6825464/items/Z5SADNII"],"itemData":{"id":9686,"type":"article-newspaper","abstract":"It is a \"clear vital national interest, to support what is going on in Ukraine,” New Hampshire Gov. Chris Sununu said.","container-title":"POLITICO","language":"en","title":"Republicans slam DeSantis for calling war in Ukraine 'a territorial dispute'","URL":"https://www.politico.com/news/2023/03/19/desantis-republicans-ukraine-sununu-00087762","author":[{"family":"Garrity","given":"Kelly"}],"accessed":{"date-parts":[["2026",8,24]]},"issued":{"date-parts":[["2023",3,19]]}}}],"schema":"https://github.com/citation-style-language/schema/raw/master/csl-citation.json"} </w:instrText>
      </w:r>
      <w:r>
        <w:fldChar w:fldCharType="separate"/>
      </w:r>
      <w:r>
        <w:rPr>
          <w:noProof/>
        </w:rPr>
        <w:t>(Garrity, 2023)</w:t>
      </w:r>
      <w:r>
        <w:fldChar w:fldCharType="end"/>
      </w:r>
      <w:r>
        <w:rPr>
          <w:rFonts w:hint="eastAsia"/>
        </w:rPr>
        <w:t>.</w:t>
      </w:r>
      <w:r>
        <w:t xml:space="preserve"> A party mean is pulled by whichever voices are covered, so a month in which prominent Republicans defend aid loudly will narrow the gap even as the party grows more internally divided. The fall during this regime is therefore compatible with Republicans becoming less unified rather than more supportive. </w:t>
      </w:r>
      <w:r>
        <w:rPr>
          <w:rFonts w:hint="eastAsia"/>
        </w:rPr>
        <w:t>There are also legislative agenda pushing for de-fund.</w:t>
      </w:r>
      <w:r>
        <w:t xml:space="preserve"> The debt ceiling </w:t>
      </w:r>
      <w:r>
        <w:rPr>
          <w:rFonts w:hint="eastAsia"/>
        </w:rPr>
        <w:t>crisis</w:t>
      </w:r>
      <w:r>
        <w:t xml:space="preserve"> dominated Congress through spring 2023, and legislators described Ukraine funding as delayed and on the back burner while it ran </w:t>
      </w:r>
      <w:r>
        <w:fldChar w:fldCharType="begin"/>
      </w:r>
      <w:r>
        <w:instrText xml:space="preserve"> ADDIN ZOTERO_ITEM CSL_CITATION {"citationID":"J7jT0FSV","properties":{"unsorted":false,"formattedCitation":"(Dress, 2023)","plainCitation":"(Dress, 2023)","noteIndex":0},"citationItems":[{"id":9687,"uris":["http://zotero.org/users/6825464/items/Q6PRX9BX"],"itemData":{"id":9687,"type":"article-newspaper","abstract":"The billions of dollars in defense aid approved for Ukraine last year could dry up by late summer, but conversations on the next round of funding remain on Congress’s back burner.  Lawmakers s</w:instrText>
      </w:r>
      <w:r>
        <w:rPr>
          <w:rFonts w:hint="eastAsia"/>
        </w:rPr>
        <w:instrText>…</w:instrText>
      </w:r>
      <w:r>
        <w:instrText xml:space="preserve">","container-title":"The Hill","language":"en-US","title":"As Ukraine aid dries up, next package remains on back burner","URL":"https://thehill.com/policy/defense/4012806-as-ukraine-aid-dries-up-next-package-remains-on-back-burner/","author":[{"family":"Dress","given":"Brad"}],"accessed":{"date-parts":[["2026",8,24]]},"issued":{"date-parts":[["2023",5,22]]}}}],"schema":"https://github.com/citation-style-language/schema/raw/master/csl-citation.json"} </w:instrText>
      </w:r>
      <w:r>
        <w:fldChar w:fldCharType="separate"/>
      </w:r>
      <w:r>
        <w:rPr>
          <w:noProof/>
        </w:rPr>
        <w:t>(Dress, 2023)</w:t>
      </w:r>
      <w:r>
        <w:fldChar w:fldCharType="end"/>
      </w:r>
      <w:r>
        <w:rPr>
          <w:rFonts w:hint="eastAsia"/>
        </w:rPr>
        <w:t xml:space="preserve">. </w:t>
      </w:r>
      <w:r>
        <w:t>The anticipated counteroffensive, which began in June, gave a further reason to defer the next funding conversation. Ukraine aid was not settled during these five months</w:t>
      </w:r>
      <w:r>
        <w:rPr>
          <w:rFonts w:hint="eastAsia"/>
        </w:rPr>
        <w:t xml:space="preserve">, </w:t>
      </w:r>
      <w:r>
        <w:t xml:space="preserve">it was simply not </w:t>
      </w:r>
      <w:r>
        <w:rPr>
          <w:rFonts w:hint="eastAsia"/>
        </w:rPr>
        <w:t xml:space="preserve">the main portion </w:t>
      </w:r>
      <w:r>
        <w:t xml:space="preserve">of </w:t>
      </w:r>
      <w:r>
        <w:rPr>
          <w:rFonts w:hint="eastAsia"/>
        </w:rPr>
        <w:t>the contestation</w:t>
      </w:r>
      <w:r>
        <w:t xml:space="preserve">, and a position that is not being contested is not being differentiated. This regime is also the shortest and the least securely located. The six-month minimum duration moves its onset from April to March, which is the month of the DeSantis </w:t>
      </w:r>
      <w:r>
        <w:rPr>
          <w:rFonts w:hint="eastAsia"/>
        </w:rPr>
        <w:t>remark and Republican conflict</w:t>
      </w:r>
      <w:r>
        <w:t xml:space="preserve">, so our data cannot separate the two </w:t>
      </w:r>
      <w:r>
        <w:rPr>
          <w:rFonts w:hint="eastAsia"/>
        </w:rPr>
        <w:t>interpretations</w:t>
      </w:r>
      <w:r>
        <w:t>.</w:t>
      </w:r>
    </w:p>
    <w:p w14:paraId="02273084" w14:textId="77777777" w:rsidR="00EE60D6" w:rsidRDefault="00EE60D6" w:rsidP="00EE60D6"/>
    <w:p w14:paraId="347CDEC4" w14:textId="77777777" w:rsidR="00EE60D6" w:rsidRDefault="00EE60D6" w:rsidP="00EE60D6">
      <w:r>
        <w:t>The third onset produces the highest regime and the only one that holds</w:t>
      </w:r>
      <w:r>
        <w:rPr>
          <w:rFonts w:hint="eastAsia"/>
        </w:rPr>
        <w:t>.</w:t>
      </w:r>
      <w:r>
        <w:t xml:space="preserve"> September 2023 is when opposition to Ukraine aid acquired</w:t>
      </w:r>
      <w:r>
        <w:rPr>
          <w:rFonts w:hint="eastAsia"/>
        </w:rPr>
        <w:t xml:space="preserve"> legislative debate</w:t>
      </w:r>
      <w:r>
        <w:t>. Zelensky addressed senators at the Capitol on 21 September, and McCarthy declined to grant him a joint address</w:t>
      </w:r>
      <w:r>
        <w:rPr>
          <w:rFonts w:hint="eastAsia"/>
        </w:rPr>
        <w:t xml:space="preserve"> </w:t>
      </w:r>
      <w:r>
        <w:fldChar w:fldCharType="begin"/>
      </w:r>
      <w:r>
        <w:instrText xml:space="preserve"> ADDIN ZOTERO_ITEM CSL_CITATION {"citationID":"RtWuv47i","properties":{"unsorted":false,"formattedCitation":"(Groves et al., 2023)","plainCitation":"(Groves et al., 2023)","noteIndex":0},"citationItems":[{"id":9688,"uris":["http://zotero.org/users/6825464/items/MGYSDBJG"],"itemData":{"id":9688,"type":"article-newspaper","container-title":"PBS news","title":"Government funding package drops Ukraine aid, raising questions about future support","URL":"https://www.pbs.org/newshour/politics/government-funding-package-drops-ukraine-aid-raising-questions-about-future-support","author":[{"family":"Groves","given":"Stephen"},{"family":"Jalonick","given":"Mary"},{"family":"Blann","given":"Susie"}],"accessed":{"date-parts":[["2026",8,24]]},"issued":{"date-parts":[["2023",10,1]]}}}],"schema":"https://github.com/citation-style-language/schema/raw/master/csl-citation.json"} </w:instrText>
      </w:r>
      <w:r>
        <w:fldChar w:fldCharType="separate"/>
      </w:r>
      <w:r>
        <w:rPr>
          <w:noProof/>
        </w:rPr>
        <w:t>(Groves et al., 2023)</w:t>
      </w:r>
      <w:r>
        <w:fldChar w:fldCharType="end"/>
      </w:r>
      <w:r>
        <w:rPr>
          <w:rFonts w:hint="eastAsia"/>
        </w:rPr>
        <w:t>.</w:t>
      </w:r>
      <w:r>
        <w:t xml:space="preserve"> In the same period, close to half of House Republicans voted to strip $300 million for Ukraine from a defense spending bill </w:t>
      </w:r>
      <w:r>
        <w:fldChar w:fldCharType="begin"/>
      </w:r>
      <w:r>
        <w:instrText xml:space="preserve"> ADDIN ZOTERO_ITEM CSL_CITATION {"citationID":"GHO9G99F","properties":{"unsorted":false,"formattedCitation":"(Freking, 2023)","plainCitation":"(Freking, 2023)","noteIndex":0},"citationItems":[{"id":9689,"uris":["http://zotero.org/users/6825464/items/EZKE8IVN"],"itemData":{"id":9689,"type":"article-newspaper","abstract":"Congressional supporters of Ukraine say they won’t give up after a bill to keep the federal government open excluded President Joe Biden’s request to provide more security assistance to the war-torn nation.","container-title":"The Washington Times","language":"en-US","note":"section: World","title":"Ukraine aid is dropped from government funding bill. That raises questions about future U.S. support","URL":"https://www.washingtontimes.com/news/2023/oct/1/ukraine-aid-is-dropped-from-government-funding-bil/","author":[{"family":"Freking","given":"Kevin"}],"accessed":{"date-parts":[["2026",8,24]]},"issued":{"date-parts":[["2023",10,1]]}}}],"schema":"https://github.com/citation-style-language/schema/raw/master/csl-citation.json"} </w:instrText>
      </w:r>
      <w:r>
        <w:fldChar w:fldCharType="separate"/>
      </w:r>
      <w:r>
        <w:rPr>
          <w:noProof/>
        </w:rPr>
        <w:t>(Freking, 2023)</w:t>
      </w:r>
      <w:r>
        <w:fldChar w:fldCharType="end"/>
      </w:r>
      <w:r>
        <w:rPr>
          <w:rFonts w:hint="eastAsia"/>
        </w:rPr>
        <w:t>.</w:t>
      </w:r>
      <w:r>
        <w:t xml:space="preserve"> On 30 September, the </w:t>
      </w:r>
      <w:r>
        <w:rPr>
          <w:rFonts w:hint="eastAsia"/>
        </w:rPr>
        <w:t>government</w:t>
      </w:r>
      <w:r>
        <w:t xml:space="preserve"> shutdown </w:t>
      </w:r>
      <w:r>
        <w:rPr>
          <w:rFonts w:hint="eastAsia"/>
        </w:rPr>
        <w:t>was</w:t>
      </w:r>
      <w:r>
        <w:t xml:space="preserve"> only </w:t>
      </w:r>
      <w:r>
        <w:rPr>
          <w:rFonts w:hint="eastAsia"/>
        </w:rPr>
        <w:t xml:space="preserve">resolved </w:t>
      </w:r>
      <w:r>
        <w:t xml:space="preserve">after $6 billion </w:t>
      </w:r>
      <w:r>
        <w:rPr>
          <w:rFonts w:hint="eastAsia"/>
        </w:rPr>
        <w:t>for</w:t>
      </w:r>
      <w:r>
        <w:t xml:space="preserve"> Ukraine was removed</w:t>
      </w:r>
      <w:r>
        <w:rPr>
          <w:rFonts w:hint="eastAsia"/>
        </w:rPr>
        <w:t xml:space="preserve"> </w:t>
      </w:r>
      <w:r>
        <w:fldChar w:fldCharType="begin"/>
      </w:r>
      <w:r>
        <w:instrText xml:space="preserve"> ADDIN ZOTERO_ITEM CSL_CITATION {"citationID":"VUYOn8i9","properties":{"unsorted":false,"formattedCitation":"(B. Harris, 2023)","plainCitation":"(B. Harris, 2023)","noteIndex":0},"citationItems":[{"id":9690,"uris":["http://zotero.org/users/6825464/items/D86WLRSG"],"itemData":{"id":9690,"type":"article-newspaper","abstract":"Congress passed a bipartisan short-term funding bill at the last minute after removing $6 billion in Ukraine assistance.","container-title":"Defense News","language":"en","note":"section: name","title":"Congress avoids government shutdown, drops Ukraine aid","URL":"https://www.defensenews.com/congress/2023/10/01/congress-avoids-government-shutdown-drops-ukraine-aid/","author":[{"family":"Harris","given":"Bryant"}],"accessed":{"date-parts":[["2026",8,24]]},"issued":{"date-parts":[["2023",10,1]]}}}],"schema":"https://github.com/citation-style-language/schema/raw/master/csl-citation.json"} </w:instrText>
      </w:r>
      <w:r>
        <w:fldChar w:fldCharType="separate"/>
      </w:r>
      <w:r>
        <w:rPr>
          <w:noProof/>
        </w:rPr>
        <w:t>(B. Harris, 2023)</w:t>
      </w:r>
      <w:r>
        <w:fldChar w:fldCharType="end"/>
      </w:r>
      <w:r>
        <w:t>, and McCarthy was removed from the speakership three days later</w:t>
      </w:r>
      <w:r>
        <w:rPr>
          <w:rFonts w:hint="eastAsia"/>
        </w:rPr>
        <w:t xml:space="preserve"> </w:t>
      </w:r>
      <w:r>
        <w:fldChar w:fldCharType="begin"/>
      </w:r>
      <w:r>
        <w:instrText xml:space="preserve"> ADDIN ZOTERO_ITEM CSL_CITATION {"citationID":"vJdsxgMu","properties":{"unsorted":false,"formattedCitation":"(Mascaro, 2023)","plainCitation":"(Mascaro, 2023)","noteIndex":0},"citationItems":[{"id":9691,"uris":["http://zotero.org/users/6825464/items/4W4KNJFZ"],"itemData":{"id":9691,"type":"article-newspaper","abstract":"The collapse of Ukraine aid in Congress was months in the making, and exactly what Senate Republican leader Mitch McConnell had feared.","container-title":"PBS News","language":"en","note":"section: Politics","title":"How $6 billion in U.S. aid to Ukraine collapsed in the deal to avoid a government shutdown","URL":"https://www.pbs.org/newshour/politics/how-6-billion-in-u-s-aid-to-ukraine-collapsed-in-the-deal-to-avoid-a-government-shutdown","author":[{"family":"Mascaro","given":"Lisa"}],"accessed":{"date-parts":[["2026",8,24]]},"issued":{"date-parts":[["2023",10,7]]}}}],"schema":"https://github.com/citation-style-language/schema/raw/master/csl-citation.json"} </w:instrText>
      </w:r>
      <w:r>
        <w:fldChar w:fldCharType="separate"/>
      </w:r>
      <w:r>
        <w:rPr>
          <w:noProof/>
        </w:rPr>
        <w:t>(Mascaro, 2023)</w:t>
      </w:r>
      <w:r>
        <w:fldChar w:fldCharType="end"/>
      </w:r>
      <w:r>
        <w:t xml:space="preserve">. In 2022 the Republican position was a campaign commitment that a majority had </w:t>
      </w:r>
      <w:r>
        <w:lastRenderedPageBreak/>
        <w:t>to honor. In 202</w:t>
      </w:r>
      <w:r>
        <w:rPr>
          <w:rFonts w:hint="eastAsia"/>
        </w:rPr>
        <w:t xml:space="preserve">3, some elites </w:t>
      </w:r>
      <w:r>
        <w:t xml:space="preserve">made the position </w:t>
      </w:r>
      <w:r>
        <w:rPr>
          <w:rFonts w:hint="eastAsia"/>
        </w:rPr>
        <w:t xml:space="preserve">to de-fund Ukraine </w:t>
      </w:r>
      <w:r>
        <w:t>binding on the party. The level established here held for the final sixteen months, through the primary season and the general election campaign.</w:t>
      </w:r>
    </w:p>
    <w:p w14:paraId="357AE27E" w14:textId="77777777" w:rsidR="00EE60D6" w:rsidRPr="00D8310D" w:rsidRDefault="00EE60D6" w:rsidP="00EE60D6"/>
    <w:p w14:paraId="464FCBB9" w14:textId="77777777" w:rsidR="00EE60D6" w:rsidRDefault="00EE60D6" w:rsidP="00EE60D6">
      <w:r>
        <w:t xml:space="preserve">The Party Brand Index </w:t>
      </w:r>
      <w:r>
        <w:rPr>
          <w:rFonts w:hint="eastAsia"/>
        </w:rPr>
        <w:t>has</w:t>
      </w:r>
      <w:r>
        <w:t xml:space="preserve"> a single onset, in September 2023, against three in polarization, and the difference </w:t>
      </w:r>
      <w:r>
        <w:rPr>
          <w:rFonts w:hint="eastAsia"/>
        </w:rPr>
        <w:t xml:space="preserve">perhaps lies in the internal chaos of Republican. As illustrated above, Republican did not necessarily gain much coherence in its more </w:t>
      </w:r>
      <w:r>
        <w:t>prominent</w:t>
      </w:r>
      <w:r>
        <w:rPr>
          <w:rFonts w:hint="eastAsia"/>
        </w:rPr>
        <w:t xml:space="preserve"> </w:t>
      </w:r>
      <w:r>
        <w:t>position</w:t>
      </w:r>
      <w:r>
        <w:rPr>
          <w:rFonts w:hint="eastAsia"/>
        </w:rPr>
        <w:t xml:space="preserve"> to de-fund Ukraine after September 2023. </w:t>
      </w:r>
      <w:r>
        <w:t>In</w:t>
      </w:r>
      <w:r>
        <w:rPr>
          <w:rFonts w:hint="eastAsia"/>
        </w:rPr>
        <w:t xml:space="preserve"> September 2023, p</w:t>
      </w:r>
      <w:r>
        <w:t>olarization reached its highest sustained level, Republican coherence reached its best, and Democratic coherence recovered from its lo</w:t>
      </w:r>
      <w:r>
        <w:rPr>
          <w:rFonts w:hint="eastAsia"/>
        </w:rPr>
        <w:t>w</w:t>
      </w:r>
      <w:r>
        <w:t>. It marks the one moment in the study period when both conditions a party brand requires were moving in the same direction at once</w:t>
      </w:r>
      <w:r w:rsidRPr="00D8310D">
        <w:t>.</w:t>
      </w:r>
    </w:p>
    <w:p w14:paraId="7E474AC6" w14:textId="77777777" w:rsidR="00EE60D6" w:rsidRDefault="00EE60D6" w:rsidP="00EE60D6">
      <w:pPr>
        <w:pStyle w:val="2"/>
      </w:pPr>
      <w:r>
        <w:t>Limitations</w:t>
      </w:r>
    </w:p>
    <w:p w14:paraId="100C9494" w14:textId="77777777" w:rsidR="00EE60D6" w:rsidRPr="009A58E3" w:rsidRDefault="00EE60D6" w:rsidP="00EE60D6">
      <w:r>
        <w:t xml:space="preserve">First, </w:t>
      </w:r>
      <w:r>
        <w:rPr>
          <w:rFonts w:hint="eastAsia"/>
        </w:rPr>
        <w:t xml:space="preserve">the source of measurement limits our finding to </w:t>
      </w:r>
      <w:r>
        <w:t xml:space="preserve">how parties were represented in news coverage rather than what elites said directly. </w:t>
      </w:r>
      <w:r>
        <w:rPr>
          <w:rFonts w:hint="eastAsia"/>
        </w:rPr>
        <w:t>J</w:t>
      </w:r>
      <w:r>
        <w:t>ournalists select which statements to report, which voices to amplify, and how to frame partisan conflict, and if that selection favors conflictual statements, our measures may overstate represented polarization relative to the underlying positions.</w:t>
      </w:r>
      <w:r>
        <w:rPr>
          <w:rFonts w:hint="eastAsia"/>
        </w:rPr>
        <w:t xml:space="preserve"> </w:t>
      </w:r>
      <w:r>
        <w:t xml:space="preserve">We </w:t>
      </w:r>
      <w:r>
        <w:rPr>
          <w:rFonts w:hint="eastAsia"/>
        </w:rPr>
        <w:t xml:space="preserve">argued that for that exact reason, news </w:t>
      </w:r>
      <w:r>
        <w:t>is</w:t>
      </w:r>
      <w:r>
        <w:rPr>
          <w:rFonts w:hint="eastAsia"/>
        </w:rPr>
        <w:t xml:space="preserve"> the</w:t>
      </w:r>
      <w:r>
        <w:t xml:space="preserve"> appropriate </w:t>
      </w:r>
      <w:r>
        <w:rPr>
          <w:rFonts w:hint="eastAsia"/>
        </w:rPr>
        <w:t>source</w:t>
      </w:r>
      <w:r>
        <w:t xml:space="preserve"> of measurement, because perceived party brands form through indirect communication as well as direct communication.</w:t>
      </w:r>
      <w:r>
        <w:rPr>
          <w:rFonts w:hint="eastAsia"/>
        </w:rPr>
        <w:t xml:space="preserve"> </w:t>
      </w:r>
      <w:r>
        <w:fldChar w:fldCharType="begin"/>
      </w:r>
      <w:r>
        <w:instrText xml:space="preserve"> ADDIN ZOTERO_ITEM CSL_CITATION {"citationID":"WVdQZQE8","properties":{"unsorted":false,"formattedCitation":"(Nomikos et al., 2025)","plainCitation":"(Nomikos et al., 2025)","dontUpdate":true,"noteIndex":0},"citationItems":[{"id":8488,"uris":["http://zotero.org/users/6825464/items/R654EWWN"],"itemData":{"id":8488,"type":"article-journal","abstract":"Though ideological differences have long been a ubiquitous feature of American politics, the rise of online news and social media has exacerbated divisions between groups. While existing research has documented how political preferences manifest online, relatively few studies have considered whether ideological divisions extend to discussions of foreign policy. We examine this question by analyzing nearly 2 million tweets about the war in Ukraine posted by Americans during the opening stages of the Russian invasion. We first categorize each tweet according to the user’s ideological leanings estimated by the network of political accounts they follow. Then, we apply a natural language processing model specifically designed for short texts to classify the tweets into clusters that we hand code into substantive topics. We find that the topic distributions of conservative, moderate, and liberal users are substantively and statistically different. We further find that conservatives are more likely to spread some form of misinformation and that liberals are more likely to express support for Ukraine. Our paper concludes with a discussion of the implications of our findings for the conduct of U.S. foreign policy.","citation-key":"nomikosAmericanSocialMedia2025","container-title":"Humanities and Social Sciences Communications","DOI":"10.1057/s41599-024-04304-7","ISSN":"2662-9992","issue":"1","journalAbbreviation":"Humanit Soc Sci Commun","language":"en","license":"2025 The Author(s)","page":"125","publisher":"Palgrave","source":"www.nature.com","title":"American social media users have ideological differences of opinion about the War in Ukraine","volume":"12","author":[{"family":"Nomikos","given":"William G."},{"family":"Kim","given":"Dahjin"},{"family":"Lin","given":"Gechun"}],"issued":{"date-parts":[["2025",2,2]]}}}],"schema":"https://github.com/citation-style-language/schema/raw/master/csl-citation.json"} </w:instrText>
      </w:r>
      <w:r>
        <w:fldChar w:fldCharType="separate"/>
      </w:r>
      <w:r>
        <w:rPr>
          <w:noProof/>
        </w:rPr>
        <w:t>Nomikos et al.</w:t>
      </w:r>
      <w:r>
        <w:rPr>
          <w:rFonts w:hint="eastAsia"/>
          <w:noProof/>
        </w:rPr>
        <w:t xml:space="preserve"> (</w:t>
      </w:r>
      <w:r>
        <w:rPr>
          <w:noProof/>
        </w:rPr>
        <w:t>2025)</w:t>
      </w:r>
      <w:r>
        <w:fldChar w:fldCharType="end"/>
      </w:r>
      <w:r>
        <w:t xml:space="preserve"> </w:t>
      </w:r>
      <w:r>
        <w:rPr>
          <w:rFonts w:hint="eastAsia"/>
        </w:rPr>
        <w:t xml:space="preserve">also </w:t>
      </w:r>
      <w:r>
        <w:t xml:space="preserve">found that </w:t>
      </w:r>
      <w:r>
        <w:rPr>
          <w:rFonts w:hint="eastAsia"/>
        </w:rPr>
        <w:t xml:space="preserve">the same trend through Twitter data, where </w:t>
      </w:r>
      <w:r>
        <w:t>liberal Twitter users expressed greater support for Ukraine than conservatives did</w:t>
      </w:r>
      <w:r>
        <w:rPr>
          <w:rFonts w:hint="eastAsia"/>
        </w:rPr>
        <w:t xml:space="preserve">. It suggests that at least on the aggregate </w:t>
      </w:r>
      <w:r>
        <w:t>level</w:t>
      </w:r>
      <w:r>
        <w:rPr>
          <w:rFonts w:hint="eastAsia"/>
        </w:rPr>
        <w:t xml:space="preserve">, what we recovered is not an artifact of journalistic selection alone. The choice to use news coverage also means that we cannot separate party behaviors from the media representation. </w:t>
      </w:r>
      <w:r>
        <w:t>The lag we infer between differentiation and consolidation is consistent with parties taking time to bring their members into line, and it is equally consistent with coverage amplifying internal disagreement precisely when a party repositions. Distinguishing these requires comparing the same statements as delivered and as reported, which our corpus does not contain.</w:t>
      </w:r>
    </w:p>
    <w:p w14:paraId="4DACB4FA" w14:textId="77777777" w:rsidR="00EE60D6" w:rsidRDefault="00EE60D6" w:rsidP="00EE60D6"/>
    <w:p w14:paraId="75A7B209" w14:textId="77777777" w:rsidR="00EE60D6" w:rsidRDefault="00EE60D6" w:rsidP="00EE60D6">
      <w:r>
        <w:t xml:space="preserve">Second, we examined one foreign policy issue, in one national context, during one historical period. This design enabled detailed temporal tracking but cannot establish whether the observed dynamics would </w:t>
      </w:r>
      <w:r>
        <w:rPr>
          <w:rFonts w:hint="eastAsia"/>
        </w:rPr>
        <w:t xml:space="preserve">generalize to other </w:t>
      </w:r>
      <w:r>
        <w:t xml:space="preserve">foreign policy debates. Ukraine aid may be a particular type of issue: novel, initially </w:t>
      </w:r>
      <w:r>
        <w:rPr>
          <w:rFonts w:hint="eastAsia"/>
        </w:rPr>
        <w:t>bipartisan</w:t>
      </w:r>
      <w:r>
        <w:t xml:space="preserve">, </w:t>
      </w:r>
      <w:r>
        <w:rPr>
          <w:rFonts w:hint="eastAsia"/>
        </w:rPr>
        <w:t>then opened to contestation with</w:t>
      </w:r>
      <w:r>
        <w:t xml:space="preserve"> domestic priorities. The rapid polarization we documented could reflect something specific to Ukraine, or it could reflect broader changes in the </w:t>
      </w:r>
      <w:r>
        <w:rPr>
          <w:rFonts w:hint="eastAsia"/>
        </w:rPr>
        <w:t>U.S.</w:t>
      </w:r>
      <w:r>
        <w:t xml:space="preserve"> political environment that would expose any foreign policy issue to similar change.</w:t>
      </w:r>
    </w:p>
    <w:p w14:paraId="3D65ED98" w14:textId="77777777" w:rsidR="00EE60D6" w:rsidRDefault="00EE60D6" w:rsidP="00EE60D6"/>
    <w:p w14:paraId="0A58B078" w14:textId="77777777" w:rsidR="00EE60D6" w:rsidRDefault="00EE60D6" w:rsidP="00EE60D6">
      <w:r>
        <w:rPr>
          <w:rFonts w:hint="eastAsia"/>
        </w:rPr>
        <w:t>Third</w:t>
      </w:r>
      <w:r>
        <w:t xml:space="preserve">, several features of our annotation </w:t>
      </w:r>
      <w:r>
        <w:rPr>
          <w:rFonts w:hint="eastAsia"/>
        </w:rPr>
        <w:t>suite limit</w:t>
      </w:r>
      <w:r>
        <w:t xml:space="preserve"> what the measures can support. We ran a single prompt rather than a set of variants, so we did not conduct a prompt stability analysis</w:t>
      </w:r>
      <w:r>
        <w:rPr>
          <w:rFonts w:hint="eastAsia"/>
        </w:rPr>
        <w:t xml:space="preserve"> that </w:t>
      </w:r>
      <w:r>
        <w:fldChar w:fldCharType="begin"/>
      </w:r>
      <w:r>
        <w:instrText xml:space="preserve"> ADDIN ZOTERO_ITEM CSL_CITATION {"citationID":"r2Y9kcSj","properties":{"unsorted":false,"formattedCitation":"(T\\uc0\\u246{}rnberg, 2024)","plainCitation":"(Törnberg, 2024)","dontUpdate":true,"noteIndex":0},"citationItems":[{"id":9427,"uris":["http://zotero.org/users/6825464/items/6NJF65VK"],"itemData":{"id":9427,"type":"article-journal","container-title":"Sociologica","DOI":"10.6092/issn.1971-8853/19461","issue":"2","page":"67-85","title":"Best Practices for Text Annotation with Large Language Models","volume":"18","author":[{"family":"Törnberg","given":"Petter"}],"issued":{"date-parts":[["2024"]]}}}],"schema":"https://github.com/citation-style-language/schema/raw/master/csl-citation.json"} </w:instrText>
      </w:r>
      <w:r>
        <w:fldChar w:fldCharType="separate"/>
      </w:r>
      <w:r w:rsidRPr="005D5B2A">
        <w:rPr>
          <w:rFonts w:eastAsiaTheme="minorEastAsia"/>
          <w14:ligatures w14:val="standardContextual"/>
        </w:rPr>
        <w:t xml:space="preserve">Törnberg </w:t>
      </w:r>
      <w:r>
        <w:rPr>
          <w:rFonts w:eastAsiaTheme="minorEastAsia" w:hint="eastAsia"/>
          <w14:ligatures w14:val="standardContextual"/>
        </w:rPr>
        <w:t>(</w:t>
      </w:r>
      <w:r w:rsidRPr="005D5B2A">
        <w:rPr>
          <w:rFonts w:eastAsiaTheme="minorEastAsia"/>
          <w14:ligatures w14:val="standardContextual"/>
        </w:rPr>
        <w:t>2024)</w:t>
      </w:r>
      <w:r>
        <w:fldChar w:fldCharType="end"/>
      </w:r>
      <w:r>
        <w:t xml:space="preserve"> </w:t>
      </w:r>
      <w:r>
        <w:rPr>
          <w:rFonts w:hint="eastAsia"/>
        </w:rPr>
        <w:t xml:space="preserve">argued </w:t>
      </w:r>
      <w:r>
        <w:t>a standard for LLM-based annotation. We cannot therefore report how far our estimates would move under alternative wordings of the same instructions. We used a single model, and exact reproduction requires access to gpt-5.1-2025-11-13. Our human reference sample is small, especially</w:t>
      </w:r>
      <w:r>
        <w:rPr>
          <w:rFonts w:hint="eastAsia"/>
        </w:rPr>
        <w:t xml:space="preserve"> for </w:t>
      </w:r>
      <w:r>
        <w:t>explanatory</w:t>
      </w:r>
      <w:r>
        <w:rPr>
          <w:rFonts w:hint="eastAsia"/>
        </w:rPr>
        <w:t xml:space="preserve"> dimensions</w:t>
      </w:r>
      <w:r>
        <w:t xml:space="preserve">. Agreement on NA assignment is the weakest </w:t>
      </w:r>
      <w:r>
        <w:rPr>
          <w:rFonts w:hint="eastAsia"/>
        </w:rPr>
        <w:t>part</w:t>
      </w:r>
      <w:r>
        <w:t xml:space="preserve">: human coders disagreed about applicability on 1 percent of ratings while the model disagreed with </w:t>
      </w:r>
      <w:r>
        <w:rPr>
          <w:rFonts w:hint="eastAsia"/>
        </w:rPr>
        <w:t>human</w:t>
      </w:r>
      <w:r>
        <w:t xml:space="preserve"> on roughly one in six, and because NA determines which sentences enter each dimension, this affects coverage more than it affects the scores. Resampling the 50-sentence reference set 5,000 times and recomputing the three criteria, all three clear in 7</w:t>
      </w:r>
      <w:r>
        <w:rPr>
          <w:rFonts w:hint="eastAsia"/>
        </w:rPr>
        <w:t xml:space="preserve">4% </w:t>
      </w:r>
      <w:r>
        <w:t xml:space="preserve">of replicates, so a different draw of sentences would have produced a different verdict </w:t>
      </w:r>
      <w:r>
        <w:lastRenderedPageBreak/>
        <w:t xml:space="preserve">in roughly one case in four. </w:t>
      </w:r>
      <w:r w:rsidRPr="00902736">
        <w:t>Comparing the validation annotation with the production annotation of the same 680 sentences, 225 differed on at least one dimension, with exact agreement ranging from 78.7 percent on General Ukraine Aid Stance to 94.7 percent on Threat Priority. The model is therefore highly stable when the same sentences are scored together and less so when they are scored again on a later occasion</w:t>
      </w:r>
      <w:r>
        <w:rPr>
          <w:rFonts w:hint="eastAsia"/>
        </w:rPr>
        <w:t xml:space="preserve">. </w:t>
      </w:r>
      <w:r w:rsidRPr="00902736">
        <w:t xml:space="preserve">Taken together, </w:t>
      </w:r>
      <w:r>
        <w:rPr>
          <w:rFonts w:hint="eastAsia"/>
        </w:rPr>
        <w:t xml:space="preserve">those validation statistics </w:t>
      </w:r>
      <w:r>
        <w:t xml:space="preserve">support </w:t>
      </w:r>
      <w:r>
        <w:rPr>
          <w:rFonts w:hint="eastAsia"/>
        </w:rPr>
        <w:t>good but limited</w:t>
      </w:r>
      <w:r>
        <w:t xml:space="preserve"> sample-specific agreement between the model and human coders on this corpus.</w:t>
      </w:r>
    </w:p>
    <w:p w14:paraId="0776B3AE" w14:textId="77777777" w:rsidR="00EE60D6" w:rsidRDefault="00EE60D6" w:rsidP="00EE60D6">
      <w:pPr>
        <w:pStyle w:val="2"/>
      </w:pPr>
      <w:r>
        <w:t>Wider Implications and Future Directions</w:t>
      </w:r>
    </w:p>
    <w:p w14:paraId="6FD7C3A5" w14:textId="77777777" w:rsidR="00EE60D6" w:rsidRDefault="00EE60D6" w:rsidP="00EE60D6">
      <w:r>
        <w:t>These findings carry implications for understanding how foreign policy issues become domesticated into partisan conflict. The speed with which Ukraine aid acquired a partisan structure should warn practitioners against assuming sustained consensus. Our analysis shows polarization moving between persistent levels rather than drifting, so a period of apparent stability offers no assurance that the prevailing level will hold. For policymakers seeking to maintain cross-party coalitions, framing appears to matter: the dimension tying Ukraine aid to domestic spending showed the closest alignment with the aid stance gap, which suggests that strategies insulating foreign policy questions from domestic budgetary framing may sustain agreement longer.</w:t>
      </w:r>
    </w:p>
    <w:p w14:paraId="43797BF0" w14:textId="77777777" w:rsidR="00EE60D6" w:rsidRDefault="00EE60D6" w:rsidP="00EE60D6"/>
    <w:p w14:paraId="26948EB7" w14:textId="77777777" w:rsidR="00EE60D6" w:rsidRDefault="00EE60D6" w:rsidP="00EE60D6">
      <w:r>
        <w:t>The design we employed offers a template for tracking party brand formation on emerging issues. Annotating individual sentences along several predetermined dimensions, aggregating to articles so that no single article contributes disproportionately, and then aggregating to months preserves dimensional specificity while allowing measurement at a scale that repeated survey collection could not reach. This approach could be applied to other issues undergoing partisan contestation, such as climate policy, immigration, or technology regulation, to identify which framings move with polarization and when the structure of a debate changes.</w:t>
      </w:r>
    </w:p>
    <w:p w14:paraId="2C33C4DE" w14:textId="77777777" w:rsidR="00EE60D6" w:rsidRDefault="00EE60D6" w:rsidP="00EE60D6"/>
    <w:p w14:paraId="59144FF0" w14:textId="77777777" w:rsidR="00EE60D6" w:rsidRDefault="00EE60D6" w:rsidP="00EE60D6">
      <w:r>
        <w:t>A direct test of our timing account is available to future work. If consolidation follows differentiation rather than accompanying it, a party's internal range should narrow at some lag behind movement in the between-party gap, and that lag should be estimable. We could not estimate it here. With 34 monthly observations, a distributed-lag specification spends degrees of freedom faster than it recovers signal, and the lag length would have to be selected from the same data used to fit it. A series spanning several issue cycles would support both steps. Such a design would also allow the two components to be separated by what drives them, since between-party divergence can be produced by a small number of prominent voices while within-party coherence requires the center of a party’s coverage to move.</w:t>
      </w:r>
    </w:p>
    <w:p w14:paraId="7B4B9B7A" w14:textId="77777777" w:rsidR="00EE60D6" w:rsidRDefault="00EE60D6" w:rsidP="00EE60D6"/>
    <w:p w14:paraId="1E9889BD" w14:textId="77777777" w:rsidR="00EE60D6" w:rsidRDefault="00EE60D6" w:rsidP="00EE60D6">
      <w:r>
        <w:t>Three further extensions would strengthen these findings. Comparative analysis across multiple foreign policy issues would establish whether Ukraine aid represents a unique case or exemplifies broader dynamics. Comparison of mediated discourse with direct elite speech, such as floor statements or campaign communications, would quantify how journalistic filtering shapes polarization estimates and would address the third limitation above. And linking represented elite polarization to mass opinion dynamics would test whether the rising Party Brand Index corresponds to clearer public understanding of party positions and to stronger partisan attachment, which is the validation the index most needs.</w:t>
      </w:r>
    </w:p>
    <w:bookmarkEnd w:id="0"/>
    <w:bookmarkEnd w:id="1"/>
    <w:p w14:paraId="5CE8D939" w14:textId="77777777" w:rsidR="00EE60D6" w:rsidRDefault="00EE60D6" w:rsidP="00EE60D6"/>
    <w:bookmarkEnd w:id="6"/>
    <w:p w14:paraId="6BE23712" w14:textId="77777777" w:rsidR="00EE60D6" w:rsidRPr="00252A67" w:rsidRDefault="00EE60D6" w:rsidP="00EE60D6"/>
    <w:p w14:paraId="6067A5CC" w14:textId="77777777" w:rsidR="00EE60D6" w:rsidRDefault="00EE60D6" w:rsidP="00EE60D6">
      <w:pPr>
        <w:spacing w:after="160" w:line="278" w:lineRule="auto"/>
        <w:rPr>
          <w:sz w:val="40"/>
          <w:szCs w:val="40"/>
        </w:rPr>
      </w:pPr>
      <w:r>
        <w:lastRenderedPageBreak/>
        <w:br w:type="page"/>
      </w:r>
    </w:p>
    <w:p w14:paraId="0350717C" w14:textId="77777777" w:rsidR="00EE60D6" w:rsidRDefault="00EE60D6" w:rsidP="00EE60D6">
      <w:pPr>
        <w:pStyle w:val="1"/>
      </w:pPr>
      <w:r>
        <w:rPr>
          <w:rFonts w:hint="eastAsia"/>
        </w:rPr>
        <w:lastRenderedPageBreak/>
        <w:t>Reference</w:t>
      </w:r>
    </w:p>
    <w:p w14:paraId="401E4484" w14:textId="77777777" w:rsidR="00EE60D6" w:rsidRPr="0083415E" w:rsidRDefault="00EE60D6" w:rsidP="00EE60D6">
      <w:pPr>
        <w:pStyle w:val="afb"/>
      </w:pPr>
      <w:r>
        <w:fldChar w:fldCharType="begin"/>
      </w:r>
      <w:r>
        <w:instrText xml:space="preserve"> ADDIN ZOTERO_BIBL {"uncited":[],"omitted":[],"custom":[]} CSL_BIBLIOGRAPHY </w:instrText>
      </w:r>
      <w:r>
        <w:fldChar w:fldCharType="separate"/>
      </w:r>
      <w:r w:rsidRPr="0083415E">
        <w:t xml:space="preserve">Abou-Chadi, T., &amp; Orlowski, M. (2016). Moderate as Necessary: The Role of Electoral Competitiveness and Party Size in Explaining Parties’ Policy Shifts. </w:t>
      </w:r>
      <w:r w:rsidRPr="0083415E">
        <w:rPr>
          <w:i/>
          <w:iCs/>
        </w:rPr>
        <w:t>The Journal of Politics</w:t>
      </w:r>
      <w:r w:rsidRPr="0083415E">
        <w:t xml:space="preserve">, </w:t>
      </w:r>
      <w:r w:rsidRPr="0083415E">
        <w:rPr>
          <w:i/>
          <w:iCs/>
        </w:rPr>
        <w:t>78</w:t>
      </w:r>
      <w:r w:rsidRPr="0083415E">
        <w:t>(3), 868–881. https://doi.org/10.1086/685585</w:t>
      </w:r>
    </w:p>
    <w:p w14:paraId="643744B5" w14:textId="77777777" w:rsidR="00EE60D6" w:rsidRPr="0083415E" w:rsidRDefault="00EE60D6" w:rsidP="00EE60D6">
      <w:pPr>
        <w:pStyle w:val="afb"/>
      </w:pPr>
      <w:r w:rsidRPr="0083415E">
        <w:t xml:space="preserve">Adams, J., Ezrow, L., &amp; Wlezien, C. (2016). The Company You Keep: How Voters Infer Party Positions on European Integration from Governing Coalition Arrangements. </w:t>
      </w:r>
      <w:r w:rsidRPr="0083415E">
        <w:rPr>
          <w:i/>
          <w:iCs/>
        </w:rPr>
        <w:t>American Journal of Political Science</w:t>
      </w:r>
      <w:r w:rsidRPr="0083415E">
        <w:t xml:space="preserve">, </w:t>
      </w:r>
      <w:r w:rsidRPr="0083415E">
        <w:rPr>
          <w:i/>
          <w:iCs/>
        </w:rPr>
        <w:t>60</w:t>
      </w:r>
      <w:r w:rsidRPr="0083415E">
        <w:t>(4), 811–823. https://doi.org/10.1111/ajps.12231</w:t>
      </w:r>
    </w:p>
    <w:p w14:paraId="3753D2E8" w14:textId="77777777" w:rsidR="00EE60D6" w:rsidRPr="0083415E" w:rsidRDefault="00EE60D6" w:rsidP="00EE60D6">
      <w:pPr>
        <w:pStyle w:val="afb"/>
      </w:pPr>
      <w:r w:rsidRPr="0083415E">
        <w:t xml:space="preserve">Albright, J. J. (2009). Does political knowledge erode party attachments?: A review of the cognitive mobilization thesis. </w:t>
      </w:r>
      <w:r w:rsidRPr="0083415E">
        <w:rPr>
          <w:i/>
          <w:iCs/>
        </w:rPr>
        <w:t>Electoral Studies</w:t>
      </w:r>
      <w:r w:rsidRPr="0083415E">
        <w:t xml:space="preserve">, </w:t>
      </w:r>
      <w:r w:rsidRPr="0083415E">
        <w:rPr>
          <w:i/>
          <w:iCs/>
        </w:rPr>
        <w:t>28</w:t>
      </w:r>
      <w:r w:rsidRPr="0083415E">
        <w:t>(2), 248–260. https://doi.org/10.1016/j.electstud.2009.01.001</w:t>
      </w:r>
    </w:p>
    <w:p w14:paraId="25CEF17D" w14:textId="77777777" w:rsidR="00EE60D6" w:rsidRPr="0083415E" w:rsidRDefault="00EE60D6" w:rsidP="00EE60D6">
      <w:pPr>
        <w:pStyle w:val="afb"/>
      </w:pPr>
      <w:r w:rsidRPr="0083415E">
        <w:t xml:space="preserve">Backlund, A. (2011). </w:t>
      </w:r>
      <w:r w:rsidRPr="0083415E">
        <w:rPr>
          <w:i/>
          <w:iCs/>
        </w:rPr>
        <w:t>The Sweden Democrats in Political Space: Estimating policy positions using election manifesto content analysis</w:t>
      </w:r>
      <w:r w:rsidRPr="0083415E">
        <w:t>. https://urn.kb.se/resolve?urn=urn:nbn:se:sh:diva-19043</w:t>
      </w:r>
    </w:p>
    <w:p w14:paraId="0F130EC5" w14:textId="77777777" w:rsidR="00EE60D6" w:rsidRPr="0083415E" w:rsidRDefault="00EE60D6" w:rsidP="00EE60D6">
      <w:pPr>
        <w:pStyle w:val="afb"/>
      </w:pPr>
      <w:r w:rsidRPr="0083415E">
        <w:t xml:space="preserve">Bai, J., &amp; Perron, P. (1998). Estimating and Testing Linear Models with Multiple Structural Changes. </w:t>
      </w:r>
      <w:r w:rsidRPr="0083415E">
        <w:rPr>
          <w:i/>
          <w:iCs/>
        </w:rPr>
        <w:t>Econometrica</w:t>
      </w:r>
      <w:r w:rsidRPr="0083415E">
        <w:t xml:space="preserve">, </w:t>
      </w:r>
      <w:r w:rsidRPr="0083415E">
        <w:rPr>
          <w:i/>
          <w:iCs/>
        </w:rPr>
        <w:t>66</w:t>
      </w:r>
      <w:r w:rsidRPr="0083415E">
        <w:t>(1), 47. https://doi.org/10.2307/2998540</w:t>
      </w:r>
    </w:p>
    <w:p w14:paraId="692A648B" w14:textId="77777777" w:rsidR="00EE60D6" w:rsidRPr="0083415E" w:rsidRDefault="00EE60D6" w:rsidP="00EE60D6">
      <w:pPr>
        <w:pStyle w:val="afb"/>
      </w:pPr>
      <w:r w:rsidRPr="0083415E">
        <w:t xml:space="preserve">Baldassarri, D., &amp; Gelman, A. (2008). Partisans without Constraint: Political Polarization and Trends in American Public Opinion. </w:t>
      </w:r>
      <w:r w:rsidRPr="0083415E">
        <w:rPr>
          <w:i/>
          <w:iCs/>
        </w:rPr>
        <w:t>AJS; American Journal of Sociology</w:t>
      </w:r>
      <w:r w:rsidRPr="0083415E">
        <w:t xml:space="preserve">, </w:t>
      </w:r>
      <w:r w:rsidRPr="0083415E">
        <w:rPr>
          <w:i/>
          <w:iCs/>
        </w:rPr>
        <w:t>114</w:t>
      </w:r>
      <w:r w:rsidRPr="0083415E">
        <w:t>(2), 408–446. https://doi.org/10.2139/ssrn.1010098</w:t>
      </w:r>
    </w:p>
    <w:p w14:paraId="1A60258E" w14:textId="77777777" w:rsidR="00EE60D6" w:rsidRPr="0083415E" w:rsidRDefault="00EE60D6" w:rsidP="00EE60D6">
      <w:pPr>
        <w:pStyle w:val="afb"/>
      </w:pPr>
      <w:r w:rsidRPr="0083415E">
        <w:t xml:space="preserve">Banerjee, A. V., Kumar, S., Pande, R., &amp; Su, F. (2011). </w:t>
      </w:r>
      <w:r w:rsidRPr="0083415E">
        <w:rPr>
          <w:i/>
          <w:iCs/>
        </w:rPr>
        <w:t>Do Informed Voters Make Better Choices? Experimental Evidence from Urban India</w:t>
      </w:r>
      <w:r w:rsidRPr="0083415E">
        <w:t>. 42.</w:t>
      </w:r>
    </w:p>
    <w:p w14:paraId="758D7221" w14:textId="77777777" w:rsidR="00EE60D6" w:rsidRPr="0083415E" w:rsidRDefault="00EE60D6" w:rsidP="00EE60D6">
      <w:pPr>
        <w:pStyle w:val="afb"/>
      </w:pPr>
      <w:r w:rsidRPr="0083415E">
        <w:t xml:space="preserve">Beaulieu, C., &amp; Killick, R. (2018). Distinguishing Trends and Shifts from Memory in Climate Data. </w:t>
      </w:r>
      <w:r w:rsidRPr="0083415E">
        <w:rPr>
          <w:i/>
          <w:iCs/>
        </w:rPr>
        <w:t>Journal of Climate</w:t>
      </w:r>
      <w:r w:rsidRPr="0083415E">
        <w:t xml:space="preserve">, </w:t>
      </w:r>
      <w:r w:rsidRPr="0083415E">
        <w:rPr>
          <w:i/>
          <w:iCs/>
        </w:rPr>
        <w:t>31</w:t>
      </w:r>
      <w:r w:rsidRPr="0083415E">
        <w:t>(23), 9519–9543. https://doi.org/10.1175/JCLI-D-17-0863.1</w:t>
      </w:r>
    </w:p>
    <w:p w14:paraId="4E604902" w14:textId="77777777" w:rsidR="00EE60D6" w:rsidRPr="0083415E" w:rsidRDefault="00EE60D6" w:rsidP="00EE60D6">
      <w:pPr>
        <w:pStyle w:val="afb"/>
      </w:pPr>
      <w:r w:rsidRPr="0083415E">
        <w:t xml:space="preserve">Borg, S. (2024). “A Battle for the Soul of This Nation”: How Domestic Polarization Affects US Foreign Policy in Post-Trump America. </w:t>
      </w:r>
      <w:r w:rsidRPr="0083415E">
        <w:rPr>
          <w:i/>
          <w:iCs/>
        </w:rPr>
        <w:t>International Journal</w:t>
      </w:r>
      <w:r w:rsidRPr="0083415E">
        <w:t xml:space="preserve">, </w:t>
      </w:r>
      <w:r w:rsidRPr="0083415E">
        <w:rPr>
          <w:i/>
          <w:iCs/>
        </w:rPr>
        <w:t>79</w:t>
      </w:r>
      <w:r w:rsidRPr="0083415E">
        <w:t>(1), 22–39. https://doi.org/10.1177/00207020241232986</w:t>
      </w:r>
    </w:p>
    <w:p w14:paraId="5EDDB6A7" w14:textId="77777777" w:rsidR="00EE60D6" w:rsidRPr="0083415E" w:rsidRDefault="00EE60D6" w:rsidP="00EE60D6">
      <w:pPr>
        <w:pStyle w:val="afb"/>
      </w:pPr>
      <w:r w:rsidRPr="0083415E">
        <w:lastRenderedPageBreak/>
        <w:t xml:space="preserve">Borghi, A. M., &amp; Binkofski, F. (2014). </w:t>
      </w:r>
      <w:r w:rsidRPr="0083415E">
        <w:rPr>
          <w:i/>
          <w:iCs/>
        </w:rPr>
        <w:t>Words as Social Tools: An Embodied View on Abstract Concepts</w:t>
      </w:r>
      <w:r w:rsidRPr="0083415E">
        <w:t>. Springer New York. https://doi.org/10.1007/978-1-4614-9539-0</w:t>
      </w:r>
    </w:p>
    <w:p w14:paraId="7AB51834" w14:textId="77777777" w:rsidR="00EE60D6" w:rsidRPr="0083415E" w:rsidRDefault="00EE60D6" w:rsidP="00EE60D6">
      <w:pPr>
        <w:pStyle w:val="afb"/>
      </w:pPr>
      <w:r w:rsidRPr="0083415E">
        <w:t xml:space="preserve">Brooks, E. (2022, October 18). McCarthy warns no ‘blank check’ to Ukraine in GOP majority. </w:t>
      </w:r>
      <w:r w:rsidRPr="0083415E">
        <w:rPr>
          <w:i/>
          <w:iCs/>
        </w:rPr>
        <w:t>The Hill</w:t>
      </w:r>
      <w:r w:rsidRPr="0083415E">
        <w:t>. https://thehill.com/homenews/house/3694022-mccarthy-warns-no-blank-check-to-ukraine-in-gop-majority/</w:t>
      </w:r>
    </w:p>
    <w:p w14:paraId="106E868B" w14:textId="77777777" w:rsidR="00EE60D6" w:rsidRPr="0083415E" w:rsidRDefault="00EE60D6" w:rsidP="00EE60D6">
      <w:pPr>
        <w:pStyle w:val="afb"/>
      </w:pPr>
      <w:r w:rsidRPr="0083415E">
        <w:t xml:space="preserve">Bryan, J. D., &amp; Tama, J. (2022). The prevalence of bipartisanship in U.S. foreign policy: An analysis of important congressional votes. </w:t>
      </w:r>
      <w:r w:rsidRPr="0083415E">
        <w:rPr>
          <w:i/>
          <w:iCs/>
        </w:rPr>
        <w:t>International Politics</w:t>
      </w:r>
      <w:r w:rsidRPr="0083415E">
        <w:t xml:space="preserve">, </w:t>
      </w:r>
      <w:r w:rsidRPr="0083415E">
        <w:rPr>
          <w:i/>
          <w:iCs/>
        </w:rPr>
        <w:t>59</w:t>
      </w:r>
      <w:r w:rsidRPr="0083415E">
        <w:t>(5), 874–897. https://doi.org/10.1057/s41311-021-00348-7</w:t>
      </w:r>
    </w:p>
    <w:p w14:paraId="7B2C3B83" w14:textId="77777777" w:rsidR="00EE60D6" w:rsidRPr="0083415E" w:rsidRDefault="00EE60D6" w:rsidP="00EE60D6">
      <w:pPr>
        <w:pStyle w:val="afb"/>
      </w:pPr>
      <w:r w:rsidRPr="0083415E">
        <w:t xml:space="preserve">Budescu, D. V. (1993). Dominance analysis: A new approach to the problem of relative importance of predictors in multiple regression. </w:t>
      </w:r>
      <w:r w:rsidRPr="0083415E">
        <w:rPr>
          <w:i/>
          <w:iCs/>
        </w:rPr>
        <w:t>Psychological Bulletin</w:t>
      </w:r>
      <w:r w:rsidRPr="0083415E">
        <w:t xml:space="preserve">, </w:t>
      </w:r>
      <w:r w:rsidRPr="0083415E">
        <w:rPr>
          <w:i/>
          <w:iCs/>
        </w:rPr>
        <w:t>114</w:t>
      </w:r>
      <w:r w:rsidRPr="0083415E">
        <w:t>(3), 542–551. https://doi.org/10.1037/0033-2909.114.3.542</w:t>
      </w:r>
    </w:p>
    <w:p w14:paraId="6AF4198E" w14:textId="77777777" w:rsidR="00EE60D6" w:rsidRPr="0083415E" w:rsidRDefault="00EE60D6" w:rsidP="00EE60D6">
      <w:pPr>
        <w:pStyle w:val="afb"/>
      </w:pPr>
      <w:r w:rsidRPr="0083415E">
        <w:t xml:space="preserve">Busby, J., Kafura, C., Smeltz, D., Tama, J., Monten, J., Kertzer, J. D., &amp; Helm, B. (2020). </w:t>
      </w:r>
      <w:r w:rsidRPr="0083415E">
        <w:rPr>
          <w:i/>
          <w:iCs/>
        </w:rPr>
        <w:t>Coming Together or Coming Apart?</w:t>
      </w:r>
    </w:p>
    <w:p w14:paraId="31855E4A" w14:textId="77777777" w:rsidR="00EE60D6" w:rsidRPr="0083415E" w:rsidRDefault="00EE60D6" w:rsidP="00EE60D6">
      <w:pPr>
        <w:pStyle w:val="afb"/>
      </w:pPr>
      <w:r w:rsidRPr="0083415E">
        <w:t xml:space="preserve">Camp, K. V. (2018). Issue ownership as a determinant of political parties’ media coverage. </w:t>
      </w:r>
      <w:r w:rsidRPr="0083415E">
        <w:rPr>
          <w:i/>
          <w:iCs/>
        </w:rPr>
        <w:t>Communications</w:t>
      </w:r>
      <w:r w:rsidRPr="0083415E">
        <w:t xml:space="preserve">, </w:t>
      </w:r>
      <w:r w:rsidRPr="0083415E">
        <w:rPr>
          <w:i/>
          <w:iCs/>
        </w:rPr>
        <w:t>43</w:t>
      </w:r>
      <w:r w:rsidRPr="0083415E">
        <w:t>(1), 25–45. https://doi.org/10.1515/commun-2017-0029</w:t>
      </w:r>
    </w:p>
    <w:p w14:paraId="647F008B" w14:textId="77777777" w:rsidR="00EE60D6" w:rsidRPr="0083415E" w:rsidRDefault="00EE60D6" w:rsidP="00EE60D6">
      <w:pPr>
        <w:pStyle w:val="afb"/>
      </w:pPr>
      <w:r w:rsidRPr="0083415E">
        <w:t xml:space="preserve">Chaudoin, S., Milner, H. V., &amp; Ringley, D. (2018). Down but Not Out: A Liberal International American Foreign Policy: A Liberal International American Foreign Policy. In R. Jervis, F. J. Gavin, J. Rovner, &amp; D. N. Labrosse (Eds.), </w:t>
      </w:r>
      <w:r w:rsidRPr="0083415E">
        <w:rPr>
          <w:i/>
          <w:iCs/>
        </w:rPr>
        <w:t>Chaos in the Liberal Order</w:t>
      </w:r>
      <w:r w:rsidRPr="0083415E">
        <w:t xml:space="preserve"> (pp. 61–97). Columbia University Press. https://doi.org/10.7312/jerv18834-007</w:t>
      </w:r>
    </w:p>
    <w:p w14:paraId="7744AF28" w14:textId="77777777" w:rsidR="00EE60D6" w:rsidRPr="0083415E" w:rsidRDefault="00EE60D6" w:rsidP="00EE60D6">
      <w:pPr>
        <w:pStyle w:val="afb"/>
      </w:pPr>
      <w:r w:rsidRPr="0083415E">
        <w:t xml:space="preserve">Cox, M., &amp; Stokes, D. (2018). US Foreign Policy. In </w:t>
      </w:r>
      <w:r w:rsidRPr="0083415E">
        <w:rPr>
          <w:i/>
          <w:iCs/>
        </w:rPr>
        <w:t>US Foreign Policy</w:t>
      </w:r>
      <w:r w:rsidRPr="0083415E">
        <w:t xml:space="preserve"> (3rd ed.). Oxford University Press. https://www.oxfordpoliticstrove.com/display/10.1093/hepl/9780198707578.001.0001/hepl-9780198707578</w:t>
      </w:r>
    </w:p>
    <w:p w14:paraId="2100897E" w14:textId="77777777" w:rsidR="00EE60D6" w:rsidRPr="0083415E" w:rsidRDefault="00EE60D6" w:rsidP="00EE60D6">
      <w:pPr>
        <w:pStyle w:val="afb"/>
      </w:pPr>
      <w:r w:rsidRPr="0083415E">
        <w:t xml:space="preserve">da Silva, L. P. (2026). Media Influence and Spatial Voting: The Role of Perceived Party Positions. </w:t>
      </w:r>
      <w:r w:rsidRPr="0083415E">
        <w:rPr>
          <w:i/>
          <w:iCs/>
        </w:rPr>
        <w:t>Political Behavior</w:t>
      </w:r>
      <w:r w:rsidRPr="0083415E">
        <w:t xml:space="preserve">, </w:t>
      </w:r>
      <w:r w:rsidRPr="0083415E">
        <w:rPr>
          <w:i/>
          <w:iCs/>
        </w:rPr>
        <w:t>48</w:t>
      </w:r>
      <w:r w:rsidRPr="0083415E">
        <w:t>(1), 299–324. https://doi.org/10.1007/s11109-025-10031-9</w:t>
      </w:r>
    </w:p>
    <w:p w14:paraId="2CA77945" w14:textId="77777777" w:rsidR="00EE60D6" w:rsidRPr="0083415E" w:rsidRDefault="00EE60D6" w:rsidP="00EE60D6">
      <w:pPr>
        <w:pStyle w:val="afb"/>
      </w:pPr>
      <w:r w:rsidRPr="0083415E">
        <w:lastRenderedPageBreak/>
        <w:t xml:space="preserve">Dancey, L., &amp; Goren, P. (2010). Party Identification, Issue Attitudes, and the Dynamics of Political Debate. </w:t>
      </w:r>
      <w:r w:rsidRPr="0083415E">
        <w:rPr>
          <w:i/>
          <w:iCs/>
        </w:rPr>
        <w:t>American Journal of Political Science</w:t>
      </w:r>
      <w:r w:rsidRPr="0083415E">
        <w:t xml:space="preserve">, </w:t>
      </w:r>
      <w:r w:rsidRPr="0083415E">
        <w:rPr>
          <w:i/>
          <w:iCs/>
        </w:rPr>
        <w:t>54</w:t>
      </w:r>
      <w:r w:rsidRPr="0083415E">
        <w:t>(3), 686–699. https://doi.org/10.1111/j.1540-5907.2010.00454.x</w:t>
      </w:r>
    </w:p>
    <w:p w14:paraId="2FE42562" w14:textId="77777777" w:rsidR="00EE60D6" w:rsidRPr="0083415E" w:rsidRDefault="00EE60D6" w:rsidP="00EE60D6">
      <w:pPr>
        <w:pStyle w:val="afb"/>
      </w:pPr>
      <w:r w:rsidRPr="0083415E">
        <w:t xml:space="preserve">Delaet, C. J., &amp; Scott, J. M. (2006). Treaty-Making and Partisan Politics: Arms Control and the U.S. Senate, 1960–2001. </w:t>
      </w:r>
      <w:r w:rsidRPr="0083415E">
        <w:rPr>
          <w:i/>
          <w:iCs/>
        </w:rPr>
        <w:t>Foreign Policy Analysis</w:t>
      </w:r>
      <w:r w:rsidRPr="0083415E">
        <w:t xml:space="preserve">, </w:t>
      </w:r>
      <w:r w:rsidRPr="0083415E">
        <w:rPr>
          <w:i/>
          <w:iCs/>
        </w:rPr>
        <w:t>2</w:t>
      </w:r>
      <w:r w:rsidRPr="0083415E">
        <w:t>(2), 177–200. https://doi.org/10.1111/j.1743-8594.2006.00026.x</w:t>
      </w:r>
    </w:p>
    <w:p w14:paraId="5E7AE7DB" w14:textId="77777777" w:rsidR="00EE60D6" w:rsidRPr="0083415E" w:rsidRDefault="00EE60D6" w:rsidP="00EE60D6">
      <w:pPr>
        <w:pStyle w:val="afb"/>
      </w:pPr>
      <w:r w:rsidRPr="0083415E">
        <w:t xml:space="preserve">Downs, A. (1957). An Economic Theory of Political Action in a Democracy. </w:t>
      </w:r>
      <w:r w:rsidRPr="0083415E">
        <w:rPr>
          <w:i/>
          <w:iCs/>
        </w:rPr>
        <w:t>Journal of Political Economy</w:t>
      </w:r>
      <w:r w:rsidRPr="0083415E">
        <w:t xml:space="preserve">, </w:t>
      </w:r>
      <w:r w:rsidRPr="0083415E">
        <w:rPr>
          <w:i/>
          <w:iCs/>
        </w:rPr>
        <w:t>65</w:t>
      </w:r>
      <w:r w:rsidRPr="0083415E">
        <w:t>(2), 135–150. https://doi.org/10.1086/257897</w:t>
      </w:r>
    </w:p>
    <w:p w14:paraId="2C1DB2CC" w14:textId="77777777" w:rsidR="00EE60D6" w:rsidRPr="0083415E" w:rsidRDefault="00EE60D6" w:rsidP="00EE60D6">
      <w:pPr>
        <w:pStyle w:val="afb"/>
      </w:pPr>
      <w:r w:rsidRPr="0083415E">
        <w:t xml:space="preserve">Dress, B. (2023, May 22). As Ukraine aid dries up, next package remains on back burner. </w:t>
      </w:r>
      <w:r w:rsidRPr="0083415E">
        <w:rPr>
          <w:i/>
          <w:iCs/>
        </w:rPr>
        <w:t>The Hill</w:t>
      </w:r>
      <w:r w:rsidRPr="0083415E">
        <w:t>. https://thehill.com/policy/defense/4012806-as-ukraine-aid-dries-up-next-package-remains-on-back-burner/</w:t>
      </w:r>
    </w:p>
    <w:p w14:paraId="0A6107B7" w14:textId="77777777" w:rsidR="00EE60D6" w:rsidRPr="0083415E" w:rsidRDefault="00EE60D6" w:rsidP="00EE60D6">
      <w:pPr>
        <w:pStyle w:val="afb"/>
      </w:pPr>
      <w:r w:rsidRPr="0083415E">
        <w:t xml:space="preserve">Egerod, B. C., &amp; Klemmensen, R. (2020). Scaling political positions from text: Assumptions, methods and pitfalls. In </w:t>
      </w:r>
      <w:r w:rsidRPr="0083415E">
        <w:rPr>
          <w:i/>
          <w:iCs/>
        </w:rPr>
        <w:t>The SAGE handbook of research methods in political science and international relations</w:t>
      </w:r>
      <w:r w:rsidRPr="0083415E">
        <w:t xml:space="preserve"> (pp. 498–521). SAGE Publications Ltd. https://www.torrossa.com/gs/resourceProxy?an=5018785&amp;publisher=FZ7200#page=543</w:t>
      </w:r>
    </w:p>
    <w:p w14:paraId="4771B585" w14:textId="77777777" w:rsidR="00EE60D6" w:rsidRPr="0083415E" w:rsidRDefault="00EE60D6" w:rsidP="00EE60D6">
      <w:pPr>
        <w:pStyle w:val="afb"/>
      </w:pPr>
      <w:r w:rsidRPr="0083415E">
        <w:t xml:space="preserve">Elias, A., Szöcsik, E., &amp; Zuber, C. I. (2015). Position, selective emphasis and framing: How parties deal with a second dimension in competition. </w:t>
      </w:r>
      <w:r w:rsidRPr="0083415E">
        <w:rPr>
          <w:i/>
          <w:iCs/>
        </w:rPr>
        <w:t>Party Politics</w:t>
      </w:r>
      <w:r w:rsidRPr="0083415E">
        <w:t xml:space="preserve">, </w:t>
      </w:r>
      <w:r w:rsidRPr="0083415E">
        <w:rPr>
          <w:i/>
          <w:iCs/>
        </w:rPr>
        <w:t>21</w:t>
      </w:r>
      <w:r w:rsidRPr="0083415E">
        <w:t>(6), 839–850. https://doi.org/10.1177/1354068815597572</w:t>
      </w:r>
    </w:p>
    <w:p w14:paraId="704D9870" w14:textId="77777777" w:rsidR="00EE60D6" w:rsidRPr="0083415E" w:rsidRDefault="00EE60D6" w:rsidP="00EE60D6">
      <w:pPr>
        <w:pStyle w:val="afb"/>
      </w:pPr>
      <w:r w:rsidRPr="0083415E">
        <w:t xml:space="preserve">Eshima, S., Imai, K., &amp; Sasaki, T. (2024). Keyword-Assisted Topic Models. </w:t>
      </w:r>
      <w:r w:rsidRPr="0083415E">
        <w:rPr>
          <w:i/>
          <w:iCs/>
        </w:rPr>
        <w:t>American Journal of Political Science</w:t>
      </w:r>
      <w:r w:rsidRPr="0083415E">
        <w:t xml:space="preserve">, </w:t>
      </w:r>
      <w:r w:rsidRPr="0083415E">
        <w:rPr>
          <w:i/>
          <w:iCs/>
        </w:rPr>
        <w:t>68</w:t>
      </w:r>
      <w:r w:rsidRPr="0083415E">
        <w:t>(2), 730–750. https://doi.org/10.1111/ajps.12779</w:t>
      </w:r>
    </w:p>
    <w:p w14:paraId="6BDDFAD1" w14:textId="77777777" w:rsidR="00EE60D6" w:rsidRPr="0083415E" w:rsidRDefault="00EE60D6" w:rsidP="00EE60D6">
      <w:pPr>
        <w:pStyle w:val="afb"/>
      </w:pPr>
      <w:r w:rsidRPr="0083415E">
        <w:t xml:space="preserve">Fram, A. (2022, May 19). WATCH: Senate sends $40 billion Ukraine aid bill to Biden for signature. </w:t>
      </w:r>
      <w:r w:rsidRPr="0083415E">
        <w:rPr>
          <w:i/>
          <w:iCs/>
        </w:rPr>
        <w:t>PBS News</w:t>
      </w:r>
      <w:r w:rsidRPr="0083415E">
        <w:t>. https://www.pbs.org/newshour/politics/watch-live-senate-convenes-votes-on-40b-ukraine-relief-package</w:t>
      </w:r>
    </w:p>
    <w:p w14:paraId="3DEC26FA" w14:textId="77777777" w:rsidR="00EE60D6" w:rsidRPr="0083415E" w:rsidRDefault="00EE60D6" w:rsidP="00EE60D6">
      <w:pPr>
        <w:pStyle w:val="afb"/>
      </w:pPr>
      <w:r w:rsidRPr="0083415E">
        <w:t xml:space="preserve">Freking, K. (2023, October 1). Ukraine aid is dropped from government funding bill. That raises questions about future U.S. support. </w:t>
      </w:r>
      <w:r w:rsidRPr="0083415E">
        <w:rPr>
          <w:i/>
          <w:iCs/>
        </w:rPr>
        <w:t>The Washington Times</w:t>
      </w:r>
      <w:r w:rsidRPr="0083415E">
        <w:t xml:space="preserve">. </w:t>
      </w:r>
      <w:r w:rsidRPr="0083415E">
        <w:lastRenderedPageBreak/>
        <w:t>https://www.washingtontimes.com/news/2023/oct/1/ukraine-aid-is-dropped-from-government-funding-bil/</w:t>
      </w:r>
    </w:p>
    <w:p w14:paraId="27A012D3" w14:textId="77777777" w:rsidR="00EE60D6" w:rsidRPr="0083415E" w:rsidRDefault="00EE60D6" w:rsidP="00EE60D6">
      <w:pPr>
        <w:pStyle w:val="afb"/>
      </w:pPr>
      <w:r w:rsidRPr="0083415E">
        <w:t xml:space="preserve">Friedrichs, G. M., &amp; Tama, J. (2022). Polarization and US foreign policy: Key debates and new findings. </w:t>
      </w:r>
      <w:r w:rsidRPr="0083415E">
        <w:rPr>
          <w:i/>
          <w:iCs/>
        </w:rPr>
        <w:t>International Politics (Hague, Netherlands)</w:t>
      </w:r>
      <w:r w:rsidRPr="0083415E">
        <w:t xml:space="preserve">, </w:t>
      </w:r>
      <w:r w:rsidRPr="0083415E">
        <w:rPr>
          <w:i/>
          <w:iCs/>
        </w:rPr>
        <w:t>59</w:t>
      </w:r>
      <w:r w:rsidRPr="0083415E">
        <w:t>(5), 767–785. https://doi.org/10.1057/s41311-022-00381-0</w:t>
      </w:r>
    </w:p>
    <w:p w14:paraId="42FEDF80" w14:textId="77777777" w:rsidR="00EE60D6" w:rsidRPr="0083415E" w:rsidRDefault="00EE60D6" w:rsidP="00EE60D6">
      <w:pPr>
        <w:pStyle w:val="afb"/>
      </w:pPr>
      <w:r w:rsidRPr="0083415E">
        <w:t xml:space="preserve">Garrity, K. (2023, March 19). Republicans slam DeSantis for calling war in Ukraine “a territorial dispute.” </w:t>
      </w:r>
      <w:r w:rsidRPr="0083415E">
        <w:rPr>
          <w:i/>
          <w:iCs/>
        </w:rPr>
        <w:t>POLITICO</w:t>
      </w:r>
      <w:r w:rsidRPr="0083415E">
        <w:t>. https://www.politico.com/news/2023/03/19/desantis-republicans-ukraine-sununu-00087762</w:t>
      </w:r>
    </w:p>
    <w:p w14:paraId="46D109D7" w14:textId="77777777" w:rsidR="00EE60D6" w:rsidRPr="0083415E" w:rsidRDefault="00EE60D6" w:rsidP="00EE60D6">
      <w:pPr>
        <w:pStyle w:val="afb"/>
      </w:pPr>
      <w:r w:rsidRPr="0083415E">
        <w:t xml:space="preserve">Gentzkow, M., Shapiro, J. M., &amp; Taddy, M. (2019). Measuring Group Differences in High‐Dimensional Choices: Method and Application to Congressional Speech. </w:t>
      </w:r>
      <w:r w:rsidRPr="0083415E">
        <w:rPr>
          <w:i/>
          <w:iCs/>
        </w:rPr>
        <w:t>Econometrica</w:t>
      </w:r>
      <w:r w:rsidRPr="0083415E">
        <w:t xml:space="preserve">, </w:t>
      </w:r>
      <w:r w:rsidRPr="0083415E">
        <w:rPr>
          <w:i/>
          <w:iCs/>
        </w:rPr>
        <w:t>87</w:t>
      </w:r>
      <w:r w:rsidRPr="0083415E">
        <w:t>(4), 1307–1340. https://doi.org/10.3982/ECTA16566</w:t>
      </w:r>
    </w:p>
    <w:p w14:paraId="5C735CDD" w14:textId="77777777" w:rsidR="00EE60D6" w:rsidRPr="0083415E" w:rsidRDefault="00EE60D6" w:rsidP="00EE60D6">
      <w:pPr>
        <w:pStyle w:val="afb"/>
      </w:pPr>
      <w:r w:rsidRPr="0083415E">
        <w:t xml:space="preserve">Gilardi, F., Alizadeh, M., &amp; Kubli, M. (2023). ChatGPT outperforms crowd workers for text-annotation tasks. </w:t>
      </w:r>
      <w:r w:rsidRPr="0083415E">
        <w:rPr>
          <w:i/>
          <w:iCs/>
        </w:rPr>
        <w:t>Proceedings of the National Academy of Sciences</w:t>
      </w:r>
      <w:r w:rsidRPr="0083415E">
        <w:t xml:space="preserve">, </w:t>
      </w:r>
      <w:r w:rsidRPr="0083415E">
        <w:rPr>
          <w:i/>
          <w:iCs/>
        </w:rPr>
        <w:t>120</w:t>
      </w:r>
      <w:r w:rsidRPr="0083415E">
        <w:t>(30). https://doi.org/10.1073/pnas.2305016120</w:t>
      </w:r>
    </w:p>
    <w:p w14:paraId="50BE695E" w14:textId="77777777" w:rsidR="00EE60D6" w:rsidRPr="0083415E" w:rsidRDefault="00EE60D6" w:rsidP="00EE60D6">
      <w:pPr>
        <w:pStyle w:val="afb"/>
      </w:pPr>
      <w:r w:rsidRPr="0083415E">
        <w:t xml:space="preserve">Grimmer, J., Roberts, M. E., &amp; Stewart, B. M. (2022). </w:t>
      </w:r>
      <w:r w:rsidRPr="0083415E">
        <w:rPr>
          <w:i/>
          <w:iCs/>
        </w:rPr>
        <w:t>Text as data: A new framework for machine learning and the social sciences</w:t>
      </w:r>
      <w:r w:rsidRPr="0083415E">
        <w:t>. Princeton University Press. https://books.google.com/books?hl=en&amp;lr=&amp;id=dL40EAAAQBAJ&amp;oi=fnd&amp;pg=PR1&amp;dq=Text+as+Data:+A+New+Framework+for+Machine+Learning+and+the+Social+Sciences.&amp;ots=Hx0VNTYz2y&amp;sig=Rn6GTA733c0EDsQvf6nJhRekm6s</w:t>
      </w:r>
    </w:p>
    <w:p w14:paraId="33DD283F" w14:textId="77777777" w:rsidR="00EE60D6" w:rsidRPr="0083415E" w:rsidRDefault="00EE60D6" w:rsidP="00EE60D6">
      <w:pPr>
        <w:pStyle w:val="afb"/>
      </w:pPr>
      <w:r w:rsidRPr="0083415E">
        <w:t xml:space="preserve">Grimmer, J., &amp; Stewart, B. M. (2013). Text as Data: The Promise and Pitfalls of Automatic Content Analysis Methods for Political Texts. </w:t>
      </w:r>
      <w:r w:rsidRPr="0083415E">
        <w:rPr>
          <w:i/>
          <w:iCs/>
        </w:rPr>
        <w:t>Political Analysis</w:t>
      </w:r>
      <w:r w:rsidRPr="0083415E">
        <w:t xml:space="preserve">, </w:t>
      </w:r>
      <w:r w:rsidRPr="0083415E">
        <w:rPr>
          <w:i/>
          <w:iCs/>
        </w:rPr>
        <w:t>21</w:t>
      </w:r>
      <w:r w:rsidRPr="0083415E">
        <w:t>(3), 267–297. https://doi.org/10.1093/pan/mps028</w:t>
      </w:r>
    </w:p>
    <w:p w14:paraId="465DBE58" w14:textId="77777777" w:rsidR="00EE60D6" w:rsidRPr="0083415E" w:rsidRDefault="00EE60D6" w:rsidP="00EE60D6">
      <w:pPr>
        <w:pStyle w:val="afb"/>
      </w:pPr>
      <w:r w:rsidRPr="0083415E">
        <w:t xml:space="preserve">Groves, S., Jalonick, M., &amp; Blann, S. (2023, October 1). Government funding package drops Ukraine aid, raising questions about future support. </w:t>
      </w:r>
      <w:r w:rsidRPr="0083415E">
        <w:rPr>
          <w:i/>
          <w:iCs/>
        </w:rPr>
        <w:t>PBS News</w:t>
      </w:r>
      <w:r w:rsidRPr="0083415E">
        <w:t>. https://www.pbs.org/newshour/politics/government-funding-package-drops-ukraine-aid-raising-questions-about-future-support</w:t>
      </w:r>
    </w:p>
    <w:p w14:paraId="155C1E6C" w14:textId="77777777" w:rsidR="00EE60D6" w:rsidRPr="0083415E" w:rsidRDefault="00EE60D6" w:rsidP="00EE60D6">
      <w:pPr>
        <w:pStyle w:val="afb"/>
      </w:pPr>
      <w:r w:rsidRPr="0083415E">
        <w:lastRenderedPageBreak/>
        <w:t xml:space="preserve">Guinaudeau, I., &amp; Persico, S. (2014). What is Issue Competition? Conflict, Consensus and Issue Ownership in Party Competition. </w:t>
      </w:r>
      <w:r w:rsidRPr="0083415E">
        <w:rPr>
          <w:i/>
          <w:iCs/>
        </w:rPr>
        <w:t>Journal of Elections, Public Opinion and Parties</w:t>
      </w:r>
      <w:r w:rsidRPr="0083415E">
        <w:t xml:space="preserve">, </w:t>
      </w:r>
      <w:r w:rsidRPr="0083415E">
        <w:rPr>
          <w:i/>
          <w:iCs/>
        </w:rPr>
        <w:t>24</w:t>
      </w:r>
      <w:r w:rsidRPr="0083415E">
        <w:t>(3), 312–333. https://doi.org/10.1080/17457289.2013.858344</w:t>
      </w:r>
    </w:p>
    <w:p w14:paraId="0A07D0A8" w14:textId="77777777" w:rsidR="00EE60D6" w:rsidRPr="0083415E" w:rsidRDefault="00EE60D6" w:rsidP="00EE60D6">
      <w:pPr>
        <w:pStyle w:val="afb"/>
      </w:pPr>
      <w:r w:rsidRPr="0083415E">
        <w:t xml:space="preserve">Guisinger, A., &amp; Saunders, E. N. (2017). Mapping the Boundaries of Elite Cues: How Elites Shape Mass Opinion across International Issues. </w:t>
      </w:r>
      <w:r w:rsidRPr="0083415E">
        <w:rPr>
          <w:i/>
          <w:iCs/>
        </w:rPr>
        <w:t>International Studies Quarterly</w:t>
      </w:r>
      <w:r w:rsidRPr="0083415E">
        <w:t xml:space="preserve">, </w:t>
      </w:r>
      <w:r w:rsidRPr="0083415E">
        <w:rPr>
          <w:i/>
          <w:iCs/>
        </w:rPr>
        <w:t>61</w:t>
      </w:r>
      <w:r w:rsidRPr="0083415E">
        <w:t>(2), 425–441. https://doi.org/10.1093/isq/sqx022</w:t>
      </w:r>
    </w:p>
    <w:p w14:paraId="68DC7214" w14:textId="77777777" w:rsidR="00EE60D6" w:rsidRPr="0083415E" w:rsidRDefault="00EE60D6" w:rsidP="00EE60D6">
      <w:pPr>
        <w:pStyle w:val="afb"/>
      </w:pPr>
      <w:r w:rsidRPr="0083415E">
        <w:t xml:space="preserve">Hamed, K. H., &amp; Rao, A. R. (1998). A modified Mann-Kendall trend test for autocorrelated data. </w:t>
      </w:r>
      <w:r w:rsidRPr="0083415E">
        <w:rPr>
          <w:i/>
          <w:iCs/>
        </w:rPr>
        <w:t>Journal of Hydrology</w:t>
      </w:r>
      <w:r w:rsidRPr="0083415E">
        <w:t xml:space="preserve">, </w:t>
      </w:r>
      <w:r w:rsidRPr="0083415E">
        <w:rPr>
          <w:i/>
          <w:iCs/>
        </w:rPr>
        <w:t>204</w:t>
      </w:r>
      <w:r w:rsidRPr="0083415E">
        <w:t>(1), 182–196. https://doi.org/10.1016/S0022-1694(97)00125-X</w:t>
      </w:r>
    </w:p>
    <w:p w14:paraId="6C115A2E" w14:textId="77777777" w:rsidR="00EE60D6" w:rsidRPr="0083415E" w:rsidRDefault="00EE60D6" w:rsidP="00EE60D6">
      <w:pPr>
        <w:pStyle w:val="afb"/>
      </w:pPr>
      <w:r w:rsidRPr="0083415E">
        <w:t xml:space="preserve">Harris, B. (2023, October 1). Congress avoids government shutdown, drops Ukraine aid. </w:t>
      </w:r>
      <w:r w:rsidRPr="0083415E">
        <w:rPr>
          <w:i/>
          <w:iCs/>
        </w:rPr>
        <w:t>Defense News</w:t>
      </w:r>
      <w:r w:rsidRPr="0083415E">
        <w:t>. https://www.defensenews.com/congress/2023/10/01/congress-avoids-government-shutdown-drops-ukraine-aid/</w:t>
      </w:r>
    </w:p>
    <w:p w14:paraId="70BD8CA5" w14:textId="77777777" w:rsidR="00EE60D6" w:rsidRPr="0083415E" w:rsidRDefault="00EE60D6" w:rsidP="00EE60D6">
      <w:pPr>
        <w:pStyle w:val="afb"/>
      </w:pPr>
      <w:r w:rsidRPr="0083415E">
        <w:t xml:space="preserve">Harris, P., Marinova, I., &amp; Gricius, G. (2023). War in Ukraine in a polarised America. </w:t>
      </w:r>
      <w:r w:rsidRPr="0083415E">
        <w:rPr>
          <w:i/>
          <w:iCs/>
        </w:rPr>
        <w:t>LSE Public Policy Review</w:t>
      </w:r>
      <w:r w:rsidRPr="0083415E">
        <w:t xml:space="preserve">, </w:t>
      </w:r>
      <w:r w:rsidRPr="0083415E">
        <w:rPr>
          <w:i/>
          <w:iCs/>
        </w:rPr>
        <w:t>3</w:t>
      </w:r>
      <w:r w:rsidRPr="0083415E">
        <w:t>(1). https://doi.org/10.31389/lseppr.89</w:t>
      </w:r>
    </w:p>
    <w:p w14:paraId="32C99266" w14:textId="77777777" w:rsidR="00EE60D6" w:rsidRPr="0083415E" w:rsidRDefault="00EE60D6" w:rsidP="00EE60D6">
      <w:pPr>
        <w:pStyle w:val="afb"/>
      </w:pPr>
      <w:r w:rsidRPr="0083415E">
        <w:t xml:space="preserve">Hart, P. S., Chinn, S., &amp; Soroka, S. (2020). Politicization and Polarization in COVID-19 News Coverage. </w:t>
      </w:r>
      <w:r w:rsidRPr="0083415E">
        <w:rPr>
          <w:i/>
          <w:iCs/>
        </w:rPr>
        <w:t>Science Communication</w:t>
      </w:r>
      <w:r w:rsidRPr="0083415E">
        <w:t xml:space="preserve">, </w:t>
      </w:r>
      <w:r w:rsidRPr="0083415E">
        <w:rPr>
          <w:i/>
          <w:iCs/>
        </w:rPr>
        <w:t>42</w:t>
      </w:r>
      <w:r w:rsidRPr="0083415E">
        <w:t>(5), 679–697. https://doi.org/10.1177/1075547020950735</w:t>
      </w:r>
    </w:p>
    <w:p w14:paraId="7A0221A7" w14:textId="77777777" w:rsidR="00EE60D6" w:rsidRPr="0083415E" w:rsidRDefault="00EE60D6" w:rsidP="00EE60D6">
      <w:pPr>
        <w:pStyle w:val="afb"/>
      </w:pPr>
      <w:r w:rsidRPr="0083415E">
        <w:t xml:space="preserve">Honnibal, M., Montani, I., Van Landeghem, S., &amp; Boyd, A. (2020). </w:t>
      </w:r>
      <w:r w:rsidRPr="0083415E">
        <w:rPr>
          <w:i/>
          <w:iCs/>
        </w:rPr>
        <w:t>spaCy: Industrial-strength Natural Language Processing in Python</w:t>
      </w:r>
      <w:r w:rsidRPr="0083415E">
        <w:t xml:space="preserve"> [Python]. https://doi.org/10.5281/zenodo.1212303 (Original work published 2014)</w:t>
      </w:r>
    </w:p>
    <w:p w14:paraId="3ED1F243" w14:textId="77777777" w:rsidR="00EE60D6" w:rsidRPr="0083415E" w:rsidRDefault="00EE60D6" w:rsidP="00EE60D6">
      <w:pPr>
        <w:pStyle w:val="afb"/>
      </w:pPr>
      <w:r w:rsidRPr="0083415E">
        <w:t xml:space="preserve">Iyengar, S., Lelkes, Y., Levendusky, M., Malhotra, N., &amp; Westwood, S. J. (2019). The Origins and Consequences of Affective Polarization in the United States. </w:t>
      </w:r>
      <w:r w:rsidRPr="0083415E">
        <w:rPr>
          <w:i/>
          <w:iCs/>
        </w:rPr>
        <w:t>Annual Review of Political Science</w:t>
      </w:r>
      <w:r w:rsidRPr="0083415E">
        <w:t xml:space="preserve">, </w:t>
      </w:r>
      <w:r w:rsidRPr="0083415E">
        <w:rPr>
          <w:i/>
          <w:iCs/>
        </w:rPr>
        <w:t>22</w:t>
      </w:r>
      <w:r w:rsidRPr="0083415E">
        <w:t>(1), 129–146. https://doi.org/10.1146/annurev-polisci-051117-073034</w:t>
      </w:r>
    </w:p>
    <w:p w14:paraId="1747D214" w14:textId="77777777" w:rsidR="00EE60D6" w:rsidRPr="0083415E" w:rsidRDefault="00EE60D6" w:rsidP="00EE60D6">
      <w:pPr>
        <w:pStyle w:val="afb"/>
      </w:pPr>
      <w:r w:rsidRPr="0083415E">
        <w:t xml:space="preserve">Jeong, G.-H., &amp; Quirk, P. J. (2019). Division at the Water’s Edge: The Polarization of Foreign Policy. </w:t>
      </w:r>
      <w:r w:rsidRPr="0083415E">
        <w:rPr>
          <w:i/>
          <w:iCs/>
        </w:rPr>
        <w:t>American Politics Research</w:t>
      </w:r>
      <w:r w:rsidRPr="0083415E">
        <w:t xml:space="preserve">, </w:t>
      </w:r>
      <w:r w:rsidRPr="0083415E">
        <w:rPr>
          <w:i/>
          <w:iCs/>
        </w:rPr>
        <w:t>47</w:t>
      </w:r>
      <w:r w:rsidRPr="0083415E">
        <w:t>(1), 58–87. https://doi.org/10.1177/1532673X17719721</w:t>
      </w:r>
    </w:p>
    <w:p w14:paraId="395305A9" w14:textId="77777777" w:rsidR="00EE60D6" w:rsidRPr="0083415E" w:rsidRDefault="00EE60D6" w:rsidP="00EE60D6">
      <w:pPr>
        <w:pStyle w:val="afb"/>
      </w:pPr>
      <w:r w:rsidRPr="0083415E">
        <w:t xml:space="preserve">Karlberg, M. (2002). Partisan branding and media spectacle: Implications for democratic communication. </w:t>
      </w:r>
      <w:r w:rsidRPr="0083415E">
        <w:rPr>
          <w:i/>
          <w:iCs/>
        </w:rPr>
        <w:t>Democratic Communique</w:t>
      </w:r>
      <w:r w:rsidRPr="0083415E">
        <w:t xml:space="preserve">, </w:t>
      </w:r>
      <w:r w:rsidRPr="0083415E">
        <w:rPr>
          <w:i/>
          <w:iCs/>
        </w:rPr>
        <w:t>18</w:t>
      </w:r>
      <w:r w:rsidRPr="0083415E">
        <w:t>, 1–18.</w:t>
      </w:r>
    </w:p>
    <w:p w14:paraId="410CE74E" w14:textId="77777777" w:rsidR="00EE60D6" w:rsidRPr="0083415E" w:rsidRDefault="00EE60D6" w:rsidP="00EE60D6">
      <w:pPr>
        <w:pStyle w:val="afb"/>
      </w:pPr>
      <w:r w:rsidRPr="0083415E">
        <w:lastRenderedPageBreak/>
        <w:t xml:space="preserve">Khong, Y. (2008). </w:t>
      </w:r>
      <w:r w:rsidRPr="0083415E">
        <w:rPr>
          <w:i/>
          <w:iCs/>
        </w:rPr>
        <w:t>Neoconservatism and the domestic sources of American foreign policy: The role of ideas in Operation Iraqi Freedom</w:t>
      </w:r>
      <w:r w:rsidRPr="0083415E">
        <w:t>. https://ora.ox.ac.uk/objects/uuid:b93346b7-fe45-478b-be88-75b9c365b181</w:t>
      </w:r>
    </w:p>
    <w:p w14:paraId="27127D0B" w14:textId="77777777" w:rsidR="00EE60D6" w:rsidRPr="0083415E" w:rsidRDefault="00EE60D6" w:rsidP="00EE60D6">
      <w:pPr>
        <w:pStyle w:val="afb"/>
      </w:pPr>
      <w:r w:rsidRPr="0083415E">
        <w:t xml:space="preserve">Koljonen, J., Isotalo, V., Ahonen, P., &amp; Mattila, M. (2022). Comparing computational and non-computational methods in party position estimation: Finland, 2003–2019. </w:t>
      </w:r>
      <w:r w:rsidRPr="0083415E">
        <w:rPr>
          <w:i/>
          <w:iCs/>
        </w:rPr>
        <w:t>Party Politics</w:t>
      </w:r>
      <w:r w:rsidRPr="0083415E">
        <w:t xml:space="preserve">, </w:t>
      </w:r>
      <w:r w:rsidRPr="0083415E">
        <w:rPr>
          <w:i/>
          <w:iCs/>
        </w:rPr>
        <w:t>28</w:t>
      </w:r>
      <w:r w:rsidRPr="0083415E">
        <w:t>(2), 306–317. https://doi.org/10.1177/1354068820974609</w:t>
      </w:r>
    </w:p>
    <w:p w14:paraId="0B53E372" w14:textId="77777777" w:rsidR="00EE60D6" w:rsidRPr="0083415E" w:rsidRDefault="00EE60D6" w:rsidP="00EE60D6">
      <w:pPr>
        <w:pStyle w:val="afb"/>
      </w:pPr>
      <w:r w:rsidRPr="0083415E">
        <w:t xml:space="preserve">Kollberg, M. (2025). The challenger advantage – how challenger parties disrupt mainstream party dominance in the European Parliament. </w:t>
      </w:r>
      <w:r w:rsidRPr="0083415E">
        <w:rPr>
          <w:i/>
          <w:iCs/>
        </w:rPr>
        <w:t>Journal of European Public Policy</w:t>
      </w:r>
      <w:r w:rsidRPr="0083415E">
        <w:t xml:space="preserve">, </w:t>
      </w:r>
      <w:r w:rsidRPr="0083415E">
        <w:rPr>
          <w:i/>
          <w:iCs/>
        </w:rPr>
        <w:t>32</w:t>
      </w:r>
      <w:r w:rsidRPr="0083415E">
        <w:t>(9), 2252–2281. https://doi.org/10.1080/13501763.2024.2391510</w:t>
      </w:r>
    </w:p>
    <w:p w14:paraId="2C4934BA" w14:textId="77777777" w:rsidR="00EE60D6" w:rsidRPr="0083415E" w:rsidRDefault="00EE60D6" w:rsidP="00EE60D6">
      <w:pPr>
        <w:pStyle w:val="afb"/>
      </w:pPr>
      <w:r w:rsidRPr="0083415E">
        <w:t xml:space="preserve">Koselleck, R. (2004). </w:t>
      </w:r>
      <w:r w:rsidRPr="0083415E">
        <w:rPr>
          <w:i/>
          <w:iCs/>
        </w:rPr>
        <w:t>Futures past: On the semantics of historical time</w:t>
      </w:r>
      <w:r w:rsidRPr="0083415E">
        <w:t>. Columbia University Press. https://books.google.com/books?hl=en&amp;lr=&amp;id=u8czCgAAQBAJ&amp;oi=fnd&amp;pg=PR5&amp;dq=Futures+Past:+On+the+Semantics+of+Historical+Time.&amp;ots=ErANZuTGCh&amp;sig=EmV4CkGIIhIU_4oLf1eLBhiv0Zo</w:t>
      </w:r>
    </w:p>
    <w:p w14:paraId="0F7892C6" w14:textId="77777777" w:rsidR="00EE60D6" w:rsidRPr="0083415E" w:rsidRDefault="00EE60D6" w:rsidP="00EE60D6">
      <w:pPr>
        <w:pStyle w:val="afb"/>
      </w:pPr>
      <w:r w:rsidRPr="0083415E">
        <w:t xml:space="preserve">Krippendorff, K. (2004). Measuring the Reliability of Qualitative Text Analysis Data. </w:t>
      </w:r>
      <w:r w:rsidRPr="0083415E">
        <w:rPr>
          <w:i/>
          <w:iCs/>
        </w:rPr>
        <w:t>Quality and Quantity</w:t>
      </w:r>
      <w:r w:rsidRPr="0083415E">
        <w:t xml:space="preserve">, </w:t>
      </w:r>
      <w:r w:rsidRPr="0083415E">
        <w:rPr>
          <w:i/>
          <w:iCs/>
        </w:rPr>
        <w:t>38</w:t>
      </w:r>
      <w:r w:rsidRPr="0083415E">
        <w:t>(6), 787–800. https://doi.org/10.1007/s11135-004-8107-7</w:t>
      </w:r>
    </w:p>
    <w:p w14:paraId="1FA3692F" w14:textId="77777777" w:rsidR="00EE60D6" w:rsidRPr="0083415E" w:rsidRDefault="00EE60D6" w:rsidP="00EE60D6">
      <w:pPr>
        <w:pStyle w:val="afb"/>
      </w:pPr>
      <w:r w:rsidRPr="0083415E">
        <w:t xml:space="preserve">Krippendorff, K. (2019). </w:t>
      </w:r>
      <w:r w:rsidRPr="0083415E">
        <w:rPr>
          <w:i/>
          <w:iCs/>
        </w:rPr>
        <w:t>Content Analysis: An Introduction to Its Methodology</w:t>
      </w:r>
      <w:r w:rsidRPr="0083415E">
        <w:t>. SAGE Publications, Inc. https://doi.org/10.4135/9781071878781</w:t>
      </w:r>
    </w:p>
    <w:p w14:paraId="5B06ECD7" w14:textId="77777777" w:rsidR="00EE60D6" w:rsidRPr="0083415E" w:rsidRDefault="00EE60D6" w:rsidP="00EE60D6">
      <w:pPr>
        <w:pStyle w:val="afb"/>
      </w:pPr>
      <w:r w:rsidRPr="0083415E">
        <w:t xml:space="preserve">Kupchan, C. A., &amp; Trubowitz, P. L. (2007). Dead center: The demise of liberal internationalism in the United States. </w:t>
      </w:r>
      <w:r w:rsidRPr="0083415E">
        <w:rPr>
          <w:i/>
          <w:iCs/>
        </w:rPr>
        <w:t>International Security</w:t>
      </w:r>
      <w:r w:rsidRPr="0083415E">
        <w:t xml:space="preserve">, </w:t>
      </w:r>
      <w:r w:rsidRPr="0083415E">
        <w:rPr>
          <w:i/>
          <w:iCs/>
        </w:rPr>
        <w:t>32</w:t>
      </w:r>
      <w:r w:rsidRPr="0083415E">
        <w:t>(2), 7–44.</w:t>
      </w:r>
    </w:p>
    <w:p w14:paraId="33B8D9DC" w14:textId="77777777" w:rsidR="00EE60D6" w:rsidRPr="0083415E" w:rsidRDefault="00EE60D6" w:rsidP="00EE60D6">
      <w:pPr>
        <w:pStyle w:val="afb"/>
      </w:pPr>
      <w:r w:rsidRPr="0083415E">
        <w:t xml:space="preserve">Lau, R. R., &amp; Redlawsk, D. P. (2001). Advantages and disadvantages of cognitive heuristics in political decision making. </w:t>
      </w:r>
      <w:r w:rsidRPr="0083415E">
        <w:rPr>
          <w:i/>
          <w:iCs/>
        </w:rPr>
        <w:t>American Journal of Political Science</w:t>
      </w:r>
      <w:r w:rsidRPr="0083415E">
        <w:t>, 951–971.</w:t>
      </w:r>
    </w:p>
    <w:p w14:paraId="558A9A06" w14:textId="77777777" w:rsidR="00EE60D6" w:rsidRPr="0083415E" w:rsidRDefault="00EE60D6" w:rsidP="00EE60D6">
      <w:pPr>
        <w:pStyle w:val="afb"/>
      </w:pPr>
      <w:r w:rsidRPr="0083415E">
        <w:t xml:space="preserve">Le Mens, G., &amp; Gallego, A. (2025). Positioning Political Texts with Large Language Models by Asking and Averaging. </w:t>
      </w:r>
      <w:r w:rsidRPr="0083415E">
        <w:rPr>
          <w:i/>
          <w:iCs/>
        </w:rPr>
        <w:t>Political Analysis</w:t>
      </w:r>
      <w:r w:rsidRPr="0083415E">
        <w:t xml:space="preserve">, </w:t>
      </w:r>
      <w:r w:rsidRPr="0083415E">
        <w:rPr>
          <w:i/>
          <w:iCs/>
        </w:rPr>
        <w:t>33</w:t>
      </w:r>
      <w:r w:rsidRPr="0083415E">
        <w:t>(3), 399–416. https://doi.org/10.1017/pan.2024.24</w:t>
      </w:r>
    </w:p>
    <w:p w14:paraId="4143AE7F" w14:textId="77777777" w:rsidR="00EE60D6" w:rsidRPr="0083415E" w:rsidRDefault="00EE60D6" w:rsidP="00EE60D6">
      <w:pPr>
        <w:pStyle w:val="afb"/>
      </w:pPr>
      <w:r w:rsidRPr="0083415E">
        <w:t xml:space="preserve">Lee, F. E. (2016). </w:t>
      </w:r>
      <w:r w:rsidRPr="0083415E">
        <w:rPr>
          <w:i/>
          <w:iCs/>
        </w:rPr>
        <w:t>Insecure majorities: Congress and the perpetual campaign</w:t>
      </w:r>
      <w:r w:rsidRPr="0083415E">
        <w:t>. University of Chicago Press. https://books.google.com/books?hl=en&amp;lr=&amp;id=0NvFDAAAQBAJ&amp;oi=fnd&amp;pg=PR7&amp;dq=Insec</w:t>
      </w:r>
      <w:r w:rsidRPr="0083415E">
        <w:lastRenderedPageBreak/>
        <w:t>ure+Majorities:+Congress+and+the+Perpetual+Campaign.&amp;ots=bDioylGtP3&amp;sig=sMydiKoZArGQZHenW-B4uR3ze5Y</w:t>
      </w:r>
    </w:p>
    <w:p w14:paraId="5C8A2191" w14:textId="77777777" w:rsidR="00EE60D6" w:rsidRPr="0083415E" w:rsidRDefault="00EE60D6" w:rsidP="00EE60D6">
      <w:pPr>
        <w:pStyle w:val="afb"/>
      </w:pPr>
      <w:r w:rsidRPr="0083415E">
        <w:t xml:space="preserve">Leeper, T. J., &amp; Slothuus, R. (2014). Political Parties, Motivated Reasoning, and Public Opinion Formation. </w:t>
      </w:r>
      <w:r w:rsidRPr="0083415E">
        <w:rPr>
          <w:i/>
          <w:iCs/>
        </w:rPr>
        <w:t>Political Psychology</w:t>
      </w:r>
      <w:r w:rsidRPr="0083415E">
        <w:t xml:space="preserve">, </w:t>
      </w:r>
      <w:r w:rsidRPr="0083415E">
        <w:rPr>
          <w:i/>
          <w:iCs/>
        </w:rPr>
        <w:t>35</w:t>
      </w:r>
      <w:r w:rsidRPr="0083415E">
        <w:t>(S1), 129–156. https://doi.org/10.1111/pops.12164</w:t>
      </w:r>
    </w:p>
    <w:p w14:paraId="3A3692F0" w14:textId="77777777" w:rsidR="00EE60D6" w:rsidRPr="0083415E" w:rsidRDefault="00EE60D6" w:rsidP="00EE60D6">
      <w:pPr>
        <w:pStyle w:val="afb"/>
      </w:pPr>
      <w:r w:rsidRPr="0083415E">
        <w:t xml:space="preserve">Levendusky, M., &amp; Malhotra, N. (2016). Does Media Coverage of Partisan Polarization Affect Political Attitudes? </w:t>
      </w:r>
      <w:r w:rsidRPr="0083415E">
        <w:rPr>
          <w:i/>
          <w:iCs/>
        </w:rPr>
        <w:t>Political Communication</w:t>
      </w:r>
      <w:r w:rsidRPr="0083415E">
        <w:t xml:space="preserve">, </w:t>
      </w:r>
      <w:r w:rsidRPr="0083415E">
        <w:rPr>
          <w:i/>
          <w:iCs/>
        </w:rPr>
        <w:t>33</w:t>
      </w:r>
      <w:r w:rsidRPr="0083415E">
        <w:t>(2), 283–301. https://doi.org/10.1080/10584609.2015.1038455</w:t>
      </w:r>
    </w:p>
    <w:p w14:paraId="5AAFE42B" w14:textId="77777777" w:rsidR="00EE60D6" w:rsidRPr="0083415E" w:rsidRDefault="00EE60D6" w:rsidP="00EE60D6">
      <w:pPr>
        <w:pStyle w:val="afb"/>
      </w:pPr>
      <w:r w:rsidRPr="0083415E">
        <w:t xml:space="preserve">Li, M., &amp; Lu, Q. (2026). </w:t>
      </w:r>
      <w:r w:rsidRPr="0083415E">
        <w:rPr>
          <w:i/>
          <w:iCs/>
        </w:rPr>
        <w:t>changepointGA: An R package for Fast Changepoint Detection via Genetic Algorithm</w:t>
      </w:r>
      <w:r w:rsidRPr="0083415E">
        <w:t xml:space="preserve"> (arXiv:2410.15571). arXiv. https://doi.org/10.48550/arXiv.2410.15571</w:t>
      </w:r>
    </w:p>
    <w:p w14:paraId="28D11D70" w14:textId="77777777" w:rsidR="00EE60D6" w:rsidRPr="0083415E" w:rsidRDefault="00EE60D6" w:rsidP="00EE60D6">
      <w:pPr>
        <w:pStyle w:val="afb"/>
      </w:pPr>
      <w:r w:rsidRPr="0083415E">
        <w:t xml:space="preserve">Lund, R. B., Beaulieu, C., Killick, R., Lu, Q., &amp; Shi, X. (2023). Good Practices and Common Pitfalls in Climate Time Series Changepoint Techniques: A Review. </w:t>
      </w:r>
      <w:r w:rsidRPr="0083415E">
        <w:rPr>
          <w:i/>
          <w:iCs/>
        </w:rPr>
        <w:t>Journal of Climate</w:t>
      </w:r>
      <w:r w:rsidRPr="0083415E">
        <w:t xml:space="preserve">, </w:t>
      </w:r>
      <w:r w:rsidRPr="0083415E">
        <w:rPr>
          <w:i/>
          <w:iCs/>
        </w:rPr>
        <w:t>36</w:t>
      </w:r>
      <w:r w:rsidRPr="0083415E">
        <w:t>(23), 8041–8057. https://doi.org/10.1175/JCLI-D-22-0954.1</w:t>
      </w:r>
    </w:p>
    <w:p w14:paraId="79632707" w14:textId="77777777" w:rsidR="00EE60D6" w:rsidRPr="0083415E" w:rsidRDefault="00EE60D6" w:rsidP="00EE60D6">
      <w:pPr>
        <w:pStyle w:val="afb"/>
      </w:pPr>
      <w:r w:rsidRPr="0083415E">
        <w:t xml:space="preserve">Lupu, N. (2013). Party Brands and Partisanship: Theory with Evidence from a Survey Experiment in Argentina. </w:t>
      </w:r>
      <w:r w:rsidRPr="0083415E">
        <w:rPr>
          <w:i/>
          <w:iCs/>
        </w:rPr>
        <w:t>American Journal of Political Science</w:t>
      </w:r>
      <w:r w:rsidRPr="0083415E">
        <w:t xml:space="preserve">, </w:t>
      </w:r>
      <w:r w:rsidRPr="0083415E">
        <w:rPr>
          <w:i/>
          <w:iCs/>
        </w:rPr>
        <w:t>57</w:t>
      </w:r>
      <w:r w:rsidRPr="0083415E">
        <w:t>(1), 49–64. https://doi.org/10.1111/j.1540-5907.2012.00615.x</w:t>
      </w:r>
    </w:p>
    <w:p w14:paraId="6BDD3379" w14:textId="77777777" w:rsidR="00EE60D6" w:rsidRPr="0083415E" w:rsidRDefault="00EE60D6" w:rsidP="00EE60D6">
      <w:pPr>
        <w:pStyle w:val="afb"/>
      </w:pPr>
      <w:r w:rsidRPr="0083415E">
        <w:t xml:space="preserve">Lupu, N. (2015). Party Polarization and Mass Partisanship: A Comparative Perspective. </w:t>
      </w:r>
      <w:r w:rsidRPr="0083415E">
        <w:rPr>
          <w:i/>
          <w:iCs/>
        </w:rPr>
        <w:t>Political Behavior</w:t>
      </w:r>
      <w:r w:rsidRPr="0083415E">
        <w:t xml:space="preserve">, </w:t>
      </w:r>
      <w:r w:rsidRPr="0083415E">
        <w:rPr>
          <w:i/>
          <w:iCs/>
        </w:rPr>
        <w:t>37</w:t>
      </w:r>
      <w:r w:rsidRPr="0083415E">
        <w:t>(2), 331–356. https://doi.org/10.1007/s11109-014-9279-z</w:t>
      </w:r>
    </w:p>
    <w:p w14:paraId="200C936F" w14:textId="77777777" w:rsidR="00EE60D6" w:rsidRPr="0083415E" w:rsidRDefault="00EE60D6" w:rsidP="00EE60D6">
      <w:pPr>
        <w:pStyle w:val="afb"/>
      </w:pPr>
      <w:r w:rsidRPr="0083415E">
        <w:t xml:space="preserve">Lupu, N. (2016). </w:t>
      </w:r>
      <w:r w:rsidRPr="0083415E">
        <w:rPr>
          <w:i/>
          <w:iCs/>
        </w:rPr>
        <w:t>Party brands in crisis: Partisanship, brand dilution, and the breakdown of political parties in Latin America</w:t>
      </w:r>
      <w:r w:rsidRPr="0083415E">
        <w:t>. Cambridge University Press. https://books.google.com/books?hl=en&amp;lr=&amp;id=HSR0CwAAQBAJ&amp;oi=fnd&amp;pg=PR9&amp;dq=Party+Brands+in+Crisis:+Partisanship,+Brand+Dilution,+and+the+Breakdown+of+Political+Parties+in+Latin+America&amp;ots=xbtfnBTCje&amp;sig=6vccK-fVzeJkYmK7cIfHv4YaUiI</w:t>
      </w:r>
    </w:p>
    <w:p w14:paraId="1D80C126" w14:textId="77777777" w:rsidR="00EE60D6" w:rsidRPr="0083415E" w:rsidRDefault="00EE60D6" w:rsidP="00EE60D6">
      <w:pPr>
        <w:pStyle w:val="afb"/>
      </w:pPr>
      <w:r w:rsidRPr="0083415E">
        <w:t xml:space="preserve">Mascaro, L. (2023, October 7). How $6 billion in U.S. aid to Ukraine collapsed in the deal to avoid a government shutdown. </w:t>
      </w:r>
      <w:r w:rsidRPr="0083415E">
        <w:rPr>
          <w:i/>
          <w:iCs/>
        </w:rPr>
        <w:t>PBS News</w:t>
      </w:r>
      <w:r w:rsidRPr="0083415E">
        <w:t>. https://www.pbs.org/newshour/politics/how-6-billion-in-u-s-aid-to-ukraine-collapsed-in-the-deal-to-avoid-a-government-shutdown</w:t>
      </w:r>
    </w:p>
    <w:p w14:paraId="6F7E8EA4" w14:textId="77777777" w:rsidR="00EE60D6" w:rsidRPr="0083415E" w:rsidRDefault="00EE60D6" w:rsidP="00EE60D6">
      <w:pPr>
        <w:pStyle w:val="afb"/>
      </w:pPr>
      <w:r w:rsidRPr="0083415E">
        <w:lastRenderedPageBreak/>
        <w:t xml:space="preserve">Mazzuca, C., &amp; Santarelli, M. (2023). Making it abstract, making it contestable: Politicization at the intersection of political and cognitive science. </w:t>
      </w:r>
      <w:r w:rsidRPr="0083415E">
        <w:rPr>
          <w:i/>
          <w:iCs/>
        </w:rPr>
        <w:t>Review of Philosophy and Psychology</w:t>
      </w:r>
      <w:r w:rsidRPr="0083415E">
        <w:t xml:space="preserve">, </w:t>
      </w:r>
      <w:r w:rsidRPr="0083415E">
        <w:rPr>
          <w:i/>
          <w:iCs/>
        </w:rPr>
        <w:t>14</w:t>
      </w:r>
      <w:r w:rsidRPr="0083415E">
        <w:t>(4), 1257–1278. https://doi.org/10.1007/s13164-022-00640-2</w:t>
      </w:r>
    </w:p>
    <w:p w14:paraId="6533207D" w14:textId="77777777" w:rsidR="00EE60D6" w:rsidRPr="0083415E" w:rsidRDefault="00EE60D6" w:rsidP="00EE60D6">
      <w:pPr>
        <w:pStyle w:val="afb"/>
      </w:pPr>
      <w:r w:rsidRPr="0083415E">
        <w:t xml:space="preserve">Mead, W. R. (2017). The Jacksonian revolt: American populism and the liberal order. </w:t>
      </w:r>
      <w:r w:rsidRPr="0083415E">
        <w:rPr>
          <w:i/>
          <w:iCs/>
        </w:rPr>
        <w:t>Foreign Aff.</w:t>
      </w:r>
      <w:r w:rsidRPr="0083415E">
        <w:t xml:space="preserve">, </w:t>
      </w:r>
      <w:r w:rsidRPr="0083415E">
        <w:rPr>
          <w:i/>
          <w:iCs/>
        </w:rPr>
        <w:t>96</w:t>
      </w:r>
      <w:r w:rsidRPr="0083415E">
        <w:t>, 2.</w:t>
      </w:r>
    </w:p>
    <w:p w14:paraId="75723F70" w14:textId="77777777" w:rsidR="00EE60D6" w:rsidRPr="0083415E" w:rsidRDefault="00EE60D6" w:rsidP="00EE60D6">
      <w:pPr>
        <w:pStyle w:val="afb"/>
      </w:pPr>
      <w:r w:rsidRPr="0083415E">
        <w:t xml:space="preserve">Meguid, B. M. (2010). </w:t>
      </w:r>
      <w:r w:rsidRPr="0083415E">
        <w:rPr>
          <w:i/>
          <w:iCs/>
        </w:rPr>
        <w:t>Party Competition between Unequals: Strategies and Electoral Fortunes in Western Europe</w:t>
      </w:r>
      <w:r w:rsidRPr="0083415E">
        <w:t>. Cambridge University Press.</w:t>
      </w:r>
    </w:p>
    <w:p w14:paraId="3AF89856" w14:textId="77777777" w:rsidR="00EE60D6" w:rsidRPr="0083415E" w:rsidRDefault="00EE60D6" w:rsidP="00EE60D6">
      <w:pPr>
        <w:pStyle w:val="afb"/>
      </w:pPr>
      <w:r w:rsidRPr="0083415E">
        <w:t xml:space="preserve">Noel, H. (2014). </w:t>
      </w:r>
      <w:r w:rsidRPr="0083415E">
        <w:rPr>
          <w:i/>
          <w:iCs/>
        </w:rPr>
        <w:t>Political Ideologies and Political Parties in America</w:t>
      </w:r>
      <w:r w:rsidRPr="0083415E">
        <w:t>. Cambridge University Press. https://doi.org/10.1017/CBO9781139814775</w:t>
      </w:r>
    </w:p>
    <w:p w14:paraId="6DF8DD40" w14:textId="77777777" w:rsidR="00EE60D6" w:rsidRPr="0083415E" w:rsidRDefault="00EE60D6" w:rsidP="00EE60D6">
      <w:pPr>
        <w:pStyle w:val="afb"/>
      </w:pPr>
      <w:r w:rsidRPr="0083415E">
        <w:t xml:space="preserve">Nomikos, W. G., Kim, D., &amp; Lin, G. (2025). American social media users have ideological differences of opinion about the War in Ukraine. </w:t>
      </w:r>
      <w:r w:rsidRPr="0083415E">
        <w:rPr>
          <w:i/>
          <w:iCs/>
        </w:rPr>
        <w:t>Humanities and Social Sciences Communications</w:t>
      </w:r>
      <w:r w:rsidRPr="0083415E">
        <w:t xml:space="preserve">, </w:t>
      </w:r>
      <w:r w:rsidRPr="0083415E">
        <w:rPr>
          <w:i/>
          <w:iCs/>
        </w:rPr>
        <w:t>12</w:t>
      </w:r>
      <w:r w:rsidRPr="0083415E">
        <w:t>(1), 125. https://doi.org/10.1057/s41599-024-04304-7</w:t>
      </w:r>
    </w:p>
    <w:p w14:paraId="7F4CE16C" w14:textId="77777777" w:rsidR="00EE60D6" w:rsidRPr="0083415E" w:rsidRDefault="00EE60D6" w:rsidP="00EE60D6">
      <w:pPr>
        <w:pStyle w:val="afb"/>
      </w:pPr>
      <w:r w:rsidRPr="0083415E">
        <w:t xml:space="preserve">Ornstein, J. T., Blasingame, E. N., &amp; Truscott, J. S. (2025). How to train your stochastic parrot: Large language models for political texts. </w:t>
      </w:r>
      <w:r w:rsidRPr="0083415E">
        <w:rPr>
          <w:i/>
          <w:iCs/>
        </w:rPr>
        <w:t>Political Science Research and Methods</w:t>
      </w:r>
      <w:r w:rsidRPr="0083415E">
        <w:t xml:space="preserve">, </w:t>
      </w:r>
      <w:r w:rsidRPr="0083415E">
        <w:rPr>
          <w:i/>
          <w:iCs/>
        </w:rPr>
        <w:t>13</w:t>
      </w:r>
      <w:r w:rsidRPr="0083415E">
        <w:t>(2), 264–281. https://doi.org/10.1017/psrm.2024.64</w:t>
      </w:r>
    </w:p>
    <w:p w14:paraId="4370F222" w14:textId="77777777" w:rsidR="00EE60D6" w:rsidRPr="0083415E" w:rsidRDefault="00EE60D6" w:rsidP="00EE60D6">
      <w:pPr>
        <w:pStyle w:val="afb"/>
      </w:pPr>
      <w:r w:rsidRPr="0083415E">
        <w:t xml:space="preserve">Pablo Fernández-Vázquez. (2014). And Yet It Moves: The Effect of Election Platforms on Party Policy Images. </w:t>
      </w:r>
      <w:r w:rsidRPr="0083415E">
        <w:rPr>
          <w:i/>
          <w:iCs/>
        </w:rPr>
        <w:t>Comparative Political Studies</w:t>
      </w:r>
      <w:r w:rsidRPr="0083415E">
        <w:t xml:space="preserve">, </w:t>
      </w:r>
      <w:r w:rsidRPr="0083415E">
        <w:rPr>
          <w:i/>
          <w:iCs/>
        </w:rPr>
        <w:t>47</w:t>
      </w:r>
      <w:r w:rsidRPr="0083415E">
        <w:t>(14), 1919–1944. https://doi.org/10.1177/0010414013516067</w:t>
      </w:r>
    </w:p>
    <w:p w14:paraId="5F05CC9B" w14:textId="77777777" w:rsidR="00EE60D6" w:rsidRPr="0083415E" w:rsidRDefault="00EE60D6" w:rsidP="00EE60D6">
      <w:pPr>
        <w:pStyle w:val="afb"/>
      </w:pPr>
      <w:r w:rsidRPr="0083415E">
        <w:t xml:space="preserve">Pangakis, N., Wolken, S., &amp; Fasching, N. (2023). </w:t>
      </w:r>
      <w:r w:rsidRPr="0083415E">
        <w:rPr>
          <w:i/>
          <w:iCs/>
        </w:rPr>
        <w:t>Automated Annotation with Generative AI Requires Validation</w:t>
      </w:r>
      <w:r w:rsidRPr="0083415E">
        <w:t>. https://arxiv.org/abs/2306.00176</w:t>
      </w:r>
    </w:p>
    <w:p w14:paraId="7C87305E" w14:textId="77777777" w:rsidR="00EE60D6" w:rsidRPr="0083415E" w:rsidRDefault="00EE60D6" w:rsidP="00EE60D6">
      <w:pPr>
        <w:pStyle w:val="afb"/>
      </w:pPr>
      <w:r w:rsidRPr="0083415E">
        <w:t xml:space="preserve">Pavlichenko, L. (2022). Polarization in media political discourse on the war in Ukraine: Critical discourse analysis. </w:t>
      </w:r>
      <w:r w:rsidRPr="0083415E">
        <w:rPr>
          <w:i/>
          <w:iCs/>
        </w:rPr>
        <w:t>Alfred Nobel University Journal of Philology</w:t>
      </w:r>
      <w:r w:rsidRPr="0083415E">
        <w:t xml:space="preserve">, </w:t>
      </w:r>
      <w:r w:rsidRPr="0083415E">
        <w:rPr>
          <w:i/>
          <w:iCs/>
        </w:rPr>
        <w:t>2</w:t>
      </w:r>
      <w:r w:rsidRPr="0083415E">
        <w:t>(24), 214–223.</w:t>
      </w:r>
    </w:p>
    <w:p w14:paraId="69579316" w14:textId="77777777" w:rsidR="00EE60D6" w:rsidRPr="0083415E" w:rsidRDefault="00EE60D6" w:rsidP="00EE60D6">
      <w:pPr>
        <w:pStyle w:val="afb"/>
      </w:pPr>
      <w:r w:rsidRPr="0083415E">
        <w:t xml:space="preserve">Peterson, A., &amp; Spirling, A. (2018). Classification Accuracy as a Substantive Quantity of Interest: Measuring Polarization inWestminster Systems. </w:t>
      </w:r>
      <w:r w:rsidRPr="0083415E">
        <w:rPr>
          <w:i/>
          <w:iCs/>
        </w:rPr>
        <w:t>Political Analysis</w:t>
      </w:r>
      <w:r w:rsidRPr="0083415E">
        <w:t xml:space="preserve">, </w:t>
      </w:r>
      <w:r w:rsidRPr="0083415E">
        <w:rPr>
          <w:i/>
          <w:iCs/>
        </w:rPr>
        <w:t>26</w:t>
      </w:r>
      <w:r w:rsidRPr="0083415E">
        <w:t>(1), 120–128. https://doi.org/10.1017/pan.2017.39</w:t>
      </w:r>
    </w:p>
    <w:p w14:paraId="5FB2A674" w14:textId="77777777" w:rsidR="00EE60D6" w:rsidRPr="0083415E" w:rsidRDefault="00EE60D6" w:rsidP="00EE60D6">
      <w:pPr>
        <w:pStyle w:val="afb"/>
      </w:pPr>
      <w:r w:rsidRPr="0083415E">
        <w:lastRenderedPageBreak/>
        <w:t xml:space="preserve">Pew Research Center. (2014, June 12). Political Polarization in the American Public | About the Surveys. </w:t>
      </w:r>
      <w:r w:rsidRPr="0083415E">
        <w:rPr>
          <w:i/>
          <w:iCs/>
        </w:rPr>
        <w:t>Political Polarization in the American Public</w:t>
      </w:r>
      <w:r w:rsidRPr="0083415E">
        <w:t>. https://www.pewresearch.org/politics/2014/06/12/about-the-surveys-25/</w:t>
      </w:r>
    </w:p>
    <w:p w14:paraId="63A8ACD2" w14:textId="77777777" w:rsidR="00EE60D6" w:rsidRPr="0083415E" w:rsidRDefault="00EE60D6" w:rsidP="00EE60D6">
      <w:pPr>
        <w:pStyle w:val="afb"/>
      </w:pPr>
      <w:r w:rsidRPr="0083415E">
        <w:t xml:space="preserve">Pilkington, E. (2022, October 25). Progressive Democrats retract Biden Ukraine letter after furious debate. </w:t>
      </w:r>
      <w:r w:rsidRPr="0083415E">
        <w:rPr>
          <w:i/>
          <w:iCs/>
        </w:rPr>
        <w:t>The Guardian</w:t>
      </w:r>
      <w:r w:rsidRPr="0083415E">
        <w:t>. https://www.theguardian.com/us-news/2022/oct/25/democrats-joe-biden-ukraine-war-russia-letter</w:t>
      </w:r>
    </w:p>
    <w:p w14:paraId="58FAD7B8" w14:textId="77777777" w:rsidR="00EE60D6" w:rsidRPr="0083415E" w:rsidRDefault="00EE60D6" w:rsidP="00EE60D6">
      <w:pPr>
        <w:pStyle w:val="afb"/>
      </w:pPr>
      <w:r w:rsidRPr="0083415E">
        <w:t xml:space="preserve">Podraza, A. (2025). Inconsistency of US policy toward Russia in the 21st century and the outbreak of war in Ukraine in 2022. </w:t>
      </w:r>
      <w:r w:rsidRPr="0083415E">
        <w:rPr>
          <w:i/>
          <w:iCs/>
        </w:rPr>
        <w:t>Comparative Strategy</w:t>
      </w:r>
      <w:r w:rsidRPr="0083415E">
        <w:t xml:space="preserve">, </w:t>
      </w:r>
      <w:r w:rsidRPr="0083415E">
        <w:rPr>
          <w:i/>
          <w:iCs/>
        </w:rPr>
        <w:t>44</w:t>
      </w:r>
      <w:r w:rsidRPr="0083415E">
        <w:t>(2), 201–219. https://doi.org/10.1080/01495933.2025.2456423</w:t>
      </w:r>
    </w:p>
    <w:p w14:paraId="2A32891C" w14:textId="77777777" w:rsidR="00EE60D6" w:rsidRPr="0083415E" w:rsidRDefault="00EE60D6" w:rsidP="00EE60D6">
      <w:pPr>
        <w:pStyle w:val="afb"/>
      </w:pPr>
      <w:r w:rsidRPr="0083415E">
        <w:t xml:space="preserve">Politis, D. N., &amp; Romano, J. P. (1994). The Stationary Bootstrap. </w:t>
      </w:r>
      <w:r w:rsidRPr="0083415E">
        <w:rPr>
          <w:i/>
          <w:iCs/>
        </w:rPr>
        <w:t>Journal of the American Statistical Association</w:t>
      </w:r>
      <w:r w:rsidRPr="0083415E">
        <w:t xml:space="preserve">, </w:t>
      </w:r>
      <w:r w:rsidRPr="0083415E">
        <w:rPr>
          <w:i/>
          <w:iCs/>
        </w:rPr>
        <w:t>89</w:t>
      </w:r>
      <w:r w:rsidRPr="0083415E">
        <w:t>(428), 1303–1313. https://doi.org/10.2307/2290993</w:t>
      </w:r>
    </w:p>
    <w:p w14:paraId="6FC2B3C9" w14:textId="77777777" w:rsidR="00EE60D6" w:rsidRPr="0083415E" w:rsidRDefault="00EE60D6" w:rsidP="00EE60D6">
      <w:pPr>
        <w:pStyle w:val="afb"/>
      </w:pPr>
      <w:r w:rsidRPr="0083415E">
        <w:t xml:space="preserve">Prather, L. (2014). Values at the water’s edge: Social welfare values and foreign aid. </w:t>
      </w:r>
      <w:r w:rsidRPr="0083415E">
        <w:rPr>
          <w:i/>
          <w:iCs/>
        </w:rPr>
        <w:t>Unpublished Manuscript, Stanford University, Stanford, CA</w:t>
      </w:r>
      <w:r w:rsidRPr="0083415E">
        <w:t>. https://developmentengagementlab.org/storage/values-at-the-waters-edge-social-welfare-values-and-foreign-aid-1581607674.pdf</w:t>
      </w:r>
    </w:p>
    <w:p w14:paraId="1B782434" w14:textId="77777777" w:rsidR="00EE60D6" w:rsidRPr="0083415E" w:rsidRDefault="00EE60D6" w:rsidP="00EE60D6">
      <w:pPr>
        <w:pStyle w:val="afb"/>
      </w:pPr>
      <w:r w:rsidRPr="0083415E">
        <w:t xml:space="preserve">Raju, M., Diaz, D., &amp; Liptak, K. (2022, October 25). Jayapal withdraws letter on Ukraine policy amid Democratic anger. </w:t>
      </w:r>
      <w:r w:rsidRPr="0083415E">
        <w:rPr>
          <w:i/>
          <w:iCs/>
        </w:rPr>
        <w:t>CNN</w:t>
      </w:r>
      <w:r w:rsidRPr="0083415E">
        <w:t>. https://www.cnn.com/2022/10/25/politics/pramila-jayapal-ukraine-letter-democratic-backlash</w:t>
      </w:r>
    </w:p>
    <w:p w14:paraId="6B118DDE" w14:textId="77777777" w:rsidR="00EE60D6" w:rsidRPr="0083415E" w:rsidRDefault="00EE60D6" w:rsidP="00EE60D6">
      <w:pPr>
        <w:pStyle w:val="afb"/>
      </w:pPr>
      <w:r w:rsidRPr="0083415E">
        <w:t xml:space="preserve">Rathbun, B. (2016). Wedges and widgets: Liberalism, libertarianism, and the trade attitudes of the American mass public and elites. </w:t>
      </w:r>
      <w:r w:rsidRPr="0083415E">
        <w:rPr>
          <w:i/>
          <w:iCs/>
        </w:rPr>
        <w:t>Foreign Policy Analysis</w:t>
      </w:r>
      <w:r w:rsidRPr="0083415E">
        <w:t xml:space="preserve">, </w:t>
      </w:r>
      <w:r w:rsidRPr="0083415E">
        <w:rPr>
          <w:i/>
          <w:iCs/>
        </w:rPr>
        <w:t>12</w:t>
      </w:r>
      <w:r w:rsidRPr="0083415E">
        <w:t>(1), 85–108.</w:t>
      </w:r>
    </w:p>
    <w:p w14:paraId="1B7C7995" w14:textId="77777777" w:rsidR="00EE60D6" w:rsidRPr="0083415E" w:rsidRDefault="00EE60D6" w:rsidP="00EE60D6">
      <w:pPr>
        <w:pStyle w:val="afb"/>
      </w:pPr>
      <w:r w:rsidRPr="0083415E">
        <w:t xml:space="preserve">Rieger, E. (2025a). A Manchurian Candidate? The GOP’s Discourse on the Russian War in Ukraine. </w:t>
      </w:r>
      <w:r w:rsidRPr="0083415E">
        <w:rPr>
          <w:i/>
          <w:iCs/>
        </w:rPr>
        <w:t>Politische Vierteljahresschrift</w:t>
      </w:r>
      <w:r w:rsidRPr="0083415E">
        <w:t xml:space="preserve">, </w:t>
      </w:r>
      <w:r w:rsidRPr="0083415E">
        <w:rPr>
          <w:i/>
          <w:iCs/>
        </w:rPr>
        <w:t>66</w:t>
      </w:r>
      <w:r w:rsidRPr="0083415E">
        <w:t>(1), 77–99. https://doi.org/10.1007/s11615-024-00558-7</w:t>
      </w:r>
    </w:p>
    <w:p w14:paraId="11510D3E" w14:textId="77777777" w:rsidR="00EE60D6" w:rsidRPr="0083415E" w:rsidRDefault="00EE60D6" w:rsidP="00EE60D6">
      <w:pPr>
        <w:pStyle w:val="afb"/>
      </w:pPr>
      <w:r w:rsidRPr="0083415E">
        <w:t xml:space="preserve">Rieger, E. (2025b). “They Shouldn’t Receive Another Penny from America!”: Contestations of U.S. Support for Ukraine from the Ideological Margins? </w:t>
      </w:r>
      <w:r w:rsidRPr="0083415E">
        <w:rPr>
          <w:i/>
          <w:iCs/>
        </w:rPr>
        <w:t>Zeitschrift Für Außen- Und Sicherheitspolitik</w:t>
      </w:r>
      <w:r w:rsidRPr="0083415E">
        <w:t>. https://doi.org/10.1007/s12399-025-01073-2</w:t>
      </w:r>
    </w:p>
    <w:p w14:paraId="6D75BB45" w14:textId="77777777" w:rsidR="00EE60D6" w:rsidRPr="0083415E" w:rsidRDefault="00EE60D6" w:rsidP="00EE60D6">
      <w:pPr>
        <w:pStyle w:val="afb"/>
      </w:pPr>
      <w:r w:rsidRPr="0083415E">
        <w:lastRenderedPageBreak/>
        <w:t xml:space="preserve">Rodriguez, P. L., &amp; Spirling, A. (2022). Word Embeddings: What Works, What Doesn’t, and How to Tell the Difference for Applied Research. </w:t>
      </w:r>
      <w:r w:rsidRPr="0083415E">
        <w:rPr>
          <w:i/>
          <w:iCs/>
        </w:rPr>
        <w:t>The Journal of Politics</w:t>
      </w:r>
      <w:r w:rsidRPr="0083415E">
        <w:t xml:space="preserve">, </w:t>
      </w:r>
      <w:r w:rsidRPr="0083415E">
        <w:rPr>
          <w:i/>
          <w:iCs/>
        </w:rPr>
        <w:t>84</w:t>
      </w:r>
      <w:r w:rsidRPr="0083415E">
        <w:t>(1), 101–115. https://doi.org/10.1086/715162</w:t>
      </w:r>
    </w:p>
    <w:p w14:paraId="589E254D" w14:textId="77777777" w:rsidR="00EE60D6" w:rsidRPr="0083415E" w:rsidRDefault="00EE60D6" w:rsidP="00EE60D6">
      <w:pPr>
        <w:pStyle w:val="afb"/>
      </w:pPr>
      <w:r w:rsidRPr="0083415E">
        <w:t xml:space="preserve">Schmitt, H., &amp; Holmberg, S. (1998). Political Parties in Decline? In H.-D. Klingemann &amp; D. Fuchs (Eds.), </w:t>
      </w:r>
      <w:r w:rsidRPr="0083415E">
        <w:rPr>
          <w:i/>
          <w:iCs/>
        </w:rPr>
        <w:t>Citizens and the State</w:t>
      </w:r>
      <w:r w:rsidRPr="0083415E">
        <w:t xml:space="preserve"> (p. 0). Oxford University Press. https://doi.org/10.1093/0198294735.003.0004</w:t>
      </w:r>
    </w:p>
    <w:p w14:paraId="4609CFB7" w14:textId="77777777" w:rsidR="00EE60D6" w:rsidRPr="0083415E" w:rsidRDefault="00EE60D6" w:rsidP="00EE60D6">
      <w:pPr>
        <w:pStyle w:val="afb"/>
      </w:pPr>
      <w:r w:rsidRPr="0083415E">
        <w:t xml:space="preserve">Schultz, K. A. (2017). Perils of Polarization for U.S. Foreign Policy. </w:t>
      </w:r>
      <w:r w:rsidRPr="0083415E">
        <w:rPr>
          <w:i/>
          <w:iCs/>
        </w:rPr>
        <w:t>The Washington Quarterly</w:t>
      </w:r>
      <w:r w:rsidRPr="0083415E">
        <w:t xml:space="preserve">, </w:t>
      </w:r>
      <w:r w:rsidRPr="0083415E">
        <w:rPr>
          <w:i/>
          <w:iCs/>
        </w:rPr>
        <w:t>40</w:t>
      </w:r>
      <w:r w:rsidRPr="0083415E">
        <w:t>(4), 7–28. https://doi.org/10.1080/0163660X.2017.1406705</w:t>
      </w:r>
    </w:p>
    <w:p w14:paraId="01728A08" w14:textId="77777777" w:rsidR="00EE60D6" w:rsidRPr="0083415E" w:rsidRDefault="00EE60D6" w:rsidP="00EE60D6">
      <w:pPr>
        <w:pStyle w:val="afb"/>
      </w:pPr>
      <w:r w:rsidRPr="0083415E">
        <w:t xml:space="preserve">Scott, J. M., &amp; Carter, R. G. (2014). The Not-So-Silent Partner: Patterns of Legislative–Executive Interaction in the War on Terror, 2001–2009. </w:t>
      </w:r>
      <w:r w:rsidRPr="0083415E">
        <w:rPr>
          <w:i/>
          <w:iCs/>
        </w:rPr>
        <w:t>International Studies Perspectives</w:t>
      </w:r>
      <w:r w:rsidRPr="0083415E">
        <w:t xml:space="preserve">, </w:t>
      </w:r>
      <w:r w:rsidRPr="0083415E">
        <w:rPr>
          <w:i/>
          <w:iCs/>
        </w:rPr>
        <w:t>15</w:t>
      </w:r>
      <w:r w:rsidRPr="0083415E">
        <w:t>(2), 186–208. https://doi.org/10.1111/insp.12001</w:t>
      </w:r>
    </w:p>
    <w:p w14:paraId="222613A0" w14:textId="77777777" w:rsidR="00EE60D6" w:rsidRPr="0083415E" w:rsidRDefault="00EE60D6" w:rsidP="00EE60D6">
      <w:pPr>
        <w:pStyle w:val="afb"/>
      </w:pPr>
      <w:r w:rsidRPr="0083415E">
        <w:t xml:space="preserve">Sen, P. K. (1968). Estimates of the Regression Coefficient Based on Kendall’s Tau. </w:t>
      </w:r>
      <w:r w:rsidRPr="0083415E">
        <w:rPr>
          <w:i/>
          <w:iCs/>
        </w:rPr>
        <w:t>Journal of the American Statistical Association</w:t>
      </w:r>
      <w:r w:rsidRPr="0083415E">
        <w:t xml:space="preserve">, </w:t>
      </w:r>
      <w:r w:rsidRPr="0083415E">
        <w:rPr>
          <w:i/>
          <w:iCs/>
        </w:rPr>
        <w:t>63</w:t>
      </w:r>
      <w:r w:rsidRPr="0083415E">
        <w:t>(324), 1379–1389. https://doi.org/10.1080/01621459.1968.10480934</w:t>
      </w:r>
    </w:p>
    <w:p w14:paraId="29CB95E1" w14:textId="77777777" w:rsidR="00EE60D6" w:rsidRPr="0083415E" w:rsidRDefault="00EE60D6" w:rsidP="00EE60D6">
      <w:pPr>
        <w:pStyle w:val="afb"/>
      </w:pPr>
      <w:r w:rsidRPr="0083415E">
        <w:t xml:space="preserve">Slapin, J. B., &amp; Proksch, S. (2008). A Scaling Model for Estimating Time‐Series Party Positions from Texts. </w:t>
      </w:r>
      <w:r w:rsidRPr="0083415E">
        <w:rPr>
          <w:i/>
          <w:iCs/>
        </w:rPr>
        <w:t>American Journal of Political Science</w:t>
      </w:r>
      <w:r w:rsidRPr="0083415E">
        <w:t xml:space="preserve">, </w:t>
      </w:r>
      <w:r w:rsidRPr="0083415E">
        <w:rPr>
          <w:i/>
          <w:iCs/>
        </w:rPr>
        <w:t>52</w:t>
      </w:r>
      <w:r w:rsidRPr="0083415E">
        <w:t>(3), 705–722. https://doi.org/10.1111/j.1540-5907.2008.00338.x</w:t>
      </w:r>
    </w:p>
    <w:p w14:paraId="024192ED" w14:textId="77777777" w:rsidR="00EE60D6" w:rsidRPr="0083415E" w:rsidRDefault="00EE60D6" w:rsidP="00EE60D6">
      <w:pPr>
        <w:pStyle w:val="afb"/>
      </w:pPr>
      <w:r w:rsidRPr="0083415E">
        <w:t xml:space="preserve">Slothuus, R. (2008). More Than Weighting Cognitive Importance: A Dual‐Process Model of Issue Framing Effects. </w:t>
      </w:r>
      <w:r w:rsidRPr="0083415E">
        <w:rPr>
          <w:i/>
          <w:iCs/>
        </w:rPr>
        <w:t>Political Psychology</w:t>
      </w:r>
      <w:r w:rsidRPr="0083415E">
        <w:t xml:space="preserve">, </w:t>
      </w:r>
      <w:r w:rsidRPr="0083415E">
        <w:rPr>
          <w:i/>
          <w:iCs/>
        </w:rPr>
        <w:t>29</w:t>
      </w:r>
      <w:r w:rsidRPr="0083415E">
        <w:t>(1), 1–28. https://doi.org/10.1111/j.1467-9221.2007.00610.x</w:t>
      </w:r>
    </w:p>
    <w:p w14:paraId="28AE3014" w14:textId="77777777" w:rsidR="00EE60D6" w:rsidRPr="0083415E" w:rsidRDefault="00EE60D6" w:rsidP="00EE60D6">
      <w:pPr>
        <w:pStyle w:val="afb"/>
      </w:pPr>
      <w:r w:rsidRPr="0083415E">
        <w:t xml:space="preserve">Slothuus, R. (2010). When Can Political Parties Lead Public Opinion? Evidence from a Natural Experiment. </w:t>
      </w:r>
      <w:r w:rsidRPr="0083415E">
        <w:rPr>
          <w:i/>
          <w:iCs/>
        </w:rPr>
        <w:t>Political Communication</w:t>
      </w:r>
      <w:r w:rsidRPr="0083415E">
        <w:t xml:space="preserve">, </w:t>
      </w:r>
      <w:r w:rsidRPr="0083415E">
        <w:rPr>
          <w:i/>
          <w:iCs/>
        </w:rPr>
        <w:t>27</w:t>
      </w:r>
      <w:r w:rsidRPr="0083415E">
        <w:t>(2), 158–177. https://doi.org/10.1080/10584601003709381</w:t>
      </w:r>
    </w:p>
    <w:p w14:paraId="3D774446" w14:textId="77777777" w:rsidR="00EE60D6" w:rsidRPr="0083415E" w:rsidRDefault="00EE60D6" w:rsidP="00EE60D6">
      <w:pPr>
        <w:pStyle w:val="afb"/>
      </w:pPr>
      <w:r w:rsidRPr="0083415E">
        <w:t xml:space="preserve">Smeltz, D. (2022). Are we drowning at the water’s edge? Foreign policy polarization among the US Public. </w:t>
      </w:r>
      <w:r w:rsidRPr="0083415E">
        <w:rPr>
          <w:i/>
          <w:iCs/>
        </w:rPr>
        <w:t>International Politics (Hague, Netherlands)</w:t>
      </w:r>
      <w:r w:rsidRPr="0083415E">
        <w:t xml:space="preserve">, </w:t>
      </w:r>
      <w:r w:rsidRPr="0083415E">
        <w:rPr>
          <w:i/>
          <w:iCs/>
        </w:rPr>
        <w:t>59</w:t>
      </w:r>
      <w:r w:rsidRPr="0083415E">
        <w:t>(5), 786–801. https://doi.org/10.1057/s41311-022-00376-x</w:t>
      </w:r>
    </w:p>
    <w:p w14:paraId="238311D4" w14:textId="77777777" w:rsidR="00EE60D6" w:rsidRPr="0083415E" w:rsidRDefault="00EE60D6" w:rsidP="00EE60D6">
      <w:pPr>
        <w:pStyle w:val="afb"/>
      </w:pPr>
      <w:r w:rsidRPr="0083415E">
        <w:lastRenderedPageBreak/>
        <w:t xml:space="preserve">Smeltz, D., Daalder, I. H., Friedhoff, K., Kafure, C., &amp; Helm, B. (2020). Divided we stand. </w:t>
      </w:r>
      <w:r w:rsidRPr="0083415E">
        <w:rPr>
          <w:i/>
          <w:iCs/>
        </w:rPr>
        <w:t>Chicago Council on Global Affairs</w:t>
      </w:r>
      <w:r w:rsidRPr="0083415E">
        <w:t>. https://globalaffairs.org/sites/default/files/2020-12/report_2020ccs_americadivided_0.pdf</w:t>
      </w:r>
    </w:p>
    <w:p w14:paraId="764FAC75" w14:textId="77777777" w:rsidR="00EE60D6" w:rsidRPr="0083415E" w:rsidRDefault="00EE60D6" w:rsidP="00EE60D6">
      <w:pPr>
        <w:pStyle w:val="afb"/>
      </w:pPr>
      <w:r w:rsidRPr="0083415E">
        <w:t xml:space="preserve">Snyder, J., Shapiro, R. Y., &amp; Bloch-Elkon, Y. (2009). Free Hand Abroad, Divide and Rule at Home. </w:t>
      </w:r>
      <w:r w:rsidRPr="0083415E">
        <w:rPr>
          <w:i/>
          <w:iCs/>
        </w:rPr>
        <w:t>World Politics</w:t>
      </w:r>
      <w:r w:rsidRPr="0083415E">
        <w:t xml:space="preserve">, </w:t>
      </w:r>
      <w:r w:rsidRPr="0083415E">
        <w:rPr>
          <w:i/>
          <w:iCs/>
        </w:rPr>
        <w:t>61</w:t>
      </w:r>
      <w:r w:rsidRPr="0083415E">
        <w:t>(1), 155–187.</w:t>
      </w:r>
    </w:p>
    <w:p w14:paraId="6997F86A" w14:textId="77777777" w:rsidR="00EE60D6" w:rsidRPr="0083415E" w:rsidRDefault="00EE60D6" w:rsidP="00EE60D6">
      <w:pPr>
        <w:pStyle w:val="afb"/>
      </w:pPr>
      <w:r w:rsidRPr="0083415E">
        <w:t xml:space="preserve">Stewart, M. U. (2023). Revisiting the Global Posture Review: A New U.S. Approach to European Defense and NATO in a Post-Ukraine War World. </w:t>
      </w:r>
      <w:r w:rsidRPr="0083415E">
        <w:rPr>
          <w:i/>
          <w:iCs/>
        </w:rPr>
        <w:t>Journal of Advanced Military Studies</w:t>
      </w:r>
      <w:r w:rsidRPr="0083415E">
        <w:t xml:space="preserve">, </w:t>
      </w:r>
      <w:r w:rsidRPr="0083415E">
        <w:rPr>
          <w:i/>
          <w:iCs/>
        </w:rPr>
        <w:t>14</w:t>
      </w:r>
      <w:r w:rsidRPr="0083415E">
        <w:t>(2), 77–87.</w:t>
      </w:r>
    </w:p>
    <w:p w14:paraId="0621FAB7" w14:textId="77777777" w:rsidR="00EE60D6" w:rsidRPr="0083415E" w:rsidRDefault="00EE60D6" w:rsidP="00EE60D6">
      <w:pPr>
        <w:pStyle w:val="afb"/>
      </w:pPr>
      <w:r w:rsidRPr="0083415E">
        <w:t xml:space="preserve">Tama, J. (2025). Bipartisanship Put to the Test: U.S. Policy Toward Ukraine, Israel, and Taiwan. </w:t>
      </w:r>
      <w:r w:rsidRPr="0083415E">
        <w:rPr>
          <w:i/>
          <w:iCs/>
        </w:rPr>
        <w:t>Zeitschrift Für Außen- Und Sicherheitspolitik</w:t>
      </w:r>
      <w:r w:rsidRPr="0083415E">
        <w:t xml:space="preserve">, </w:t>
      </w:r>
      <w:r w:rsidRPr="0083415E">
        <w:rPr>
          <w:i/>
          <w:iCs/>
        </w:rPr>
        <w:t>18</w:t>
      </w:r>
      <w:r w:rsidRPr="0083415E">
        <w:t>(4), 633–650. https://doi.org/10.1007/s12399-025-01067-0</w:t>
      </w:r>
    </w:p>
    <w:p w14:paraId="609BE9CA" w14:textId="77777777" w:rsidR="00EE60D6" w:rsidRPr="0083415E" w:rsidRDefault="00EE60D6" w:rsidP="00EE60D6">
      <w:pPr>
        <w:pStyle w:val="afb"/>
      </w:pPr>
      <w:r w:rsidRPr="0083415E">
        <w:t xml:space="preserve">Thakkar, C. (2024). Russia-Ukraine War, India, and US grand strategy: Punishing or leveraging neutrality? </w:t>
      </w:r>
      <w:r w:rsidRPr="0083415E">
        <w:rPr>
          <w:i/>
          <w:iCs/>
        </w:rPr>
        <w:t>Policy Studies</w:t>
      </w:r>
      <w:r w:rsidRPr="0083415E">
        <w:t xml:space="preserve">, </w:t>
      </w:r>
      <w:r w:rsidRPr="0083415E">
        <w:rPr>
          <w:i/>
          <w:iCs/>
        </w:rPr>
        <w:t>45</w:t>
      </w:r>
      <w:r w:rsidRPr="0083415E">
        <w:t>(3–4), 595–613. https://doi.org/10.1080/01442872.2024.2302437</w:t>
      </w:r>
    </w:p>
    <w:p w14:paraId="5864C3C5" w14:textId="77777777" w:rsidR="00EE60D6" w:rsidRPr="0083415E" w:rsidRDefault="00EE60D6" w:rsidP="00EE60D6">
      <w:pPr>
        <w:pStyle w:val="afb"/>
      </w:pPr>
      <w:r w:rsidRPr="0083415E">
        <w:t xml:space="preserve">Theriault, S. M. (2013). </w:t>
      </w:r>
      <w:r w:rsidRPr="0083415E">
        <w:rPr>
          <w:i/>
          <w:iCs/>
        </w:rPr>
        <w:t>The Gingrich senators: The roots of partisan warfare in Congress</w:t>
      </w:r>
      <w:r w:rsidRPr="0083415E">
        <w:t>. Oxford University Press. https://books.google.com/books?hl=en&amp;lr=&amp;id=-cxoAgAAQBAJ&amp;oi=fnd&amp;pg=PP1&amp;dq=The+Gingrich+Senators:+The+Roots+of+Partisan+Warfare+in+Congress.&amp;ots=xeWenPRch9&amp;sig=yknxVPowotUfpJs7czstL6bY_LY</w:t>
      </w:r>
    </w:p>
    <w:p w14:paraId="2CB75128" w14:textId="77777777" w:rsidR="00EE60D6" w:rsidRPr="0083415E" w:rsidRDefault="00EE60D6" w:rsidP="00EE60D6">
      <w:pPr>
        <w:pStyle w:val="afb"/>
      </w:pPr>
      <w:r w:rsidRPr="0083415E">
        <w:t xml:space="preserve">Thornton, J. R. (2025). The Impact of Survey Mode on the Measurement of Polarization in the Public: 2016–2020 U.S. Panel Evidence. </w:t>
      </w:r>
      <w:r w:rsidRPr="0083415E">
        <w:rPr>
          <w:i/>
          <w:iCs/>
        </w:rPr>
        <w:t>American Politics Research</w:t>
      </w:r>
      <w:r w:rsidRPr="0083415E">
        <w:t xml:space="preserve">, </w:t>
      </w:r>
      <w:r w:rsidRPr="0083415E">
        <w:rPr>
          <w:i/>
          <w:iCs/>
        </w:rPr>
        <w:t>53</w:t>
      </w:r>
      <w:r w:rsidRPr="0083415E">
        <w:t>(5), 531–543. https://doi.org/10.1177/1532673X251347623</w:t>
      </w:r>
    </w:p>
    <w:p w14:paraId="0FB13749" w14:textId="77777777" w:rsidR="00EE60D6" w:rsidRPr="0083415E" w:rsidRDefault="00EE60D6" w:rsidP="00EE60D6">
      <w:pPr>
        <w:pStyle w:val="afb"/>
      </w:pPr>
      <w:r w:rsidRPr="0083415E">
        <w:t xml:space="preserve">Törnberg, P. (2024). Best Practices for Text Annotation with Large Language Models. </w:t>
      </w:r>
      <w:r w:rsidRPr="0083415E">
        <w:rPr>
          <w:i/>
          <w:iCs/>
        </w:rPr>
        <w:t>Sociologica</w:t>
      </w:r>
      <w:r w:rsidRPr="0083415E">
        <w:t xml:space="preserve">, </w:t>
      </w:r>
      <w:r w:rsidRPr="0083415E">
        <w:rPr>
          <w:i/>
          <w:iCs/>
        </w:rPr>
        <w:t>18</w:t>
      </w:r>
      <w:r w:rsidRPr="0083415E">
        <w:t>(2), 67–85. https://doi.org/10.6092/issn.1971-8853/19461</w:t>
      </w:r>
    </w:p>
    <w:p w14:paraId="1CA2B780" w14:textId="77777777" w:rsidR="00EE60D6" w:rsidRPr="0083415E" w:rsidRDefault="00EE60D6" w:rsidP="00EE60D6">
      <w:pPr>
        <w:pStyle w:val="afb"/>
      </w:pPr>
      <w:r w:rsidRPr="0083415E">
        <w:t xml:space="preserve">Törnberg, P. (2025). Large Language Models Outperform Expert Coders and Supervised Classifiers at Annotating Political Social Media Messages. </w:t>
      </w:r>
      <w:r w:rsidRPr="0083415E">
        <w:rPr>
          <w:i/>
          <w:iCs/>
        </w:rPr>
        <w:t>Social Science Computer Review</w:t>
      </w:r>
      <w:r w:rsidRPr="0083415E">
        <w:t xml:space="preserve">, </w:t>
      </w:r>
      <w:r w:rsidRPr="0083415E">
        <w:rPr>
          <w:i/>
          <w:iCs/>
        </w:rPr>
        <w:t>43</w:t>
      </w:r>
      <w:r w:rsidRPr="0083415E">
        <w:t>(6), 1181–1195. https://doi.org/10.1177/08944393241286471</w:t>
      </w:r>
    </w:p>
    <w:p w14:paraId="29666405" w14:textId="77777777" w:rsidR="00EE60D6" w:rsidRPr="0083415E" w:rsidRDefault="00EE60D6" w:rsidP="00EE60D6">
      <w:pPr>
        <w:pStyle w:val="afb"/>
      </w:pPr>
      <w:r w:rsidRPr="0083415E">
        <w:lastRenderedPageBreak/>
        <w:t xml:space="preserve">@unitedstates. (2025). </w:t>
      </w:r>
      <w:r w:rsidRPr="0083415E">
        <w:rPr>
          <w:i/>
          <w:iCs/>
        </w:rPr>
        <w:t>Unitedstates/congress-legislators</w:t>
      </w:r>
      <w:r w:rsidRPr="0083415E">
        <w:t xml:space="preserve"> [Python]. https://github.com/unitedstates/congress-legislators (Original work published 2012)</w:t>
      </w:r>
    </w:p>
    <w:p w14:paraId="5817E856" w14:textId="77777777" w:rsidR="00EE60D6" w:rsidRPr="0083415E" w:rsidRDefault="00EE60D6" w:rsidP="00EE60D6">
      <w:pPr>
        <w:pStyle w:val="afb"/>
      </w:pPr>
      <w:r w:rsidRPr="0083415E">
        <w:t xml:space="preserve">Van Matre, J. C., Krakoff, I. L., &amp; Fullerton, A. H. (2025). A Natural Language Processing Approach to Identifying Partisan Framing of Climate Change Denialism, Fatalism, and Solutions in US Congressional Speeches. </w:t>
      </w:r>
      <w:r w:rsidRPr="0083415E">
        <w:rPr>
          <w:i/>
          <w:iCs/>
        </w:rPr>
        <w:t>Policy Studies Journal</w:t>
      </w:r>
      <w:r w:rsidRPr="0083415E">
        <w:t xml:space="preserve">, </w:t>
      </w:r>
      <w:r w:rsidRPr="0083415E">
        <w:rPr>
          <w:i/>
          <w:iCs/>
        </w:rPr>
        <w:t>n/a</w:t>
      </w:r>
      <w:r w:rsidRPr="0083415E">
        <w:t>(n/a). https://doi.org/10.1111/psj.70079</w:t>
      </w:r>
    </w:p>
    <w:p w14:paraId="283900E3" w14:textId="77777777" w:rsidR="00EE60D6" w:rsidRPr="0083415E" w:rsidRDefault="00EE60D6" w:rsidP="00EE60D6">
      <w:pPr>
        <w:pStyle w:val="afb"/>
      </w:pPr>
      <w:r w:rsidRPr="0083415E">
        <w:t xml:space="preserve">Wang, A. B. (2023, September 28). Candidates’ differences on Ukraine reflect stark divide within GOP. </w:t>
      </w:r>
      <w:r w:rsidRPr="0083415E">
        <w:rPr>
          <w:i/>
          <w:iCs/>
        </w:rPr>
        <w:t>The Washington Post</w:t>
      </w:r>
      <w:r w:rsidRPr="0083415E">
        <w:t>. https://www.washingtonpost.com/politics/2023/09/27/republican-debate-ukraine/</w:t>
      </w:r>
    </w:p>
    <w:p w14:paraId="2DE3CF8B" w14:textId="77777777" w:rsidR="00EE60D6" w:rsidRPr="0083415E" w:rsidRDefault="00EE60D6" w:rsidP="00EE60D6">
      <w:pPr>
        <w:pStyle w:val="afb"/>
      </w:pPr>
      <w:r w:rsidRPr="0083415E">
        <w:t xml:space="preserve">Wilkerson, J., &amp; Casas, A. (2017). Large-Scale Computerized Text Analysis in Political Science: Opportunities and Challenges. </w:t>
      </w:r>
      <w:r w:rsidRPr="0083415E">
        <w:rPr>
          <w:i/>
          <w:iCs/>
        </w:rPr>
        <w:t>Annual Review of Political Science</w:t>
      </w:r>
      <w:r w:rsidRPr="0083415E">
        <w:t xml:space="preserve">, </w:t>
      </w:r>
      <w:r w:rsidRPr="0083415E">
        <w:rPr>
          <w:i/>
          <w:iCs/>
        </w:rPr>
        <w:t>20</w:t>
      </w:r>
      <w:r w:rsidRPr="0083415E">
        <w:t>, 529–544. https://doi.org/10.1146/annurev-polisci-052615-025542</w:t>
      </w:r>
    </w:p>
    <w:p w14:paraId="179DE17D" w14:textId="77777777" w:rsidR="00EE60D6" w:rsidRPr="0083415E" w:rsidRDefault="00EE60D6" w:rsidP="00EE60D6">
      <w:pPr>
        <w:pStyle w:val="afb"/>
      </w:pPr>
      <w:r w:rsidRPr="0083415E">
        <w:t xml:space="preserve">Zürn, M. (2020). Politicization compared: At national, European, and global levels. In </w:t>
      </w:r>
      <w:r w:rsidRPr="0083415E">
        <w:rPr>
          <w:i/>
          <w:iCs/>
        </w:rPr>
        <w:t>The European Union Beyond the Polycrisis?</w:t>
      </w:r>
      <w:r w:rsidRPr="0083415E">
        <w:t xml:space="preserve"> (pp. 15–33). Routledge. https://www.taylorfrancis.com/chapters/edit/10.1201/9781003002215-2/politicization-compared-national-european-global-levels-michael-z%C3%BCrn</w:t>
      </w:r>
    </w:p>
    <w:p w14:paraId="3A6871B2" w14:textId="26BF6549" w:rsidR="00EE60D6" w:rsidRDefault="00EE60D6" w:rsidP="00EE60D6">
      <w:pPr>
        <w:pStyle w:val="afb"/>
        <w:ind w:left="0" w:firstLine="0"/>
        <w:rPr>
          <w:rFonts w:hint="eastAsia"/>
        </w:rPr>
      </w:pPr>
      <w:r>
        <w:fldChar w:fldCharType="end"/>
      </w:r>
    </w:p>
    <w:p w14:paraId="6A85B346" w14:textId="5588B8CB" w:rsidR="00C07368" w:rsidRPr="00EE60D6" w:rsidRDefault="00C07368" w:rsidP="00EE60D6"/>
    <w:sectPr w:rsidR="00C07368" w:rsidRPr="00EE60D6" w:rsidSect="00EE60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Shi12,H (pgr)" w:date="2026-08-22T16:56:00Z" w:initials="昊石">
    <w:p w14:paraId="2C992B74" w14:textId="77777777" w:rsidR="00EE60D6" w:rsidRDefault="00EE60D6" w:rsidP="00620BD2">
      <w:r>
        <w:rPr>
          <w:rStyle w:val="af5"/>
        </w:rPr>
        <w:annotationRef/>
      </w:r>
      <w:r>
        <w:t xml:space="preserve">The x-axis doesn't align with the polarization one, I think it's because it has AR(2). Need to change.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992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F6C904" w16cex:dateUtc="2026-08-22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992B74" w16cid:durableId="0DF6C9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149DE8" w14:textId="77777777" w:rsidR="00DA1FFC" w:rsidRDefault="00DA1FFC" w:rsidP="004D18B2">
      <w:pPr>
        <w:spacing w:line="240" w:lineRule="auto"/>
      </w:pPr>
      <w:r>
        <w:separator/>
      </w:r>
    </w:p>
  </w:endnote>
  <w:endnote w:type="continuationSeparator" w:id="0">
    <w:p w14:paraId="33F7D33F" w14:textId="77777777" w:rsidR="00DA1FFC" w:rsidRDefault="00DA1FFC" w:rsidP="004D18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9277BA" w14:textId="77777777" w:rsidR="00DA1FFC" w:rsidRDefault="00DA1FFC" w:rsidP="004D18B2">
      <w:pPr>
        <w:spacing w:line="240" w:lineRule="auto"/>
      </w:pPr>
      <w:r>
        <w:separator/>
      </w:r>
    </w:p>
  </w:footnote>
  <w:footnote w:type="continuationSeparator" w:id="0">
    <w:p w14:paraId="5B748F19" w14:textId="77777777" w:rsidR="00DA1FFC" w:rsidRDefault="00DA1FFC" w:rsidP="004D18B2">
      <w:pPr>
        <w:spacing w:line="240" w:lineRule="auto"/>
      </w:pPr>
      <w:r>
        <w:continuationSeparator/>
      </w:r>
    </w:p>
  </w:footnote>
  <w:footnote w:id="1">
    <w:p w14:paraId="0B24D60A" w14:textId="77777777" w:rsidR="00EE60D6" w:rsidRPr="000E5FA8" w:rsidRDefault="00EE60D6" w:rsidP="00EE60D6">
      <w:pPr>
        <w:rPr>
          <w:color w:val="1F1F1F"/>
        </w:rPr>
      </w:pPr>
      <w:r>
        <w:rPr>
          <w:rStyle w:val="aff"/>
        </w:rPr>
        <w:footnoteRef/>
      </w:r>
      <w:r>
        <w:t xml:space="preserve"> </w:t>
      </w:r>
      <w:r w:rsidRPr="000648D4">
        <w:t xml:space="preserve">Here, </w:t>
      </w:r>
      <w:r w:rsidRPr="008B154F">
        <w:rPr>
          <w:i/>
          <w:iCs/>
        </w:rPr>
        <w:t>elite</w:t>
      </w:r>
      <w:r w:rsidRPr="008B154F">
        <w:rPr>
          <w:i/>
          <w:iCs/>
          <w:color w:val="1F1F1F"/>
        </w:rPr>
        <w:t xml:space="preserve"> </w:t>
      </w:r>
      <w:r w:rsidRPr="008B154F">
        <w:rPr>
          <w:i/>
          <w:iCs/>
        </w:rPr>
        <w:t>discourse</w:t>
      </w:r>
      <w:r w:rsidRPr="000648D4">
        <w:rPr>
          <w:color w:val="1F1F1F"/>
        </w:rPr>
        <w:t xml:space="preserve"> </w:t>
      </w:r>
      <w:r w:rsidRPr="000648D4">
        <w:t>refers</w:t>
      </w:r>
      <w:r w:rsidRPr="000648D4">
        <w:rPr>
          <w:color w:val="1F1F1F"/>
        </w:rPr>
        <w:t xml:space="preserve"> </w:t>
      </w:r>
      <w:r w:rsidRPr="000648D4">
        <w:t>only</w:t>
      </w:r>
      <w:r w:rsidRPr="000648D4">
        <w:rPr>
          <w:color w:val="1F1F1F"/>
        </w:rPr>
        <w:t xml:space="preserve"> </w:t>
      </w:r>
      <w:r w:rsidRPr="000648D4">
        <w:t>to</w:t>
      </w:r>
      <w:r w:rsidRPr="000648D4">
        <w:rPr>
          <w:color w:val="1F1F1F"/>
        </w:rPr>
        <w:t xml:space="preserve"> </w:t>
      </w:r>
      <w:r w:rsidRPr="000648D4">
        <w:t>party-attributed</w:t>
      </w:r>
      <w:r w:rsidRPr="000648D4">
        <w:rPr>
          <w:color w:val="1F1F1F"/>
        </w:rPr>
        <w:t xml:space="preserve"> </w:t>
      </w:r>
      <w:r w:rsidRPr="000648D4">
        <w:t>positions</w:t>
      </w:r>
      <w:r w:rsidRPr="000648D4">
        <w:rPr>
          <w:color w:val="1F1F1F"/>
        </w:rPr>
        <w:t xml:space="preserve"> </w:t>
      </w:r>
      <w:r w:rsidRPr="000648D4">
        <w:t>as</w:t>
      </w:r>
      <w:r w:rsidRPr="000648D4">
        <w:rPr>
          <w:color w:val="1F1F1F"/>
        </w:rPr>
        <w:t xml:space="preserve"> </w:t>
      </w:r>
      <w:r w:rsidRPr="000648D4">
        <w:t>represented</w:t>
      </w:r>
      <w:r w:rsidRPr="000648D4">
        <w:rPr>
          <w:color w:val="1F1F1F"/>
        </w:rPr>
        <w:t xml:space="preserve"> </w:t>
      </w:r>
      <w:r w:rsidRPr="000648D4">
        <w:t>in</w:t>
      </w:r>
      <w:r w:rsidRPr="000648D4">
        <w:rPr>
          <w:color w:val="1F1F1F"/>
        </w:rPr>
        <w:t xml:space="preserve"> </w:t>
      </w:r>
      <w:r w:rsidRPr="000648D4">
        <w:t>sampled</w:t>
      </w:r>
      <w:r w:rsidRPr="000648D4">
        <w:rPr>
          <w:color w:val="1F1F1F"/>
        </w:rPr>
        <w:t xml:space="preserve"> </w:t>
      </w:r>
      <w:r w:rsidRPr="000648D4">
        <w:t>news,</w:t>
      </w:r>
      <w:r w:rsidRPr="000648D4">
        <w:rPr>
          <w:color w:val="1F1F1F"/>
        </w:rPr>
        <w:t xml:space="preserve"> </w:t>
      </w:r>
      <w:r w:rsidRPr="000648D4">
        <w:t>not</w:t>
      </w:r>
      <w:r w:rsidRPr="000648D4">
        <w:rPr>
          <w:color w:val="1F1F1F"/>
        </w:rPr>
        <w:t xml:space="preserve"> </w:t>
      </w:r>
      <w:r w:rsidRPr="000648D4">
        <w:t>direct</w:t>
      </w:r>
      <w:r w:rsidRPr="000648D4">
        <w:rPr>
          <w:color w:val="1F1F1F"/>
        </w:rPr>
        <w:t xml:space="preserve"> </w:t>
      </w:r>
      <w:r w:rsidRPr="000648D4">
        <w:t>party</w:t>
      </w:r>
      <w:r w:rsidRPr="000648D4">
        <w:rPr>
          <w:color w:val="1F1F1F"/>
        </w:rPr>
        <w:t xml:space="preserve"> </w:t>
      </w:r>
      <w:r w:rsidRPr="000648D4">
        <w:t>communication</w:t>
      </w:r>
      <w:r w:rsidRPr="000648D4">
        <w:rPr>
          <w:color w:val="1F1F1F"/>
        </w:rPr>
        <w:t xml:space="preserve"> </w:t>
      </w:r>
      <w:r w:rsidRPr="000648D4">
        <w:t>or</w:t>
      </w:r>
      <w:r w:rsidRPr="000648D4">
        <w:rPr>
          <w:color w:val="1F1F1F"/>
        </w:rPr>
        <w:t xml:space="preserve"> </w:t>
      </w:r>
      <w:r w:rsidRPr="000648D4">
        <w:t>underlying</w:t>
      </w:r>
      <w:r w:rsidRPr="000648D4">
        <w:rPr>
          <w:color w:val="1F1F1F"/>
        </w:rPr>
        <w:t xml:space="preserve"> </w:t>
      </w:r>
      <w:r w:rsidRPr="000648D4">
        <w:t>party</w:t>
      </w:r>
      <w:r w:rsidRPr="000648D4">
        <w:rPr>
          <w:color w:val="1F1F1F"/>
        </w:rPr>
        <w:t xml:space="preserve"> </w:t>
      </w:r>
      <w:r w:rsidRPr="000648D4">
        <w:t>movement.</w:t>
      </w:r>
      <w:r w:rsidRPr="000648D4">
        <w:rPr>
          <w:color w:val="1F1F1F"/>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9469A3"/>
    <w:multiLevelType w:val="hybridMultilevel"/>
    <w:tmpl w:val="812E32D4"/>
    <w:lvl w:ilvl="0" w:tplc="626A1B2A">
      <w:numFmt w:val="bullet"/>
      <w:lvlText w:val=""/>
      <w:lvlJc w:val="left"/>
      <w:pPr>
        <w:ind w:left="360" w:hanging="360"/>
      </w:pPr>
      <w:rPr>
        <w:rFonts w:ascii="Wingdings" w:eastAsia="DengXian"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69E4F02"/>
    <w:multiLevelType w:val="hybridMultilevel"/>
    <w:tmpl w:val="1EA60CC2"/>
    <w:lvl w:ilvl="0" w:tplc="A718E01C">
      <w:start w:val="1"/>
      <w:numFmt w:val="lowerLetter"/>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num w:numId="1" w16cid:durableId="303393487">
    <w:abstractNumId w:val="1"/>
  </w:num>
  <w:num w:numId="2" w16cid:durableId="1104230978">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hi12,H (pgr)">
    <w15:presenceInfo w15:providerId="AD" w15:userId="S::H.Shi12@lse.ac.uk::1b40adac-75d0-4074-a3c8-c67c52dce6e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A834O284D665H386"/>
    <w:docVar w:name="paperpile-doc-name" w:val="Paper 3_20250905_V1.docx"/>
  </w:docVars>
  <w:rsids>
    <w:rsidRoot w:val="00A75A94"/>
    <w:rsid w:val="000015FA"/>
    <w:rsid w:val="0000387A"/>
    <w:rsid w:val="000044BB"/>
    <w:rsid w:val="00005C76"/>
    <w:rsid w:val="00006495"/>
    <w:rsid w:val="00006F83"/>
    <w:rsid w:val="00007B7E"/>
    <w:rsid w:val="00007C0B"/>
    <w:rsid w:val="00010E4E"/>
    <w:rsid w:val="000116D5"/>
    <w:rsid w:val="000121CE"/>
    <w:rsid w:val="000126FF"/>
    <w:rsid w:val="00013706"/>
    <w:rsid w:val="00013B23"/>
    <w:rsid w:val="00014885"/>
    <w:rsid w:val="00014E47"/>
    <w:rsid w:val="000175C0"/>
    <w:rsid w:val="00017B4A"/>
    <w:rsid w:val="00017F13"/>
    <w:rsid w:val="000205C9"/>
    <w:rsid w:val="000207CE"/>
    <w:rsid w:val="00020E11"/>
    <w:rsid w:val="0002181B"/>
    <w:rsid w:val="00021EAA"/>
    <w:rsid w:val="0002288D"/>
    <w:rsid w:val="00022898"/>
    <w:rsid w:val="000229C2"/>
    <w:rsid w:val="00023430"/>
    <w:rsid w:val="00024A0F"/>
    <w:rsid w:val="00024E99"/>
    <w:rsid w:val="00025197"/>
    <w:rsid w:val="00025A74"/>
    <w:rsid w:val="00027754"/>
    <w:rsid w:val="00032AB8"/>
    <w:rsid w:val="00032FF8"/>
    <w:rsid w:val="000331CA"/>
    <w:rsid w:val="00033E2B"/>
    <w:rsid w:val="00033F55"/>
    <w:rsid w:val="00033FDE"/>
    <w:rsid w:val="0003451D"/>
    <w:rsid w:val="000350A6"/>
    <w:rsid w:val="000352D5"/>
    <w:rsid w:val="0003542A"/>
    <w:rsid w:val="000358D4"/>
    <w:rsid w:val="000359C6"/>
    <w:rsid w:val="00035CC6"/>
    <w:rsid w:val="00040A59"/>
    <w:rsid w:val="00040E93"/>
    <w:rsid w:val="00040FE9"/>
    <w:rsid w:val="00041064"/>
    <w:rsid w:val="00043CD0"/>
    <w:rsid w:val="0004425D"/>
    <w:rsid w:val="00045348"/>
    <w:rsid w:val="00045EF2"/>
    <w:rsid w:val="00046137"/>
    <w:rsid w:val="000476F9"/>
    <w:rsid w:val="00050DED"/>
    <w:rsid w:val="0005282D"/>
    <w:rsid w:val="000535ED"/>
    <w:rsid w:val="00054208"/>
    <w:rsid w:val="00054225"/>
    <w:rsid w:val="00055745"/>
    <w:rsid w:val="00055D3F"/>
    <w:rsid w:val="00056B40"/>
    <w:rsid w:val="00056DA3"/>
    <w:rsid w:val="00057BB4"/>
    <w:rsid w:val="000609C3"/>
    <w:rsid w:val="00061460"/>
    <w:rsid w:val="00061BC8"/>
    <w:rsid w:val="00061DD9"/>
    <w:rsid w:val="000636BA"/>
    <w:rsid w:val="00063B93"/>
    <w:rsid w:val="000642EC"/>
    <w:rsid w:val="000648D4"/>
    <w:rsid w:val="00064938"/>
    <w:rsid w:val="00065EC2"/>
    <w:rsid w:val="00065F84"/>
    <w:rsid w:val="0006632E"/>
    <w:rsid w:val="0006656E"/>
    <w:rsid w:val="00066D00"/>
    <w:rsid w:val="00067072"/>
    <w:rsid w:val="0006781E"/>
    <w:rsid w:val="00071054"/>
    <w:rsid w:val="000715D4"/>
    <w:rsid w:val="000716C2"/>
    <w:rsid w:val="0007179D"/>
    <w:rsid w:val="00071E6A"/>
    <w:rsid w:val="0007201E"/>
    <w:rsid w:val="000723AB"/>
    <w:rsid w:val="00072D1D"/>
    <w:rsid w:val="000731C9"/>
    <w:rsid w:val="00073DFD"/>
    <w:rsid w:val="00074E57"/>
    <w:rsid w:val="000756F9"/>
    <w:rsid w:val="000769D2"/>
    <w:rsid w:val="00076B4C"/>
    <w:rsid w:val="000800B9"/>
    <w:rsid w:val="000806F9"/>
    <w:rsid w:val="000809BF"/>
    <w:rsid w:val="00081283"/>
    <w:rsid w:val="000816E2"/>
    <w:rsid w:val="000819D4"/>
    <w:rsid w:val="00081EF8"/>
    <w:rsid w:val="0008239D"/>
    <w:rsid w:val="00082A0F"/>
    <w:rsid w:val="00084394"/>
    <w:rsid w:val="00084DE8"/>
    <w:rsid w:val="00085AB4"/>
    <w:rsid w:val="00085B53"/>
    <w:rsid w:val="000864C4"/>
    <w:rsid w:val="0008662C"/>
    <w:rsid w:val="00086B27"/>
    <w:rsid w:val="00086E88"/>
    <w:rsid w:val="0008783C"/>
    <w:rsid w:val="00087BD6"/>
    <w:rsid w:val="00091105"/>
    <w:rsid w:val="0009241B"/>
    <w:rsid w:val="00092B03"/>
    <w:rsid w:val="00094776"/>
    <w:rsid w:val="00094831"/>
    <w:rsid w:val="00095EB3"/>
    <w:rsid w:val="00096943"/>
    <w:rsid w:val="00096DBD"/>
    <w:rsid w:val="00097D12"/>
    <w:rsid w:val="00097EE8"/>
    <w:rsid w:val="00097F4C"/>
    <w:rsid w:val="000A0279"/>
    <w:rsid w:val="000A0905"/>
    <w:rsid w:val="000A1701"/>
    <w:rsid w:val="000A2254"/>
    <w:rsid w:val="000A2F7E"/>
    <w:rsid w:val="000A391A"/>
    <w:rsid w:val="000A4FF4"/>
    <w:rsid w:val="000A5193"/>
    <w:rsid w:val="000A59B8"/>
    <w:rsid w:val="000A6AA3"/>
    <w:rsid w:val="000A78A0"/>
    <w:rsid w:val="000A7C72"/>
    <w:rsid w:val="000B0951"/>
    <w:rsid w:val="000B1245"/>
    <w:rsid w:val="000B32F3"/>
    <w:rsid w:val="000B3B8B"/>
    <w:rsid w:val="000B3D1A"/>
    <w:rsid w:val="000B45FB"/>
    <w:rsid w:val="000B4696"/>
    <w:rsid w:val="000B4A39"/>
    <w:rsid w:val="000B5D2E"/>
    <w:rsid w:val="000B60D6"/>
    <w:rsid w:val="000B60DF"/>
    <w:rsid w:val="000B632C"/>
    <w:rsid w:val="000B644F"/>
    <w:rsid w:val="000B7031"/>
    <w:rsid w:val="000B71C7"/>
    <w:rsid w:val="000B7255"/>
    <w:rsid w:val="000B7293"/>
    <w:rsid w:val="000B7472"/>
    <w:rsid w:val="000C0E89"/>
    <w:rsid w:val="000C1E9A"/>
    <w:rsid w:val="000C22BF"/>
    <w:rsid w:val="000C24EC"/>
    <w:rsid w:val="000C2AF7"/>
    <w:rsid w:val="000C2E3F"/>
    <w:rsid w:val="000C41C2"/>
    <w:rsid w:val="000C6150"/>
    <w:rsid w:val="000C7237"/>
    <w:rsid w:val="000C76D4"/>
    <w:rsid w:val="000C7C6D"/>
    <w:rsid w:val="000D142B"/>
    <w:rsid w:val="000D214A"/>
    <w:rsid w:val="000D23D6"/>
    <w:rsid w:val="000D2459"/>
    <w:rsid w:val="000D2A3F"/>
    <w:rsid w:val="000D4CB4"/>
    <w:rsid w:val="000D54D5"/>
    <w:rsid w:val="000D6735"/>
    <w:rsid w:val="000D697D"/>
    <w:rsid w:val="000D75DE"/>
    <w:rsid w:val="000D7E92"/>
    <w:rsid w:val="000E0DE9"/>
    <w:rsid w:val="000E351D"/>
    <w:rsid w:val="000E5FA8"/>
    <w:rsid w:val="000E7B00"/>
    <w:rsid w:val="000F1C03"/>
    <w:rsid w:val="000F2342"/>
    <w:rsid w:val="000F31A0"/>
    <w:rsid w:val="000F400B"/>
    <w:rsid w:val="000F5243"/>
    <w:rsid w:val="000F5C1D"/>
    <w:rsid w:val="000F7C78"/>
    <w:rsid w:val="001013D3"/>
    <w:rsid w:val="0010198F"/>
    <w:rsid w:val="001024FF"/>
    <w:rsid w:val="00103841"/>
    <w:rsid w:val="00103E22"/>
    <w:rsid w:val="001040C7"/>
    <w:rsid w:val="001055CA"/>
    <w:rsid w:val="001061AF"/>
    <w:rsid w:val="00106412"/>
    <w:rsid w:val="00107A57"/>
    <w:rsid w:val="00107C90"/>
    <w:rsid w:val="00111AE3"/>
    <w:rsid w:val="00112998"/>
    <w:rsid w:val="00113213"/>
    <w:rsid w:val="00113FB2"/>
    <w:rsid w:val="00115173"/>
    <w:rsid w:val="00115E13"/>
    <w:rsid w:val="00116283"/>
    <w:rsid w:val="001162DC"/>
    <w:rsid w:val="00121021"/>
    <w:rsid w:val="00121C31"/>
    <w:rsid w:val="001223B2"/>
    <w:rsid w:val="00122AEE"/>
    <w:rsid w:val="001232AA"/>
    <w:rsid w:val="001234CB"/>
    <w:rsid w:val="00124325"/>
    <w:rsid w:val="00124A19"/>
    <w:rsid w:val="00125811"/>
    <w:rsid w:val="00126949"/>
    <w:rsid w:val="00126D4B"/>
    <w:rsid w:val="00130D6F"/>
    <w:rsid w:val="00130DBC"/>
    <w:rsid w:val="00130E48"/>
    <w:rsid w:val="001321BA"/>
    <w:rsid w:val="00133A24"/>
    <w:rsid w:val="001345D8"/>
    <w:rsid w:val="00134EF3"/>
    <w:rsid w:val="00135A03"/>
    <w:rsid w:val="001369ED"/>
    <w:rsid w:val="00136B84"/>
    <w:rsid w:val="001372B3"/>
    <w:rsid w:val="001374E4"/>
    <w:rsid w:val="00137EF4"/>
    <w:rsid w:val="001403F4"/>
    <w:rsid w:val="001413F4"/>
    <w:rsid w:val="00141B92"/>
    <w:rsid w:val="00142793"/>
    <w:rsid w:val="001428C6"/>
    <w:rsid w:val="00142CBC"/>
    <w:rsid w:val="00143F9F"/>
    <w:rsid w:val="0014412F"/>
    <w:rsid w:val="00144B64"/>
    <w:rsid w:val="00144C5D"/>
    <w:rsid w:val="0014582B"/>
    <w:rsid w:val="001463FE"/>
    <w:rsid w:val="00150774"/>
    <w:rsid w:val="00151A61"/>
    <w:rsid w:val="00151B70"/>
    <w:rsid w:val="00152C0B"/>
    <w:rsid w:val="001539CC"/>
    <w:rsid w:val="0015498A"/>
    <w:rsid w:val="00155036"/>
    <w:rsid w:val="00155F98"/>
    <w:rsid w:val="00156477"/>
    <w:rsid w:val="0015672D"/>
    <w:rsid w:val="00156FA5"/>
    <w:rsid w:val="001572DC"/>
    <w:rsid w:val="00157743"/>
    <w:rsid w:val="00157AA6"/>
    <w:rsid w:val="00160556"/>
    <w:rsid w:val="00160D21"/>
    <w:rsid w:val="001619D6"/>
    <w:rsid w:val="0016306F"/>
    <w:rsid w:val="0016441C"/>
    <w:rsid w:val="00164BB4"/>
    <w:rsid w:val="00165A39"/>
    <w:rsid w:val="00165F3A"/>
    <w:rsid w:val="001660CF"/>
    <w:rsid w:val="00166392"/>
    <w:rsid w:val="001716BC"/>
    <w:rsid w:val="00172BBB"/>
    <w:rsid w:val="00174C91"/>
    <w:rsid w:val="00175A9B"/>
    <w:rsid w:val="001777CC"/>
    <w:rsid w:val="00177963"/>
    <w:rsid w:val="00177FD5"/>
    <w:rsid w:val="00180315"/>
    <w:rsid w:val="00182B0A"/>
    <w:rsid w:val="001859F2"/>
    <w:rsid w:val="00185AD6"/>
    <w:rsid w:val="00186174"/>
    <w:rsid w:val="001864B5"/>
    <w:rsid w:val="001905B6"/>
    <w:rsid w:val="00190987"/>
    <w:rsid w:val="00194CB2"/>
    <w:rsid w:val="00195123"/>
    <w:rsid w:val="00195632"/>
    <w:rsid w:val="001959A0"/>
    <w:rsid w:val="00196172"/>
    <w:rsid w:val="001A06B6"/>
    <w:rsid w:val="001A070D"/>
    <w:rsid w:val="001A0A6C"/>
    <w:rsid w:val="001A13E1"/>
    <w:rsid w:val="001A28DA"/>
    <w:rsid w:val="001A2B67"/>
    <w:rsid w:val="001A43F6"/>
    <w:rsid w:val="001A509F"/>
    <w:rsid w:val="001A6A82"/>
    <w:rsid w:val="001A6D0D"/>
    <w:rsid w:val="001B1E2C"/>
    <w:rsid w:val="001B228E"/>
    <w:rsid w:val="001B2D63"/>
    <w:rsid w:val="001B34E9"/>
    <w:rsid w:val="001B5B34"/>
    <w:rsid w:val="001B69C0"/>
    <w:rsid w:val="001B6A17"/>
    <w:rsid w:val="001B6EA5"/>
    <w:rsid w:val="001C0015"/>
    <w:rsid w:val="001C18D0"/>
    <w:rsid w:val="001C2B54"/>
    <w:rsid w:val="001C3589"/>
    <w:rsid w:val="001C3F2B"/>
    <w:rsid w:val="001C3FBB"/>
    <w:rsid w:val="001C42E8"/>
    <w:rsid w:val="001C46FE"/>
    <w:rsid w:val="001C4BCF"/>
    <w:rsid w:val="001C5480"/>
    <w:rsid w:val="001C58DC"/>
    <w:rsid w:val="001C5B63"/>
    <w:rsid w:val="001C639C"/>
    <w:rsid w:val="001C64F2"/>
    <w:rsid w:val="001D0AF4"/>
    <w:rsid w:val="001D113A"/>
    <w:rsid w:val="001D2210"/>
    <w:rsid w:val="001D25AF"/>
    <w:rsid w:val="001D26D9"/>
    <w:rsid w:val="001D2A90"/>
    <w:rsid w:val="001D2AC1"/>
    <w:rsid w:val="001D2D5F"/>
    <w:rsid w:val="001D38D4"/>
    <w:rsid w:val="001D3B3A"/>
    <w:rsid w:val="001D43B7"/>
    <w:rsid w:val="001D452C"/>
    <w:rsid w:val="001D455E"/>
    <w:rsid w:val="001D5204"/>
    <w:rsid w:val="001D55AF"/>
    <w:rsid w:val="001D58C9"/>
    <w:rsid w:val="001D5944"/>
    <w:rsid w:val="001D67AE"/>
    <w:rsid w:val="001D696F"/>
    <w:rsid w:val="001E0E12"/>
    <w:rsid w:val="001E172D"/>
    <w:rsid w:val="001E1AC8"/>
    <w:rsid w:val="001E2B8B"/>
    <w:rsid w:val="001E3109"/>
    <w:rsid w:val="001E5530"/>
    <w:rsid w:val="001E6C17"/>
    <w:rsid w:val="001E7A35"/>
    <w:rsid w:val="001E7D49"/>
    <w:rsid w:val="001E7F3F"/>
    <w:rsid w:val="001F27CB"/>
    <w:rsid w:val="001F2DA7"/>
    <w:rsid w:val="001F3AC2"/>
    <w:rsid w:val="001F57B3"/>
    <w:rsid w:val="001F6B69"/>
    <w:rsid w:val="001F70F6"/>
    <w:rsid w:val="001F794F"/>
    <w:rsid w:val="001F7B8C"/>
    <w:rsid w:val="00200385"/>
    <w:rsid w:val="002003EA"/>
    <w:rsid w:val="0020052A"/>
    <w:rsid w:val="00201335"/>
    <w:rsid w:val="00201990"/>
    <w:rsid w:val="00202AB7"/>
    <w:rsid w:val="002030FA"/>
    <w:rsid w:val="00203C67"/>
    <w:rsid w:val="00203E75"/>
    <w:rsid w:val="002040E0"/>
    <w:rsid w:val="00205661"/>
    <w:rsid w:val="00205DBF"/>
    <w:rsid w:val="0020686B"/>
    <w:rsid w:val="002076B2"/>
    <w:rsid w:val="00207B4B"/>
    <w:rsid w:val="00207D71"/>
    <w:rsid w:val="002101C6"/>
    <w:rsid w:val="002111CE"/>
    <w:rsid w:val="00212314"/>
    <w:rsid w:val="00212FB3"/>
    <w:rsid w:val="00215740"/>
    <w:rsid w:val="0021581A"/>
    <w:rsid w:val="00217826"/>
    <w:rsid w:val="002207BA"/>
    <w:rsid w:val="00221588"/>
    <w:rsid w:val="00221C13"/>
    <w:rsid w:val="002223B2"/>
    <w:rsid w:val="00222E38"/>
    <w:rsid w:val="00223101"/>
    <w:rsid w:val="00223852"/>
    <w:rsid w:val="00224D6A"/>
    <w:rsid w:val="00225791"/>
    <w:rsid w:val="00226DCA"/>
    <w:rsid w:val="00227831"/>
    <w:rsid w:val="00230E4E"/>
    <w:rsid w:val="002325EF"/>
    <w:rsid w:val="002330B7"/>
    <w:rsid w:val="002333F9"/>
    <w:rsid w:val="00234E29"/>
    <w:rsid w:val="0023555E"/>
    <w:rsid w:val="00235D77"/>
    <w:rsid w:val="00235E6C"/>
    <w:rsid w:val="00236270"/>
    <w:rsid w:val="00236324"/>
    <w:rsid w:val="00236863"/>
    <w:rsid w:val="00236B5D"/>
    <w:rsid w:val="0023748D"/>
    <w:rsid w:val="00237AC2"/>
    <w:rsid w:val="00240EA7"/>
    <w:rsid w:val="002425F0"/>
    <w:rsid w:val="00242913"/>
    <w:rsid w:val="00242EC6"/>
    <w:rsid w:val="00243FA1"/>
    <w:rsid w:val="00245207"/>
    <w:rsid w:val="00245A03"/>
    <w:rsid w:val="00245DC7"/>
    <w:rsid w:val="00247A34"/>
    <w:rsid w:val="002506BB"/>
    <w:rsid w:val="0025194E"/>
    <w:rsid w:val="00251BE2"/>
    <w:rsid w:val="00251D42"/>
    <w:rsid w:val="00251DE9"/>
    <w:rsid w:val="00252432"/>
    <w:rsid w:val="00252A67"/>
    <w:rsid w:val="00253193"/>
    <w:rsid w:val="002538A1"/>
    <w:rsid w:val="00253DC1"/>
    <w:rsid w:val="00253F1B"/>
    <w:rsid w:val="00255837"/>
    <w:rsid w:val="00255945"/>
    <w:rsid w:val="0025722B"/>
    <w:rsid w:val="002574C0"/>
    <w:rsid w:val="00257E8A"/>
    <w:rsid w:val="002618BA"/>
    <w:rsid w:val="002624F3"/>
    <w:rsid w:val="00262507"/>
    <w:rsid w:val="00263746"/>
    <w:rsid w:val="00263E18"/>
    <w:rsid w:val="0026579F"/>
    <w:rsid w:val="00265B20"/>
    <w:rsid w:val="00265ED3"/>
    <w:rsid w:val="002677F7"/>
    <w:rsid w:val="0027091F"/>
    <w:rsid w:val="00271888"/>
    <w:rsid w:val="0027249E"/>
    <w:rsid w:val="002726D6"/>
    <w:rsid w:val="0027361D"/>
    <w:rsid w:val="00273D51"/>
    <w:rsid w:val="00273E07"/>
    <w:rsid w:val="00273FEA"/>
    <w:rsid w:val="0027422C"/>
    <w:rsid w:val="0027444E"/>
    <w:rsid w:val="002747D5"/>
    <w:rsid w:val="002749EC"/>
    <w:rsid w:val="00274BF6"/>
    <w:rsid w:val="00275688"/>
    <w:rsid w:val="00275F0B"/>
    <w:rsid w:val="00276008"/>
    <w:rsid w:val="00276107"/>
    <w:rsid w:val="00277174"/>
    <w:rsid w:val="0027750B"/>
    <w:rsid w:val="002775B2"/>
    <w:rsid w:val="0027793C"/>
    <w:rsid w:val="00280B01"/>
    <w:rsid w:val="00280BD8"/>
    <w:rsid w:val="00281207"/>
    <w:rsid w:val="00283881"/>
    <w:rsid w:val="00283B38"/>
    <w:rsid w:val="0028496D"/>
    <w:rsid w:val="002856FF"/>
    <w:rsid w:val="00287041"/>
    <w:rsid w:val="0028768D"/>
    <w:rsid w:val="00287F5A"/>
    <w:rsid w:val="002918CB"/>
    <w:rsid w:val="00291DDD"/>
    <w:rsid w:val="0029310E"/>
    <w:rsid w:val="00293C53"/>
    <w:rsid w:val="00293CAF"/>
    <w:rsid w:val="00294416"/>
    <w:rsid w:val="00295F0B"/>
    <w:rsid w:val="002A03D1"/>
    <w:rsid w:val="002A0484"/>
    <w:rsid w:val="002A0EDB"/>
    <w:rsid w:val="002A0EF2"/>
    <w:rsid w:val="002A2156"/>
    <w:rsid w:val="002A23E7"/>
    <w:rsid w:val="002A264C"/>
    <w:rsid w:val="002A2D11"/>
    <w:rsid w:val="002A2F7E"/>
    <w:rsid w:val="002A3678"/>
    <w:rsid w:val="002A3A85"/>
    <w:rsid w:val="002A421B"/>
    <w:rsid w:val="002A5963"/>
    <w:rsid w:val="002A5AEE"/>
    <w:rsid w:val="002B027F"/>
    <w:rsid w:val="002B1EE1"/>
    <w:rsid w:val="002B2A15"/>
    <w:rsid w:val="002B3208"/>
    <w:rsid w:val="002B334F"/>
    <w:rsid w:val="002B3E1B"/>
    <w:rsid w:val="002B4ADC"/>
    <w:rsid w:val="002B5B2C"/>
    <w:rsid w:val="002B6291"/>
    <w:rsid w:val="002B6643"/>
    <w:rsid w:val="002B6DD2"/>
    <w:rsid w:val="002B72AA"/>
    <w:rsid w:val="002B72C0"/>
    <w:rsid w:val="002B786F"/>
    <w:rsid w:val="002B7F68"/>
    <w:rsid w:val="002C184D"/>
    <w:rsid w:val="002C2184"/>
    <w:rsid w:val="002C3667"/>
    <w:rsid w:val="002C411F"/>
    <w:rsid w:val="002C41E5"/>
    <w:rsid w:val="002C5113"/>
    <w:rsid w:val="002C584E"/>
    <w:rsid w:val="002C5A45"/>
    <w:rsid w:val="002C7C39"/>
    <w:rsid w:val="002D036D"/>
    <w:rsid w:val="002D03A2"/>
    <w:rsid w:val="002D0569"/>
    <w:rsid w:val="002D0E55"/>
    <w:rsid w:val="002D1611"/>
    <w:rsid w:val="002D2B91"/>
    <w:rsid w:val="002D30E6"/>
    <w:rsid w:val="002D39BE"/>
    <w:rsid w:val="002D4738"/>
    <w:rsid w:val="002D5C00"/>
    <w:rsid w:val="002D6689"/>
    <w:rsid w:val="002D7630"/>
    <w:rsid w:val="002E1A63"/>
    <w:rsid w:val="002E6626"/>
    <w:rsid w:val="002E6E84"/>
    <w:rsid w:val="002E720F"/>
    <w:rsid w:val="002E7A8B"/>
    <w:rsid w:val="002E7AE0"/>
    <w:rsid w:val="002F01F1"/>
    <w:rsid w:val="002F0867"/>
    <w:rsid w:val="002F1156"/>
    <w:rsid w:val="002F15BB"/>
    <w:rsid w:val="002F2A1B"/>
    <w:rsid w:val="002F3DB6"/>
    <w:rsid w:val="002F3FBD"/>
    <w:rsid w:val="002F42B0"/>
    <w:rsid w:val="002F5564"/>
    <w:rsid w:val="002F613B"/>
    <w:rsid w:val="002F6912"/>
    <w:rsid w:val="002F6B1C"/>
    <w:rsid w:val="002F75BE"/>
    <w:rsid w:val="002F7E2D"/>
    <w:rsid w:val="00301695"/>
    <w:rsid w:val="0030211B"/>
    <w:rsid w:val="00304C15"/>
    <w:rsid w:val="0030686F"/>
    <w:rsid w:val="003074AB"/>
    <w:rsid w:val="00307E98"/>
    <w:rsid w:val="003113AD"/>
    <w:rsid w:val="0031196D"/>
    <w:rsid w:val="003125B0"/>
    <w:rsid w:val="00312ACF"/>
    <w:rsid w:val="003134AF"/>
    <w:rsid w:val="0031364E"/>
    <w:rsid w:val="003136F6"/>
    <w:rsid w:val="00313AB8"/>
    <w:rsid w:val="00313CAC"/>
    <w:rsid w:val="00314663"/>
    <w:rsid w:val="0031512B"/>
    <w:rsid w:val="0031531A"/>
    <w:rsid w:val="00315ECD"/>
    <w:rsid w:val="003160A6"/>
    <w:rsid w:val="003168B7"/>
    <w:rsid w:val="00316F48"/>
    <w:rsid w:val="00317095"/>
    <w:rsid w:val="0031726A"/>
    <w:rsid w:val="003172CB"/>
    <w:rsid w:val="00317D18"/>
    <w:rsid w:val="003200BB"/>
    <w:rsid w:val="0032015A"/>
    <w:rsid w:val="00322647"/>
    <w:rsid w:val="00322684"/>
    <w:rsid w:val="003228D1"/>
    <w:rsid w:val="00322CDC"/>
    <w:rsid w:val="0032376D"/>
    <w:rsid w:val="003253BC"/>
    <w:rsid w:val="0032676C"/>
    <w:rsid w:val="0032747A"/>
    <w:rsid w:val="003276D9"/>
    <w:rsid w:val="00327CDD"/>
    <w:rsid w:val="0033024D"/>
    <w:rsid w:val="00330987"/>
    <w:rsid w:val="003318E4"/>
    <w:rsid w:val="003325B1"/>
    <w:rsid w:val="00332ABD"/>
    <w:rsid w:val="00333B03"/>
    <w:rsid w:val="00333B16"/>
    <w:rsid w:val="00333BD3"/>
    <w:rsid w:val="00335801"/>
    <w:rsid w:val="00335BF4"/>
    <w:rsid w:val="00335D0A"/>
    <w:rsid w:val="003362B0"/>
    <w:rsid w:val="003366BF"/>
    <w:rsid w:val="00336FA6"/>
    <w:rsid w:val="00337F8C"/>
    <w:rsid w:val="00340789"/>
    <w:rsid w:val="00340C82"/>
    <w:rsid w:val="00343118"/>
    <w:rsid w:val="00343135"/>
    <w:rsid w:val="003454C7"/>
    <w:rsid w:val="00345C0D"/>
    <w:rsid w:val="00345D16"/>
    <w:rsid w:val="003461D8"/>
    <w:rsid w:val="00346B0A"/>
    <w:rsid w:val="00347732"/>
    <w:rsid w:val="00347902"/>
    <w:rsid w:val="00350A0F"/>
    <w:rsid w:val="00350F3C"/>
    <w:rsid w:val="00351CE4"/>
    <w:rsid w:val="00351D71"/>
    <w:rsid w:val="003520B2"/>
    <w:rsid w:val="00352573"/>
    <w:rsid w:val="003528D1"/>
    <w:rsid w:val="003530AB"/>
    <w:rsid w:val="003532FE"/>
    <w:rsid w:val="00354355"/>
    <w:rsid w:val="00354C8A"/>
    <w:rsid w:val="0035511B"/>
    <w:rsid w:val="003551D3"/>
    <w:rsid w:val="00355AAC"/>
    <w:rsid w:val="00360598"/>
    <w:rsid w:val="0036083C"/>
    <w:rsid w:val="003619F7"/>
    <w:rsid w:val="00361E63"/>
    <w:rsid w:val="003625BC"/>
    <w:rsid w:val="00362F0D"/>
    <w:rsid w:val="003655F9"/>
    <w:rsid w:val="00366020"/>
    <w:rsid w:val="003660EE"/>
    <w:rsid w:val="00366A2E"/>
    <w:rsid w:val="00367312"/>
    <w:rsid w:val="003673BB"/>
    <w:rsid w:val="0037022E"/>
    <w:rsid w:val="00372965"/>
    <w:rsid w:val="00372A30"/>
    <w:rsid w:val="00372B8C"/>
    <w:rsid w:val="0037373B"/>
    <w:rsid w:val="00374973"/>
    <w:rsid w:val="00374B2F"/>
    <w:rsid w:val="00374ED3"/>
    <w:rsid w:val="00375109"/>
    <w:rsid w:val="003766B9"/>
    <w:rsid w:val="0037746B"/>
    <w:rsid w:val="003779A1"/>
    <w:rsid w:val="003800A5"/>
    <w:rsid w:val="0038011A"/>
    <w:rsid w:val="00380730"/>
    <w:rsid w:val="00380E88"/>
    <w:rsid w:val="003820B1"/>
    <w:rsid w:val="00382676"/>
    <w:rsid w:val="0038575C"/>
    <w:rsid w:val="00385CD1"/>
    <w:rsid w:val="00385EA0"/>
    <w:rsid w:val="003864C7"/>
    <w:rsid w:val="003866FC"/>
    <w:rsid w:val="003869D1"/>
    <w:rsid w:val="00386F0D"/>
    <w:rsid w:val="0038786E"/>
    <w:rsid w:val="003879B1"/>
    <w:rsid w:val="00387BFE"/>
    <w:rsid w:val="003910F3"/>
    <w:rsid w:val="003926C8"/>
    <w:rsid w:val="003939CD"/>
    <w:rsid w:val="00393FED"/>
    <w:rsid w:val="00395A57"/>
    <w:rsid w:val="00396959"/>
    <w:rsid w:val="00396FDD"/>
    <w:rsid w:val="0039711B"/>
    <w:rsid w:val="00397EF5"/>
    <w:rsid w:val="003A085C"/>
    <w:rsid w:val="003A0C63"/>
    <w:rsid w:val="003A2629"/>
    <w:rsid w:val="003A5464"/>
    <w:rsid w:val="003A54DD"/>
    <w:rsid w:val="003A6891"/>
    <w:rsid w:val="003A6ACF"/>
    <w:rsid w:val="003A6BD5"/>
    <w:rsid w:val="003A6DFD"/>
    <w:rsid w:val="003A73E7"/>
    <w:rsid w:val="003A77D5"/>
    <w:rsid w:val="003A7F50"/>
    <w:rsid w:val="003A7F6A"/>
    <w:rsid w:val="003B100D"/>
    <w:rsid w:val="003B28F8"/>
    <w:rsid w:val="003B338A"/>
    <w:rsid w:val="003B33C9"/>
    <w:rsid w:val="003B3653"/>
    <w:rsid w:val="003B674A"/>
    <w:rsid w:val="003B7113"/>
    <w:rsid w:val="003B7174"/>
    <w:rsid w:val="003B7AE1"/>
    <w:rsid w:val="003C03D4"/>
    <w:rsid w:val="003C092E"/>
    <w:rsid w:val="003C0FEB"/>
    <w:rsid w:val="003C18FC"/>
    <w:rsid w:val="003C50F2"/>
    <w:rsid w:val="003C5CA6"/>
    <w:rsid w:val="003C78AA"/>
    <w:rsid w:val="003D0CC5"/>
    <w:rsid w:val="003D1B46"/>
    <w:rsid w:val="003D1D88"/>
    <w:rsid w:val="003D4695"/>
    <w:rsid w:val="003D47DA"/>
    <w:rsid w:val="003D57DD"/>
    <w:rsid w:val="003D5CE9"/>
    <w:rsid w:val="003D5DA4"/>
    <w:rsid w:val="003D6744"/>
    <w:rsid w:val="003D7214"/>
    <w:rsid w:val="003E1A0D"/>
    <w:rsid w:val="003E2504"/>
    <w:rsid w:val="003E289B"/>
    <w:rsid w:val="003E3A85"/>
    <w:rsid w:val="003E45EB"/>
    <w:rsid w:val="003E497C"/>
    <w:rsid w:val="003E4C96"/>
    <w:rsid w:val="003E7559"/>
    <w:rsid w:val="003E7D04"/>
    <w:rsid w:val="003E7E1B"/>
    <w:rsid w:val="003F0170"/>
    <w:rsid w:val="003F0BDC"/>
    <w:rsid w:val="003F198D"/>
    <w:rsid w:val="003F1B59"/>
    <w:rsid w:val="003F1B75"/>
    <w:rsid w:val="003F322B"/>
    <w:rsid w:val="003F3A7F"/>
    <w:rsid w:val="003F4015"/>
    <w:rsid w:val="003F4D8C"/>
    <w:rsid w:val="003F55AA"/>
    <w:rsid w:val="003F5A24"/>
    <w:rsid w:val="003F62F2"/>
    <w:rsid w:val="003F6BCA"/>
    <w:rsid w:val="003F72A3"/>
    <w:rsid w:val="003F7FE6"/>
    <w:rsid w:val="00400004"/>
    <w:rsid w:val="00400507"/>
    <w:rsid w:val="00400B45"/>
    <w:rsid w:val="00402253"/>
    <w:rsid w:val="004025C5"/>
    <w:rsid w:val="00402637"/>
    <w:rsid w:val="004030AC"/>
    <w:rsid w:val="004035FA"/>
    <w:rsid w:val="004036FF"/>
    <w:rsid w:val="00404626"/>
    <w:rsid w:val="00404D62"/>
    <w:rsid w:val="00405C8A"/>
    <w:rsid w:val="004067D3"/>
    <w:rsid w:val="004068F4"/>
    <w:rsid w:val="004071E1"/>
    <w:rsid w:val="00407200"/>
    <w:rsid w:val="0041064F"/>
    <w:rsid w:val="00410F08"/>
    <w:rsid w:val="004110A6"/>
    <w:rsid w:val="00411836"/>
    <w:rsid w:val="004119CE"/>
    <w:rsid w:val="0041226C"/>
    <w:rsid w:val="004122AF"/>
    <w:rsid w:val="0041244E"/>
    <w:rsid w:val="00412752"/>
    <w:rsid w:val="00412B0C"/>
    <w:rsid w:val="00414051"/>
    <w:rsid w:val="00414773"/>
    <w:rsid w:val="0041539C"/>
    <w:rsid w:val="00415F35"/>
    <w:rsid w:val="004164E6"/>
    <w:rsid w:val="0041697E"/>
    <w:rsid w:val="00417047"/>
    <w:rsid w:val="00420A13"/>
    <w:rsid w:val="00420E21"/>
    <w:rsid w:val="00420E24"/>
    <w:rsid w:val="00421D1F"/>
    <w:rsid w:val="004232B3"/>
    <w:rsid w:val="00423B95"/>
    <w:rsid w:val="00423F9E"/>
    <w:rsid w:val="004245A8"/>
    <w:rsid w:val="00424F4F"/>
    <w:rsid w:val="0042635E"/>
    <w:rsid w:val="0042638E"/>
    <w:rsid w:val="00426A71"/>
    <w:rsid w:val="004276A0"/>
    <w:rsid w:val="00427AF7"/>
    <w:rsid w:val="00430D91"/>
    <w:rsid w:val="0043137B"/>
    <w:rsid w:val="00431728"/>
    <w:rsid w:val="00432373"/>
    <w:rsid w:val="00432E2C"/>
    <w:rsid w:val="004337EF"/>
    <w:rsid w:val="00434E40"/>
    <w:rsid w:val="00436145"/>
    <w:rsid w:val="004366BD"/>
    <w:rsid w:val="00436A3B"/>
    <w:rsid w:val="0044040E"/>
    <w:rsid w:val="0044086C"/>
    <w:rsid w:val="00441983"/>
    <w:rsid w:val="00442841"/>
    <w:rsid w:val="00442E36"/>
    <w:rsid w:val="00443538"/>
    <w:rsid w:val="00443575"/>
    <w:rsid w:val="00443E74"/>
    <w:rsid w:val="004454E2"/>
    <w:rsid w:val="0044591B"/>
    <w:rsid w:val="0044594A"/>
    <w:rsid w:val="00446665"/>
    <w:rsid w:val="004466D9"/>
    <w:rsid w:val="00447883"/>
    <w:rsid w:val="00447B71"/>
    <w:rsid w:val="00450C76"/>
    <w:rsid w:val="00450CC4"/>
    <w:rsid w:val="00450E72"/>
    <w:rsid w:val="00451E69"/>
    <w:rsid w:val="00452464"/>
    <w:rsid w:val="00452593"/>
    <w:rsid w:val="00452711"/>
    <w:rsid w:val="00452C52"/>
    <w:rsid w:val="0045312F"/>
    <w:rsid w:val="00453395"/>
    <w:rsid w:val="00453DEA"/>
    <w:rsid w:val="0045510A"/>
    <w:rsid w:val="00455AF2"/>
    <w:rsid w:val="00455E5D"/>
    <w:rsid w:val="00455FCB"/>
    <w:rsid w:val="00456BA7"/>
    <w:rsid w:val="00461B47"/>
    <w:rsid w:val="00462491"/>
    <w:rsid w:val="00462D0A"/>
    <w:rsid w:val="00463290"/>
    <w:rsid w:val="00464961"/>
    <w:rsid w:val="00465090"/>
    <w:rsid w:val="0046519D"/>
    <w:rsid w:val="004662CD"/>
    <w:rsid w:val="00466580"/>
    <w:rsid w:val="0047074B"/>
    <w:rsid w:val="004724B2"/>
    <w:rsid w:val="0047324B"/>
    <w:rsid w:val="0047382B"/>
    <w:rsid w:val="00473AC1"/>
    <w:rsid w:val="00475027"/>
    <w:rsid w:val="0047521D"/>
    <w:rsid w:val="0047542D"/>
    <w:rsid w:val="00475A45"/>
    <w:rsid w:val="004765BD"/>
    <w:rsid w:val="004766DB"/>
    <w:rsid w:val="00476C1C"/>
    <w:rsid w:val="00477622"/>
    <w:rsid w:val="00480812"/>
    <w:rsid w:val="00480A26"/>
    <w:rsid w:val="00481765"/>
    <w:rsid w:val="00481F3F"/>
    <w:rsid w:val="004822E3"/>
    <w:rsid w:val="004828D9"/>
    <w:rsid w:val="004829CF"/>
    <w:rsid w:val="004855A3"/>
    <w:rsid w:val="00485C3A"/>
    <w:rsid w:val="004861D9"/>
    <w:rsid w:val="004866AD"/>
    <w:rsid w:val="00486F68"/>
    <w:rsid w:val="00486FB8"/>
    <w:rsid w:val="00487B4C"/>
    <w:rsid w:val="00487FA8"/>
    <w:rsid w:val="0049111D"/>
    <w:rsid w:val="00491497"/>
    <w:rsid w:val="0049173A"/>
    <w:rsid w:val="0049271D"/>
    <w:rsid w:val="00492DD7"/>
    <w:rsid w:val="00492FA4"/>
    <w:rsid w:val="004931DA"/>
    <w:rsid w:val="00493BC0"/>
    <w:rsid w:val="0049405D"/>
    <w:rsid w:val="00494FB6"/>
    <w:rsid w:val="004952E6"/>
    <w:rsid w:val="00495462"/>
    <w:rsid w:val="004961EB"/>
    <w:rsid w:val="004964F3"/>
    <w:rsid w:val="00497377"/>
    <w:rsid w:val="00497597"/>
    <w:rsid w:val="00497B47"/>
    <w:rsid w:val="004A01EF"/>
    <w:rsid w:val="004A0FB6"/>
    <w:rsid w:val="004A1F23"/>
    <w:rsid w:val="004A38A9"/>
    <w:rsid w:val="004A6E5A"/>
    <w:rsid w:val="004A75F2"/>
    <w:rsid w:val="004A7D10"/>
    <w:rsid w:val="004B0D26"/>
    <w:rsid w:val="004B1A3B"/>
    <w:rsid w:val="004B2074"/>
    <w:rsid w:val="004B3014"/>
    <w:rsid w:val="004B38E1"/>
    <w:rsid w:val="004B4333"/>
    <w:rsid w:val="004B4B54"/>
    <w:rsid w:val="004B51AE"/>
    <w:rsid w:val="004B5513"/>
    <w:rsid w:val="004B59AE"/>
    <w:rsid w:val="004B5CE4"/>
    <w:rsid w:val="004B6EB9"/>
    <w:rsid w:val="004C0DDA"/>
    <w:rsid w:val="004C1319"/>
    <w:rsid w:val="004C1953"/>
    <w:rsid w:val="004C1BE3"/>
    <w:rsid w:val="004C4FFA"/>
    <w:rsid w:val="004C5DFB"/>
    <w:rsid w:val="004C5E36"/>
    <w:rsid w:val="004C7A70"/>
    <w:rsid w:val="004C7AF0"/>
    <w:rsid w:val="004C7D1A"/>
    <w:rsid w:val="004D18B2"/>
    <w:rsid w:val="004D3024"/>
    <w:rsid w:val="004D3621"/>
    <w:rsid w:val="004D42EB"/>
    <w:rsid w:val="004D4316"/>
    <w:rsid w:val="004D5702"/>
    <w:rsid w:val="004D5783"/>
    <w:rsid w:val="004D5CF5"/>
    <w:rsid w:val="004D629A"/>
    <w:rsid w:val="004D62BF"/>
    <w:rsid w:val="004D6761"/>
    <w:rsid w:val="004D6EF1"/>
    <w:rsid w:val="004D7317"/>
    <w:rsid w:val="004D793F"/>
    <w:rsid w:val="004D7DEB"/>
    <w:rsid w:val="004D7FAE"/>
    <w:rsid w:val="004E0DC7"/>
    <w:rsid w:val="004E0DE3"/>
    <w:rsid w:val="004E2116"/>
    <w:rsid w:val="004E24D6"/>
    <w:rsid w:val="004E3C53"/>
    <w:rsid w:val="004E40A6"/>
    <w:rsid w:val="004E58E2"/>
    <w:rsid w:val="004E7CE4"/>
    <w:rsid w:val="004F03BA"/>
    <w:rsid w:val="004F061B"/>
    <w:rsid w:val="004F1BCB"/>
    <w:rsid w:val="004F1EC4"/>
    <w:rsid w:val="004F2F51"/>
    <w:rsid w:val="004F43D1"/>
    <w:rsid w:val="004F46D1"/>
    <w:rsid w:val="004F4D9B"/>
    <w:rsid w:val="004F5DA9"/>
    <w:rsid w:val="004F64DA"/>
    <w:rsid w:val="004F6946"/>
    <w:rsid w:val="004F7953"/>
    <w:rsid w:val="004F7DFB"/>
    <w:rsid w:val="004F7ECF"/>
    <w:rsid w:val="00502660"/>
    <w:rsid w:val="005038E0"/>
    <w:rsid w:val="00503AAB"/>
    <w:rsid w:val="00504859"/>
    <w:rsid w:val="005058F2"/>
    <w:rsid w:val="00506ED8"/>
    <w:rsid w:val="00507770"/>
    <w:rsid w:val="00507D77"/>
    <w:rsid w:val="0051160A"/>
    <w:rsid w:val="00512497"/>
    <w:rsid w:val="00512D48"/>
    <w:rsid w:val="00513D8D"/>
    <w:rsid w:val="00515B1C"/>
    <w:rsid w:val="00517303"/>
    <w:rsid w:val="0051790A"/>
    <w:rsid w:val="00517B73"/>
    <w:rsid w:val="0052177D"/>
    <w:rsid w:val="00522282"/>
    <w:rsid w:val="00522703"/>
    <w:rsid w:val="005234E0"/>
    <w:rsid w:val="00523D18"/>
    <w:rsid w:val="005251E9"/>
    <w:rsid w:val="00527D25"/>
    <w:rsid w:val="00532E79"/>
    <w:rsid w:val="005341E4"/>
    <w:rsid w:val="00534D61"/>
    <w:rsid w:val="0053644B"/>
    <w:rsid w:val="00536B7E"/>
    <w:rsid w:val="00537668"/>
    <w:rsid w:val="00537941"/>
    <w:rsid w:val="00537A89"/>
    <w:rsid w:val="00540E96"/>
    <w:rsid w:val="00541D7D"/>
    <w:rsid w:val="00541ED6"/>
    <w:rsid w:val="00542EB4"/>
    <w:rsid w:val="00543DB6"/>
    <w:rsid w:val="0054590D"/>
    <w:rsid w:val="00545A7D"/>
    <w:rsid w:val="00545DD5"/>
    <w:rsid w:val="00545F64"/>
    <w:rsid w:val="005468C6"/>
    <w:rsid w:val="00547709"/>
    <w:rsid w:val="005477F2"/>
    <w:rsid w:val="00547929"/>
    <w:rsid w:val="00547C71"/>
    <w:rsid w:val="005505C5"/>
    <w:rsid w:val="005510BC"/>
    <w:rsid w:val="005526AB"/>
    <w:rsid w:val="00552BA9"/>
    <w:rsid w:val="00552BFB"/>
    <w:rsid w:val="00552EC0"/>
    <w:rsid w:val="00553C02"/>
    <w:rsid w:val="00553CF4"/>
    <w:rsid w:val="00553CF6"/>
    <w:rsid w:val="00554599"/>
    <w:rsid w:val="00554685"/>
    <w:rsid w:val="005550B0"/>
    <w:rsid w:val="00556128"/>
    <w:rsid w:val="0055667F"/>
    <w:rsid w:val="00557358"/>
    <w:rsid w:val="0055737E"/>
    <w:rsid w:val="00557E1C"/>
    <w:rsid w:val="00561AED"/>
    <w:rsid w:val="0056208C"/>
    <w:rsid w:val="0056255F"/>
    <w:rsid w:val="005627B8"/>
    <w:rsid w:val="00562C94"/>
    <w:rsid w:val="0056357C"/>
    <w:rsid w:val="005640D7"/>
    <w:rsid w:val="00564A79"/>
    <w:rsid w:val="00564A90"/>
    <w:rsid w:val="00565674"/>
    <w:rsid w:val="00566064"/>
    <w:rsid w:val="0056680C"/>
    <w:rsid w:val="0056682A"/>
    <w:rsid w:val="005675A4"/>
    <w:rsid w:val="00570F4E"/>
    <w:rsid w:val="005711F9"/>
    <w:rsid w:val="00572BBB"/>
    <w:rsid w:val="00573A6E"/>
    <w:rsid w:val="00574189"/>
    <w:rsid w:val="00574439"/>
    <w:rsid w:val="00574DE8"/>
    <w:rsid w:val="00575705"/>
    <w:rsid w:val="00575F1B"/>
    <w:rsid w:val="00576CF3"/>
    <w:rsid w:val="00577BC8"/>
    <w:rsid w:val="00577EC5"/>
    <w:rsid w:val="00580912"/>
    <w:rsid w:val="00581259"/>
    <w:rsid w:val="0058128A"/>
    <w:rsid w:val="00581DFE"/>
    <w:rsid w:val="005823AF"/>
    <w:rsid w:val="00582DBD"/>
    <w:rsid w:val="00583007"/>
    <w:rsid w:val="005831E9"/>
    <w:rsid w:val="00584BF7"/>
    <w:rsid w:val="00584CC9"/>
    <w:rsid w:val="00585983"/>
    <w:rsid w:val="00585CA2"/>
    <w:rsid w:val="00586CF2"/>
    <w:rsid w:val="00590217"/>
    <w:rsid w:val="005903A2"/>
    <w:rsid w:val="00590A1E"/>
    <w:rsid w:val="0059167E"/>
    <w:rsid w:val="00591867"/>
    <w:rsid w:val="00591E5D"/>
    <w:rsid w:val="00593F50"/>
    <w:rsid w:val="005943EC"/>
    <w:rsid w:val="005957A0"/>
    <w:rsid w:val="00595951"/>
    <w:rsid w:val="0059614C"/>
    <w:rsid w:val="0059618D"/>
    <w:rsid w:val="005964B1"/>
    <w:rsid w:val="005964C0"/>
    <w:rsid w:val="005967F8"/>
    <w:rsid w:val="00596F97"/>
    <w:rsid w:val="00597395"/>
    <w:rsid w:val="005975D3"/>
    <w:rsid w:val="005A0850"/>
    <w:rsid w:val="005A0E5F"/>
    <w:rsid w:val="005A12DF"/>
    <w:rsid w:val="005A28DC"/>
    <w:rsid w:val="005A4876"/>
    <w:rsid w:val="005A4AD0"/>
    <w:rsid w:val="005A4FDC"/>
    <w:rsid w:val="005A5629"/>
    <w:rsid w:val="005A58F4"/>
    <w:rsid w:val="005A5A9F"/>
    <w:rsid w:val="005A771B"/>
    <w:rsid w:val="005A79D5"/>
    <w:rsid w:val="005A7D8A"/>
    <w:rsid w:val="005B05CC"/>
    <w:rsid w:val="005B09E3"/>
    <w:rsid w:val="005B13A3"/>
    <w:rsid w:val="005B1ACB"/>
    <w:rsid w:val="005B243A"/>
    <w:rsid w:val="005B257D"/>
    <w:rsid w:val="005B2D4C"/>
    <w:rsid w:val="005B3C2A"/>
    <w:rsid w:val="005B3F68"/>
    <w:rsid w:val="005B40A1"/>
    <w:rsid w:val="005B4183"/>
    <w:rsid w:val="005B4FC5"/>
    <w:rsid w:val="005B6552"/>
    <w:rsid w:val="005C02CB"/>
    <w:rsid w:val="005C0BFA"/>
    <w:rsid w:val="005C1A02"/>
    <w:rsid w:val="005C1A35"/>
    <w:rsid w:val="005C29DC"/>
    <w:rsid w:val="005C2C8E"/>
    <w:rsid w:val="005C2EA4"/>
    <w:rsid w:val="005C33BE"/>
    <w:rsid w:val="005C3823"/>
    <w:rsid w:val="005C3ED9"/>
    <w:rsid w:val="005C411D"/>
    <w:rsid w:val="005C4499"/>
    <w:rsid w:val="005C4AF3"/>
    <w:rsid w:val="005C5026"/>
    <w:rsid w:val="005C508A"/>
    <w:rsid w:val="005C53F2"/>
    <w:rsid w:val="005C6342"/>
    <w:rsid w:val="005C7159"/>
    <w:rsid w:val="005C7D86"/>
    <w:rsid w:val="005D03A7"/>
    <w:rsid w:val="005D213B"/>
    <w:rsid w:val="005D2E85"/>
    <w:rsid w:val="005D3D26"/>
    <w:rsid w:val="005D4572"/>
    <w:rsid w:val="005D48BE"/>
    <w:rsid w:val="005D4DCC"/>
    <w:rsid w:val="005D5B2A"/>
    <w:rsid w:val="005D5DC6"/>
    <w:rsid w:val="005D62B4"/>
    <w:rsid w:val="005D6805"/>
    <w:rsid w:val="005D6942"/>
    <w:rsid w:val="005D7388"/>
    <w:rsid w:val="005E07F4"/>
    <w:rsid w:val="005E15B2"/>
    <w:rsid w:val="005E2CCE"/>
    <w:rsid w:val="005E307F"/>
    <w:rsid w:val="005E407B"/>
    <w:rsid w:val="005E456C"/>
    <w:rsid w:val="005E4E17"/>
    <w:rsid w:val="005E5A2C"/>
    <w:rsid w:val="005E60F1"/>
    <w:rsid w:val="005E6DC2"/>
    <w:rsid w:val="005E6EC1"/>
    <w:rsid w:val="005F06F7"/>
    <w:rsid w:val="005F1B5C"/>
    <w:rsid w:val="005F1CCA"/>
    <w:rsid w:val="005F2A35"/>
    <w:rsid w:val="005F3289"/>
    <w:rsid w:val="005F51B7"/>
    <w:rsid w:val="005F61DB"/>
    <w:rsid w:val="0060044D"/>
    <w:rsid w:val="00600685"/>
    <w:rsid w:val="00600FCE"/>
    <w:rsid w:val="00601403"/>
    <w:rsid w:val="00601AEA"/>
    <w:rsid w:val="00601C1B"/>
    <w:rsid w:val="00602441"/>
    <w:rsid w:val="006031B3"/>
    <w:rsid w:val="006033BA"/>
    <w:rsid w:val="00603A4B"/>
    <w:rsid w:val="00604422"/>
    <w:rsid w:val="006044E0"/>
    <w:rsid w:val="00605761"/>
    <w:rsid w:val="006064DF"/>
    <w:rsid w:val="0060669A"/>
    <w:rsid w:val="006071DE"/>
    <w:rsid w:val="0060776C"/>
    <w:rsid w:val="006116D0"/>
    <w:rsid w:val="00611C51"/>
    <w:rsid w:val="006122B5"/>
    <w:rsid w:val="00613424"/>
    <w:rsid w:val="00613981"/>
    <w:rsid w:val="00613EA9"/>
    <w:rsid w:val="00620B39"/>
    <w:rsid w:val="00620B65"/>
    <w:rsid w:val="00620BD2"/>
    <w:rsid w:val="00620C84"/>
    <w:rsid w:val="0062107E"/>
    <w:rsid w:val="0062120A"/>
    <w:rsid w:val="0062149A"/>
    <w:rsid w:val="0062151E"/>
    <w:rsid w:val="006217F0"/>
    <w:rsid w:val="006221DE"/>
    <w:rsid w:val="00622660"/>
    <w:rsid w:val="00623937"/>
    <w:rsid w:val="00623A7B"/>
    <w:rsid w:val="00624570"/>
    <w:rsid w:val="0062594B"/>
    <w:rsid w:val="00626655"/>
    <w:rsid w:val="006266B0"/>
    <w:rsid w:val="00626EC6"/>
    <w:rsid w:val="00627991"/>
    <w:rsid w:val="006306E2"/>
    <w:rsid w:val="00632893"/>
    <w:rsid w:val="00632A4B"/>
    <w:rsid w:val="00632AFA"/>
    <w:rsid w:val="00633C73"/>
    <w:rsid w:val="00634C97"/>
    <w:rsid w:val="00635019"/>
    <w:rsid w:val="00636C6C"/>
    <w:rsid w:val="006404A2"/>
    <w:rsid w:val="0064057D"/>
    <w:rsid w:val="00640780"/>
    <w:rsid w:val="006408F4"/>
    <w:rsid w:val="00642046"/>
    <w:rsid w:val="00642FA8"/>
    <w:rsid w:val="0064416C"/>
    <w:rsid w:val="00644189"/>
    <w:rsid w:val="00644762"/>
    <w:rsid w:val="00644DAE"/>
    <w:rsid w:val="00645540"/>
    <w:rsid w:val="00645A16"/>
    <w:rsid w:val="0064618F"/>
    <w:rsid w:val="00646751"/>
    <w:rsid w:val="006467FA"/>
    <w:rsid w:val="00646CF3"/>
    <w:rsid w:val="0064716E"/>
    <w:rsid w:val="00647365"/>
    <w:rsid w:val="0064754B"/>
    <w:rsid w:val="0064761C"/>
    <w:rsid w:val="00650353"/>
    <w:rsid w:val="006506DF"/>
    <w:rsid w:val="0065094F"/>
    <w:rsid w:val="006526F0"/>
    <w:rsid w:val="00653804"/>
    <w:rsid w:val="006538C8"/>
    <w:rsid w:val="00654A4A"/>
    <w:rsid w:val="00654A56"/>
    <w:rsid w:val="00656C26"/>
    <w:rsid w:val="00656C42"/>
    <w:rsid w:val="00657CC7"/>
    <w:rsid w:val="0066031B"/>
    <w:rsid w:val="00660A4A"/>
    <w:rsid w:val="00660A6D"/>
    <w:rsid w:val="00660D53"/>
    <w:rsid w:val="00663AD0"/>
    <w:rsid w:val="00664C06"/>
    <w:rsid w:val="00666977"/>
    <w:rsid w:val="006669A6"/>
    <w:rsid w:val="0066786B"/>
    <w:rsid w:val="006679E6"/>
    <w:rsid w:val="00670A25"/>
    <w:rsid w:val="006710DB"/>
    <w:rsid w:val="0067292D"/>
    <w:rsid w:val="006735D2"/>
    <w:rsid w:val="00673DBF"/>
    <w:rsid w:val="00674B90"/>
    <w:rsid w:val="00674D47"/>
    <w:rsid w:val="0067550A"/>
    <w:rsid w:val="006758C7"/>
    <w:rsid w:val="00676272"/>
    <w:rsid w:val="00680367"/>
    <w:rsid w:val="00680535"/>
    <w:rsid w:val="00681882"/>
    <w:rsid w:val="00681F2C"/>
    <w:rsid w:val="0068201A"/>
    <w:rsid w:val="006828F2"/>
    <w:rsid w:val="00682BE8"/>
    <w:rsid w:val="00682C85"/>
    <w:rsid w:val="00683B41"/>
    <w:rsid w:val="00683BD0"/>
    <w:rsid w:val="00683DC3"/>
    <w:rsid w:val="00683EE6"/>
    <w:rsid w:val="00684C14"/>
    <w:rsid w:val="006869B2"/>
    <w:rsid w:val="00690C2C"/>
    <w:rsid w:val="00691C27"/>
    <w:rsid w:val="00691D7E"/>
    <w:rsid w:val="0069233C"/>
    <w:rsid w:val="006925E5"/>
    <w:rsid w:val="006936CD"/>
    <w:rsid w:val="00693C02"/>
    <w:rsid w:val="006946E0"/>
    <w:rsid w:val="00694972"/>
    <w:rsid w:val="00694A27"/>
    <w:rsid w:val="006951A4"/>
    <w:rsid w:val="0069549C"/>
    <w:rsid w:val="00695510"/>
    <w:rsid w:val="00695F57"/>
    <w:rsid w:val="006972A6"/>
    <w:rsid w:val="006A098F"/>
    <w:rsid w:val="006A0A8F"/>
    <w:rsid w:val="006A1FE2"/>
    <w:rsid w:val="006A311D"/>
    <w:rsid w:val="006A3C6F"/>
    <w:rsid w:val="006A4BDB"/>
    <w:rsid w:val="006A60DD"/>
    <w:rsid w:val="006A66BE"/>
    <w:rsid w:val="006A68C3"/>
    <w:rsid w:val="006A7B69"/>
    <w:rsid w:val="006B03E8"/>
    <w:rsid w:val="006B1C6D"/>
    <w:rsid w:val="006B1DF2"/>
    <w:rsid w:val="006B335B"/>
    <w:rsid w:val="006B3B08"/>
    <w:rsid w:val="006B678A"/>
    <w:rsid w:val="006B6A57"/>
    <w:rsid w:val="006C06DA"/>
    <w:rsid w:val="006C0E74"/>
    <w:rsid w:val="006C17AA"/>
    <w:rsid w:val="006C1DA9"/>
    <w:rsid w:val="006C25A6"/>
    <w:rsid w:val="006C296F"/>
    <w:rsid w:val="006C2CAC"/>
    <w:rsid w:val="006C3FAF"/>
    <w:rsid w:val="006C40D5"/>
    <w:rsid w:val="006C4DA1"/>
    <w:rsid w:val="006C5895"/>
    <w:rsid w:val="006C63D6"/>
    <w:rsid w:val="006C6D60"/>
    <w:rsid w:val="006D06A2"/>
    <w:rsid w:val="006D09D4"/>
    <w:rsid w:val="006D1868"/>
    <w:rsid w:val="006D2076"/>
    <w:rsid w:val="006D217E"/>
    <w:rsid w:val="006D2B87"/>
    <w:rsid w:val="006D2D55"/>
    <w:rsid w:val="006D2F2C"/>
    <w:rsid w:val="006D32FC"/>
    <w:rsid w:val="006D64B4"/>
    <w:rsid w:val="006D6885"/>
    <w:rsid w:val="006D7373"/>
    <w:rsid w:val="006D7E87"/>
    <w:rsid w:val="006E051E"/>
    <w:rsid w:val="006E0556"/>
    <w:rsid w:val="006E088C"/>
    <w:rsid w:val="006E144B"/>
    <w:rsid w:val="006E1499"/>
    <w:rsid w:val="006E1E24"/>
    <w:rsid w:val="006E20AD"/>
    <w:rsid w:val="006E219B"/>
    <w:rsid w:val="006E2625"/>
    <w:rsid w:val="006E286D"/>
    <w:rsid w:val="006E39BF"/>
    <w:rsid w:val="006E4B74"/>
    <w:rsid w:val="006E4D2D"/>
    <w:rsid w:val="006E6396"/>
    <w:rsid w:val="006E6422"/>
    <w:rsid w:val="006E680C"/>
    <w:rsid w:val="006E6E8E"/>
    <w:rsid w:val="006E7107"/>
    <w:rsid w:val="006E7E40"/>
    <w:rsid w:val="006F0F3B"/>
    <w:rsid w:val="006F179E"/>
    <w:rsid w:val="006F1A74"/>
    <w:rsid w:val="006F216D"/>
    <w:rsid w:val="006F2C7C"/>
    <w:rsid w:val="006F3DFF"/>
    <w:rsid w:val="006F4646"/>
    <w:rsid w:val="006F4E1F"/>
    <w:rsid w:val="006F5A4F"/>
    <w:rsid w:val="006F6A72"/>
    <w:rsid w:val="006F6CE0"/>
    <w:rsid w:val="00702389"/>
    <w:rsid w:val="00702BAA"/>
    <w:rsid w:val="00702C67"/>
    <w:rsid w:val="007033E7"/>
    <w:rsid w:val="007034DF"/>
    <w:rsid w:val="00703931"/>
    <w:rsid w:val="00704684"/>
    <w:rsid w:val="0070513C"/>
    <w:rsid w:val="0070579D"/>
    <w:rsid w:val="007076E8"/>
    <w:rsid w:val="00707D3E"/>
    <w:rsid w:val="0071003F"/>
    <w:rsid w:val="00710861"/>
    <w:rsid w:val="00710E18"/>
    <w:rsid w:val="007117E4"/>
    <w:rsid w:val="00711F2D"/>
    <w:rsid w:val="007123FC"/>
    <w:rsid w:val="00713139"/>
    <w:rsid w:val="00713FA8"/>
    <w:rsid w:val="00716AC6"/>
    <w:rsid w:val="007173A4"/>
    <w:rsid w:val="0072053E"/>
    <w:rsid w:val="0072084A"/>
    <w:rsid w:val="00721DC9"/>
    <w:rsid w:val="00722690"/>
    <w:rsid w:val="007232BD"/>
    <w:rsid w:val="0072412E"/>
    <w:rsid w:val="0072427E"/>
    <w:rsid w:val="00724603"/>
    <w:rsid w:val="00724838"/>
    <w:rsid w:val="00724FFB"/>
    <w:rsid w:val="0072579F"/>
    <w:rsid w:val="00725AF8"/>
    <w:rsid w:val="00725B4A"/>
    <w:rsid w:val="00725F57"/>
    <w:rsid w:val="00727649"/>
    <w:rsid w:val="00727DE2"/>
    <w:rsid w:val="007303C2"/>
    <w:rsid w:val="00730AAF"/>
    <w:rsid w:val="00734054"/>
    <w:rsid w:val="00735549"/>
    <w:rsid w:val="007357BB"/>
    <w:rsid w:val="00735AAB"/>
    <w:rsid w:val="00736FA6"/>
    <w:rsid w:val="00737FC2"/>
    <w:rsid w:val="00740D98"/>
    <w:rsid w:val="00740E4A"/>
    <w:rsid w:val="00741871"/>
    <w:rsid w:val="00741E05"/>
    <w:rsid w:val="00744A11"/>
    <w:rsid w:val="007464F6"/>
    <w:rsid w:val="00747159"/>
    <w:rsid w:val="007476E7"/>
    <w:rsid w:val="007476F9"/>
    <w:rsid w:val="007478E8"/>
    <w:rsid w:val="00747CC2"/>
    <w:rsid w:val="00750E92"/>
    <w:rsid w:val="0075190F"/>
    <w:rsid w:val="007529E4"/>
    <w:rsid w:val="0075372A"/>
    <w:rsid w:val="00753F4A"/>
    <w:rsid w:val="007541B2"/>
    <w:rsid w:val="00755457"/>
    <w:rsid w:val="007556C3"/>
    <w:rsid w:val="00755995"/>
    <w:rsid w:val="00756AD1"/>
    <w:rsid w:val="0075770D"/>
    <w:rsid w:val="00757B99"/>
    <w:rsid w:val="00760C6F"/>
    <w:rsid w:val="00760D00"/>
    <w:rsid w:val="007615FE"/>
    <w:rsid w:val="00761706"/>
    <w:rsid w:val="00761A63"/>
    <w:rsid w:val="00761C29"/>
    <w:rsid w:val="007626DC"/>
    <w:rsid w:val="00762912"/>
    <w:rsid w:val="00763449"/>
    <w:rsid w:val="00763493"/>
    <w:rsid w:val="007636F0"/>
    <w:rsid w:val="0076374A"/>
    <w:rsid w:val="00764A9D"/>
    <w:rsid w:val="00764EC5"/>
    <w:rsid w:val="00765887"/>
    <w:rsid w:val="007663BF"/>
    <w:rsid w:val="00766EF0"/>
    <w:rsid w:val="00770FFC"/>
    <w:rsid w:val="00771531"/>
    <w:rsid w:val="007727B7"/>
    <w:rsid w:val="007732B3"/>
    <w:rsid w:val="007733BF"/>
    <w:rsid w:val="0077340D"/>
    <w:rsid w:val="00774058"/>
    <w:rsid w:val="00774C4E"/>
    <w:rsid w:val="00774E28"/>
    <w:rsid w:val="0078040B"/>
    <w:rsid w:val="007819E8"/>
    <w:rsid w:val="00781ABD"/>
    <w:rsid w:val="00782885"/>
    <w:rsid w:val="00782A06"/>
    <w:rsid w:val="007833B5"/>
    <w:rsid w:val="00783D4B"/>
    <w:rsid w:val="0078486C"/>
    <w:rsid w:val="00784F0D"/>
    <w:rsid w:val="00784FB0"/>
    <w:rsid w:val="00785087"/>
    <w:rsid w:val="00786270"/>
    <w:rsid w:val="00786585"/>
    <w:rsid w:val="00787435"/>
    <w:rsid w:val="0078798C"/>
    <w:rsid w:val="00787DC2"/>
    <w:rsid w:val="00790EBD"/>
    <w:rsid w:val="007916CA"/>
    <w:rsid w:val="00793023"/>
    <w:rsid w:val="00793DAB"/>
    <w:rsid w:val="00794766"/>
    <w:rsid w:val="00794FBC"/>
    <w:rsid w:val="0079585D"/>
    <w:rsid w:val="0079619F"/>
    <w:rsid w:val="0079683C"/>
    <w:rsid w:val="0079699C"/>
    <w:rsid w:val="00796BDB"/>
    <w:rsid w:val="00796E3C"/>
    <w:rsid w:val="0079758C"/>
    <w:rsid w:val="00797982"/>
    <w:rsid w:val="00797B42"/>
    <w:rsid w:val="007A0736"/>
    <w:rsid w:val="007A0E97"/>
    <w:rsid w:val="007A11F6"/>
    <w:rsid w:val="007A20FC"/>
    <w:rsid w:val="007A2F22"/>
    <w:rsid w:val="007A3AED"/>
    <w:rsid w:val="007A4642"/>
    <w:rsid w:val="007A470E"/>
    <w:rsid w:val="007A5837"/>
    <w:rsid w:val="007A657B"/>
    <w:rsid w:val="007A7A56"/>
    <w:rsid w:val="007B02E7"/>
    <w:rsid w:val="007B0989"/>
    <w:rsid w:val="007B188E"/>
    <w:rsid w:val="007B2698"/>
    <w:rsid w:val="007B2A4F"/>
    <w:rsid w:val="007B3495"/>
    <w:rsid w:val="007B3C02"/>
    <w:rsid w:val="007B6BBE"/>
    <w:rsid w:val="007B7255"/>
    <w:rsid w:val="007B73F9"/>
    <w:rsid w:val="007B7D85"/>
    <w:rsid w:val="007C09E1"/>
    <w:rsid w:val="007C0B44"/>
    <w:rsid w:val="007C14C5"/>
    <w:rsid w:val="007C14E0"/>
    <w:rsid w:val="007C24B2"/>
    <w:rsid w:val="007C2B49"/>
    <w:rsid w:val="007C2FF1"/>
    <w:rsid w:val="007C30B2"/>
    <w:rsid w:val="007C3B1C"/>
    <w:rsid w:val="007C42B9"/>
    <w:rsid w:val="007C51FE"/>
    <w:rsid w:val="007C5B90"/>
    <w:rsid w:val="007C5C1D"/>
    <w:rsid w:val="007C7454"/>
    <w:rsid w:val="007C75B2"/>
    <w:rsid w:val="007D0051"/>
    <w:rsid w:val="007D0342"/>
    <w:rsid w:val="007D097C"/>
    <w:rsid w:val="007D0F65"/>
    <w:rsid w:val="007D26E5"/>
    <w:rsid w:val="007D2BEE"/>
    <w:rsid w:val="007D308A"/>
    <w:rsid w:val="007D3B17"/>
    <w:rsid w:val="007D512E"/>
    <w:rsid w:val="007D560D"/>
    <w:rsid w:val="007D576A"/>
    <w:rsid w:val="007D5EC8"/>
    <w:rsid w:val="007D7115"/>
    <w:rsid w:val="007E000B"/>
    <w:rsid w:val="007E1987"/>
    <w:rsid w:val="007E2726"/>
    <w:rsid w:val="007E2C0C"/>
    <w:rsid w:val="007E2E70"/>
    <w:rsid w:val="007E45CF"/>
    <w:rsid w:val="007E4B7D"/>
    <w:rsid w:val="007E697F"/>
    <w:rsid w:val="007E78C3"/>
    <w:rsid w:val="007E7A81"/>
    <w:rsid w:val="007F1DC4"/>
    <w:rsid w:val="007F1E92"/>
    <w:rsid w:val="007F38B8"/>
    <w:rsid w:val="007F3D16"/>
    <w:rsid w:val="007F4C75"/>
    <w:rsid w:val="007F54B9"/>
    <w:rsid w:val="007F6D40"/>
    <w:rsid w:val="007F6E21"/>
    <w:rsid w:val="00800458"/>
    <w:rsid w:val="008017A0"/>
    <w:rsid w:val="00801E44"/>
    <w:rsid w:val="00803C6B"/>
    <w:rsid w:val="00805DBB"/>
    <w:rsid w:val="00805E93"/>
    <w:rsid w:val="008070A4"/>
    <w:rsid w:val="0080782D"/>
    <w:rsid w:val="008112D2"/>
    <w:rsid w:val="008113A9"/>
    <w:rsid w:val="00811CD2"/>
    <w:rsid w:val="0081357B"/>
    <w:rsid w:val="00813FCC"/>
    <w:rsid w:val="00814628"/>
    <w:rsid w:val="00814E9C"/>
    <w:rsid w:val="008162B2"/>
    <w:rsid w:val="00816399"/>
    <w:rsid w:val="0082170B"/>
    <w:rsid w:val="00821817"/>
    <w:rsid w:val="008218CF"/>
    <w:rsid w:val="008223C6"/>
    <w:rsid w:val="0082347B"/>
    <w:rsid w:val="0082369B"/>
    <w:rsid w:val="0082393F"/>
    <w:rsid w:val="00824D69"/>
    <w:rsid w:val="0082696C"/>
    <w:rsid w:val="00826E90"/>
    <w:rsid w:val="008300FB"/>
    <w:rsid w:val="00830AC8"/>
    <w:rsid w:val="00831A78"/>
    <w:rsid w:val="00831ADB"/>
    <w:rsid w:val="00831D41"/>
    <w:rsid w:val="00831DC6"/>
    <w:rsid w:val="00832312"/>
    <w:rsid w:val="00832968"/>
    <w:rsid w:val="008334DA"/>
    <w:rsid w:val="00833DF4"/>
    <w:rsid w:val="008346CD"/>
    <w:rsid w:val="00834704"/>
    <w:rsid w:val="0083564F"/>
    <w:rsid w:val="00835BE4"/>
    <w:rsid w:val="00835D78"/>
    <w:rsid w:val="00836BA5"/>
    <w:rsid w:val="00836C5F"/>
    <w:rsid w:val="00836E5E"/>
    <w:rsid w:val="00836FEC"/>
    <w:rsid w:val="00837D23"/>
    <w:rsid w:val="008401A9"/>
    <w:rsid w:val="00840453"/>
    <w:rsid w:val="00840E0E"/>
    <w:rsid w:val="00840FE7"/>
    <w:rsid w:val="008410FD"/>
    <w:rsid w:val="008412E1"/>
    <w:rsid w:val="008418B8"/>
    <w:rsid w:val="00841B9C"/>
    <w:rsid w:val="00841BFF"/>
    <w:rsid w:val="00841CB6"/>
    <w:rsid w:val="00841FDD"/>
    <w:rsid w:val="00842030"/>
    <w:rsid w:val="008425D6"/>
    <w:rsid w:val="00842692"/>
    <w:rsid w:val="00843077"/>
    <w:rsid w:val="00843AA1"/>
    <w:rsid w:val="0084439F"/>
    <w:rsid w:val="008448E4"/>
    <w:rsid w:val="00844B36"/>
    <w:rsid w:val="00845FF0"/>
    <w:rsid w:val="00847538"/>
    <w:rsid w:val="00847BE9"/>
    <w:rsid w:val="00851E2A"/>
    <w:rsid w:val="00852477"/>
    <w:rsid w:val="008527A1"/>
    <w:rsid w:val="00852A1D"/>
    <w:rsid w:val="00853A5A"/>
    <w:rsid w:val="008555A5"/>
    <w:rsid w:val="00855F92"/>
    <w:rsid w:val="00856C72"/>
    <w:rsid w:val="008608D2"/>
    <w:rsid w:val="00860B19"/>
    <w:rsid w:val="00862C35"/>
    <w:rsid w:val="00862DE6"/>
    <w:rsid w:val="00863316"/>
    <w:rsid w:val="00863632"/>
    <w:rsid w:val="00864DB9"/>
    <w:rsid w:val="00864EB1"/>
    <w:rsid w:val="008654C7"/>
    <w:rsid w:val="00866553"/>
    <w:rsid w:val="00866AE6"/>
    <w:rsid w:val="00867B06"/>
    <w:rsid w:val="0087097D"/>
    <w:rsid w:val="00870FE0"/>
    <w:rsid w:val="0087163E"/>
    <w:rsid w:val="00872019"/>
    <w:rsid w:val="00872148"/>
    <w:rsid w:val="00872947"/>
    <w:rsid w:val="00872D0E"/>
    <w:rsid w:val="0087305C"/>
    <w:rsid w:val="0087374F"/>
    <w:rsid w:val="00875373"/>
    <w:rsid w:val="0087619B"/>
    <w:rsid w:val="00876B37"/>
    <w:rsid w:val="00876DCD"/>
    <w:rsid w:val="00881048"/>
    <w:rsid w:val="00881361"/>
    <w:rsid w:val="00881690"/>
    <w:rsid w:val="00882106"/>
    <w:rsid w:val="008822C8"/>
    <w:rsid w:val="00883AA0"/>
    <w:rsid w:val="00883D6A"/>
    <w:rsid w:val="00883DD7"/>
    <w:rsid w:val="0088448A"/>
    <w:rsid w:val="00884D7F"/>
    <w:rsid w:val="00885CEA"/>
    <w:rsid w:val="0088618C"/>
    <w:rsid w:val="00891DD4"/>
    <w:rsid w:val="00892645"/>
    <w:rsid w:val="00892AEC"/>
    <w:rsid w:val="008932F4"/>
    <w:rsid w:val="008936FC"/>
    <w:rsid w:val="00893803"/>
    <w:rsid w:val="008939B6"/>
    <w:rsid w:val="008948E6"/>
    <w:rsid w:val="008953D9"/>
    <w:rsid w:val="00895572"/>
    <w:rsid w:val="00895A6A"/>
    <w:rsid w:val="00895C4C"/>
    <w:rsid w:val="00895D81"/>
    <w:rsid w:val="008974D2"/>
    <w:rsid w:val="0089787B"/>
    <w:rsid w:val="00897FBD"/>
    <w:rsid w:val="008A0679"/>
    <w:rsid w:val="008A0C7A"/>
    <w:rsid w:val="008A0CBA"/>
    <w:rsid w:val="008A1089"/>
    <w:rsid w:val="008A28CA"/>
    <w:rsid w:val="008A5943"/>
    <w:rsid w:val="008A59CB"/>
    <w:rsid w:val="008A5A43"/>
    <w:rsid w:val="008A5CB9"/>
    <w:rsid w:val="008A6580"/>
    <w:rsid w:val="008A7165"/>
    <w:rsid w:val="008B0164"/>
    <w:rsid w:val="008B0254"/>
    <w:rsid w:val="008B08EB"/>
    <w:rsid w:val="008B0A79"/>
    <w:rsid w:val="008B154F"/>
    <w:rsid w:val="008B198F"/>
    <w:rsid w:val="008B201E"/>
    <w:rsid w:val="008B2030"/>
    <w:rsid w:val="008B31FD"/>
    <w:rsid w:val="008B3A28"/>
    <w:rsid w:val="008B42D4"/>
    <w:rsid w:val="008B49D6"/>
    <w:rsid w:val="008B4B76"/>
    <w:rsid w:val="008B5096"/>
    <w:rsid w:val="008B56D4"/>
    <w:rsid w:val="008B5EFE"/>
    <w:rsid w:val="008B6410"/>
    <w:rsid w:val="008B74A7"/>
    <w:rsid w:val="008B77F8"/>
    <w:rsid w:val="008C0A73"/>
    <w:rsid w:val="008C1228"/>
    <w:rsid w:val="008C1742"/>
    <w:rsid w:val="008C263E"/>
    <w:rsid w:val="008C4F6D"/>
    <w:rsid w:val="008C5659"/>
    <w:rsid w:val="008C5AA7"/>
    <w:rsid w:val="008C6CC3"/>
    <w:rsid w:val="008C6E6F"/>
    <w:rsid w:val="008D0C13"/>
    <w:rsid w:val="008D13AE"/>
    <w:rsid w:val="008D1DB8"/>
    <w:rsid w:val="008D1EC9"/>
    <w:rsid w:val="008D22FC"/>
    <w:rsid w:val="008D444F"/>
    <w:rsid w:val="008D4A7B"/>
    <w:rsid w:val="008D506E"/>
    <w:rsid w:val="008D54D3"/>
    <w:rsid w:val="008D6237"/>
    <w:rsid w:val="008D6AE7"/>
    <w:rsid w:val="008D6B48"/>
    <w:rsid w:val="008D6D31"/>
    <w:rsid w:val="008D740E"/>
    <w:rsid w:val="008E00B8"/>
    <w:rsid w:val="008E085F"/>
    <w:rsid w:val="008E0F8B"/>
    <w:rsid w:val="008E125E"/>
    <w:rsid w:val="008E13B1"/>
    <w:rsid w:val="008E173E"/>
    <w:rsid w:val="008E2818"/>
    <w:rsid w:val="008E2ABB"/>
    <w:rsid w:val="008E3FFD"/>
    <w:rsid w:val="008E4CE7"/>
    <w:rsid w:val="008E578B"/>
    <w:rsid w:val="008E57F5"/>
    <w:rsid w:val="008E65E9"/>
    <w:rsid w:val="008E680D"/>
    <w:rsid w:val="008E73D1"/>
    <w:rsid w:val="008E75C4"/>
    <w:rsid w:val="008E7C77"/>
    <w:rsid w:val="008F1AF5"/>
    <w:rsid w:val="008F1C21"/>
    <w:rsid w:val="008F2948"/>
    <w:rsid w:val="008F2A1E"/>
    <w:rsid w:val="008F63D2"/>
    <w:rsid w:val="008F6CC8"/>
    <w:rsid w:val="008F70B2"/>
    <w:rsid w:val="00900E5A"/>
    <w:rsid w:val="00901440"/>
    <w:rsid w:val="009016E8"/>
    <w:rsid w:val="00902736"/>
    <w:rsid w:val="0090275F"/>
    <w:rsid w:val="009027CD"/>
    <w:rsid w:val="00904A0D"/>
    <w:rsid w:val="00905251"/>
    <w:rsid w:val="00907205"/>
    <w:rsid w:val="009117D9"/>
    <w:rsid w:val="009118F9"/>
    <w:rsid w:val="009131D0"/>
    <w:rsid w:val="00913C59"/>
    <w:rsid w:val="00913F78"/>
    <w:rsid w:val="0091484A"/>
    <w:rsid w:val="00914FC5"/>
    <w:rsid w:val="009154AE"/>
    <w:rsid w:val="00915D93"/>
    <w:rsid w:val="009166EA"/>
    <w:rsid w:val="0091687E"/>
    <w:rsid w:val="00916A22"/>
    <w:rsid w:val="0091713E"/>
    <w:rsid w:val="00917154"/>
    <w:rsid w:val="00917CC7"/>
    <w:rsid w:val="00920CC7"/>
    <w:rsid w:val="009211CF"/>
    <w:rsid w:val="009217D3"/>
    <w:rsid w:val="0092195B"/>
    <w:rsid w:val="00921F44"/>
    <w:rsid w:val="009224DB"/>
    <w:rsid w:val="009232E7"/>
    <w:rsid w:val="00923343"/>
    <w:rsid w:val="0092404A"/>
    <w:rsid w:val="0092521A"/>
    <w:rsid w:val="00925495"/>
    <w:rsid w:val="009269AE"/>
    <w:rsid w:val="00926B82"/>
    <w:rsid w:val="0093033D"/>
    <w:rsid w:val="00930B87"/>
    <w:rsid w:val="00930CB0"/>
    <w:rsid w:val="0093220F"/>
    <w:rsid w:val="009323E8"/>
    <w:rsid w:val="00933631"/>
    <w:rsid w:val="00933662"/>
    <w:rsid w:val="00933F84"/>
    <w:rsid w:val="00934462"/>
    <w:rsid w:val="0093466E"/>
    <w:rsid w:val="00934B8F"/>
    <w:rsid w:val="00934D84"/>
    <w:rsid w:val="0093508E"/>
    <w:rsid w:val="00935BC3"/>
    <w:rsid w:val="009361E0"/>
    <w:rsid w:val="00936ABC"/>
    <w:rsid w:val="009377E3"/>
    <w:rsid w:val="009377FB"/>
    <w:rsid w:val="009402E9"/>
    <w:rsid w:val="00942408"/>
    <w:rsid w:val="00942CDC"/>
    <w:rsid w:val="00944A75"/>
    <w:rsid w:val="00944A7E"/>
    <w:rsid w:val="00944C96"/>
    <w:rsid w:val="00944F51"/>
    <w:rsid w:val="0094586F"/>
    <w:rsid w:val="00945E8E"/>
    <w:rsid w:val="00946A0C"/>
    <w:rsid w:val="00947441"/>
    <w:rsid w:val="00947860"/>
    <w:rsid w:val="00947B5B"/>
    <w:rsid w:val="009501F2"/>
    <w:rsid w:val="009506BD"/>
    <w:rsid w:val="00951DB4"/>
    <w:rsid w:val="00952A32"/>
    <w:rsid w:val="009542A5"/>
    <w:rsid w:val="00954404"/>
    <w:rsid w:val="00954629"/>
    <w:rsid w:val="009552FF"/>
    <w:rsid w:val="0095667F"/>
    <w:rsid w:val="00957ED4"/>
    <w:rsid w:val="009604AF"/>
    <w:rsid w:val="009610B0"/>
    <w:rsid w:val="00962B4F"/>
    <w:rsid w:val="00964097"/>
    <w:rsid w:val="00964E2A"/>
    <w:rsid w:val="009650FD"/>
    <w:rsid w:val="00965801"/>
    <w:rsid w:val="0096591E"/>
    <w:rsid w:val="0096646D"/>
    <w:rsid w:val="00966C35"/>
    <w:rsid w:val="00967C29"/>
    <w:rsid w:val="00967E52"/>
    <w:rsid w:val="00972D83"/>
    <w:rsid w:val="00972DD1"/>
    <w:rsid w:val="009734E0"/>
    <w:rsid w:val="009748C2"/>
    <w:rsid w:val="0097612C"/>
    <w:rsid w:val="00976CF6"/>
    <w:rsid w:val="00976E92"/>
    <w:rsid w:val="00977E83"/>
    <w:rsid w:val="00981E25"/>
    <w:rsid w:val="00982026"/>
    <w:rsid w:val="00986106"/>
    <w:rsid w:val="00986D02"/>
    <w:rsid w:val="009914C1"/>
    <w:rsid w:val="00992433"/>
    <w:rsid w:val="00993250"/>
    <w:rsid w:val="00993465"/>
    <w:rsid w:val="009961DE"/>
    <w:rsid w:val="009971F2"/>
    <w:rsid w:val="00997F3A"/>
    <w:rsid w:val="009A0856"/>
    <w:rsid w:val="009A0AE8"/>
    <w:rsid w:val="009A18F2"/>
    <w:rsid w:val="009A1A3D"/>
    <w:rsid w:val="009A1B46"/>
    <w:rsid w:val="009A21BC"/>
    <w:rsid w:val="009A26CA"/>
    <w:rsid w:val="009A394F"/>
    <w:rsid w:val="009A4C90"/>
    <w:rsid w:val="009A4DF9"/>
    <w:rsid w:val="009A58E3"/>
    <w:rsid w:val="009A5AF5"/>
    <w:rsid w:val="009A6021"/>
    <w:rsid w:val="009A6A35"/>
    <w:rsid w:val="009A6DBC"/>
    <w:rsid w:val="009A736A"/>
    <w:rsid w:val="009A7484"/>
    <w:rsid w:val="009A7FAB"/>
    <w:rsid w:val="009B0476"/>
    <w:rsid w:val="009B0F87"/>
    <w:rsid w:val="009B12B7"/>
    <w:rsid w:val="009B1757"/>
    <w:rsid w:val="009B1841"/>
    <w:rsid w:val="009B241E"/>
    <w:rsid w:val="009B2CD1"/>
    <w:rsid w:val="009B2D83"/>
    <w:rsid w:val="009B32CF"/>
    <w:rsid w:val="009B470B"/>
    <w:rsid w:val="009B4764"/>
    <w:rsid w:val="009B5C87"/>
    <w:rsid w:val="009B5EAC"/>
    <w:rsid w:val="009B66EA"/>
    <w:rsid w:val="009B72CC"/>
    <w:rsid w:val="009C0B1D"/>
    <w:rsid w:val="009C1FE9"/>
    <w:rsid w:val="009C3259"/>
    <w:rsid w:val="009C4296"/>
    <w:rsid w:val="009C4EF2"/>
    <w:rsid w:val="009C530F"/>
    <w:rsid w:val="009C53AE"/>
    <w:rsid w:val="009C53AF"/>
    <w:rsid w:val="009C69AC"/>
    <w:rsid w:val="009C6E1C"/>
    <w:rsid w:val="009C7C07"/>
    <w:rsid w:val="009D086B"/>
    <w:rsid w:val="009D1B7B"/>
    <w:rsid w:val="009D2C15"/>
    <w:rsid w:val="009D3E4B"/>
    <w:rsid w:val="009D5C8A"/>
    <w:rsid w:val="009D5D7D"/>
    <w:rsid w:val="009D690E"/>
    <w:rsid w:val="009D7220"/>
    <w:rsid w:val="009E141F"/>
    <w:rsid w:val="009E2668"/>
    <w:rsid w:val="009E26A7"/>
    <w:rsid w:val="009E3346"/>
    <w:rsid w:val="009E3B0A"/>
    <w:rsid w:val="009E3FAD"/>
    <w:rsid w:val="009E4064"/>
    <w:rsid w:val="009E41F4"/>
    <w:rsid w:val="009E4C9C"/>
    <w:rsid w:val="009E5F11"/>
    <w:rsid w:val="009E5FA5"/>
    <w:rsid w:val="009E6123"/>
    <w:rsid w:val="009E6301"/>
    <w:rsid w:val="009E6901"/>
    <w:rsid w:val="009F06E9"/>
    <w:rsid w:val="009F0893"/>
    <w:rsid w:val="009F0AFA"/>
    <w:rsid w:val="009F0F0F"/>
    <w:rsid w:val="009F12C6"/>
    <w:rsid w:val="009F15C1"/>
    <w:rsid w:val="009F2E5A"/>
    <w:rsid w:val="009F3E4B"/>
    <w:rsid w:val="009F4E6E"/>
    <w:rsid w:val="009F51B3"/>
    <w:rsid w:val="009F5429"/>
    <w:rsid w:val="009F5904"/>
    <w:rsid w:val="009F5CF4"/>
    <w:rsid w:val="009F5EEB"/>
    <w:rsid w:val="009F60C8"/>
    <w:rsid w:val="009F6395"/>
    <w:rsid w:val="009F6BC9"/>
    <w:rsid w:val="009F6E68"/>
    <w:rsid w:val="009F7087"/>
    <w:rsid w:val="009F7DD2"/>
    <w:rsid w:val="00A01F74"/>
    <w:rsid w:val="00A0363B"/>
    <w:rsid w:val="00A0490C"/>
    <w:rsid w:val="00A04CC4"/>
    <w:rsid w:val="00A06E2A"/>
    <w:rsid w:val="00A10299"/>
    <w:rsid w:val="00A140DB"/>
    <w:rsid w:val="00A14BF9"/>
    <w:rsid w:val="00A15C9E"/>
    <w:rsid w:val="00A15FC0"/>
    <w:rsid w:val="00A16C31"/>
    <w:rsid w:val="00A16F21"/>
    <w:rsid w:val="00A2030F"/>
    <w:rsid w:val="00A20756"/>
    <w:rsid w:val="00A22752"/>
    <w:rsid w:val="00A232E7"/>
    <w:rsid w:val="00A24443"/>
    <w:rsid w:val="00A2446C"/>
    <w:rsid w:val="00A247BC"/>
    <w:rsid w:val="00A24B3E"/>
    <w:rsid w:val="00A24FCC"/>
    <w:rsid w:val="00A25286"/>
    <w:rsid w:val="00A252CB"/>
    <w:rsid w:val="00A26363"/>
    <w:rsid w:val="00A2772B"/>
    <w:rsid w:val="00A3010E"/>
    <w:rsid w:val="00A312CF"/>
    <w:rsid w:val="00A31C1E"/>
    <w:rsid w:val="00A32367"/>
    <w:rsid w:val="00A32A47"/>
    <w:rsid w:val="00A32ADC"/>
    <w:rsid w:val="00A331EE"/>
    <w:rsid w:val="00A33201"/>
    <w:rsid w:val="00A33D4B"/>
    <w:rsid w:val="00A34CBC"/>
    <w:rsid w:val="00A35A06"/>
    <w:rsid w:val="00A35B0B"/>
    <w:rsid w:val="00A36684"/>
    <w:rsid w:val="00A369D6"/>
    <w:rsid w:val="00A36CD8"/>
    <w:rsid w:val="00A36E45"/>
    <w:rsid w:val="00A377E2"/>
    <w:rsid w:val="00A4006C"/>
    <w:rsid w:val="00A40594"/>
    <w:rsid w:val="00A41E53"/>
    <w:rsid w:val="00A420F2"/>
    <w:rsid w:val="00A425E8"/>
    <w:rsid w:val="00A427CD"/>
    <w:rsid w:val="00A443DF"/>
    <w:rsid w:val="00A45D94"/>
    <w:rsid w:val="00A471D1"/>
    <w:rsid w:val="00A507FD"/>
    <w:rsid w:val="00A50DB9"/>
    <w:rsid w:val="00A51D93"/>
    <w:rsid w:val="00A521DA"/>
    <w:rsid w:val="00A5244D"/>
    <w:rsid w:val="00A5278C"/>
    <w:rsid w:val="00A52807"/>
    <w:rsid w:val="00A53930"/>
    <w:rsid w:val="00A53A01"/>
    <w:rsid w:val="00A53E7C"/>
    <w:rsid w:val="00A53F11"/>
    <w:rsid w:val="00A54545"/>
    <w:rsid w:val="00A547FA"/>
    <w:rsid w:val="00A553E0"/>
    <w:rsid w:val="00A55EAB"/>
    <w:rsid w:val="00A568B3"/>
    <w:rsid w:val="00A57804"/>
    <w:rsid w:val="00A57BD0"/>
    <w:rsid w:val="00A605A8"/>
    <w:rsid w:val="00A6077F"/>
    <w:rsid w:val="00A60B98"/>
    <w:rsid w:val="00A6165F"/>
    <w:rsid w:val="00A63D58"/>
    <w:rsid w:val="00A63EEA"/>
    <w:rsid w:val="00A64305"/>
    <w:rsid w:val="00A64B42"/>
    <w:rsid w:val="00A64D22"/>
    <w:rsid w:val="00A659B2"/>
    <w:rsid w:val="00A66377"/>
    <w:rsid w:val="00A66A17"/>
    <w:rsid w:val="00A66B58"/>
    <w:rsid w:val="00A6786C"/>
    <w:rsid w:val="00A67B75"/>
    <w:rsid w:val="00A70682"/>
    <w:rsid w:val="00A713CD"/>
    <w:rsid w:val="00A727F7"/>
    <w:rsid w:val="00A729B1"/>
    <w:rsid w:val="00A72D0B"/>
    <w:rsid w:val="00A72D40"/>
    <w:rsid w:val="00A730FE"/>
    <w:rsid w:val="00A738D7"/>
    <w:rsid w:val="00A7427B"/>
    <w:rsid w:val="00A747F2"/>
    <w:rsid w:val="00A74E6F"/>
    <w:rsid w:val="00A75A94"/>
    <w:rsid w:val="00A75CE4"/>
    <w:rsid w:val="00A75E4A"/>
    <w:rsid w:val="00A76F76"/>
    <w:rsid w:val="00A7759B"/>
    <w:rsid w:val="00A77C14"/>
    <w:rsid w:val="00A80133"/>
    <w:rsid w:val="00A806B0"/>
    <w:rsid w:val="00A8149D"/>
    <w:rsid w:val="00A81893"/>
    <w:rsid w:val="00A81F57"/>
    <w:rsid w:val="00A82EB8"/>
    <w:rsid w:val="00A83112"/>
    <w:rsid w:val="00A84369"/>
    <w:rsid w:val="00A84444"/>
    <w:rsid w:val="00A844E9"/>
    <w:rsid w:val="00A85EFA"/>
    <w:rsid w:val="00A86288"/>
    <w:rsid w:val="00A8669E"/>
    <w:rsid w:val="00A870B9"/>
    <w:rsid w:val="00A8733B"/>
    <w:rsid w:val="00A90591"/>
    <w:rsid w:val="00A9069D"/>
    <w:rsid w:val="00A91B78"/>
    <w:rsid w:val="00A9407C"/>
    <w:rsid w:val="00A94831"/>
    <w:rsid w:val="00A94C4E"/>
    <w:rsid w:val="00A95EA8"/>
    <w:rsid w:val="00A96B89"/>
    <w:rsid w:val="00A96D5B"/>
    <w:rsid w:val="00A978E3"/>
    <w:rsid w:val="00A97F6C"/>
    <w:rsid w:val="00AA169A"/>
    <w:rsid w:val="00AA3E7C"/>
    <w:rsid w:val="00AA3FA4"/>
    <w:rsid w:val="00AA47F3"/>
    <w:rsid w:val="00AA6280"/>
    <w:rsid w:val="00AA7478"/>
    <w:rsid w:val="00AA7552"/>
    <w:rsid w:val="00AA7763"/>
    <w:rsid w:val="00AB0BA7"/>
    <w:rsid w:val="00AB2DB8"/>
    <w:rsid w:val="00AB4862"/>
    <w:rsid w:val="00AB5137"/>
    <w:rsid w:val="00AB5ADF"/>
    <w:rsid w:val="00AB5DA4"/>
    <w:rsid w:val="00AB7A08"/>
    <w:rsid w:val="00AB7E8A"/>
    <w:rsid w:val="00AC050E"/>
    <w:rsid w:val="00AC2347"/>
    <w:rsid w:val="00AC2B0F"/>
    <w:rsid w:val="00AC35D1"/>
    <w:rsid w:val="00AC3632"/>
    <w:rsid w:val="00AC3AC0"/>
    <w:rsid w:val="00AC3CF4"/>
    <w:rsid w:val="00AC3D4B"/>
    <w:rsid w:val="00AC4C44"/>
    <w:rsid w:val="00AC5912"/>
    <w:rsid w:val="00AC5B79"/>
    <w:rsid w:val="00AC6C5E"/>
    <w:rsid w:val="00AC7505"/>
    <w:rsid w:val="00AC7D93"/>
    <w:rsid w:val="00AD01B1"/>
    <w:rsid w:val="00AD037B"/>
    <w:rsid w:val="00AD1A9B"/>
    <w:rsid w:val="00AD1BAE"/>
    <w:rsid w:val="00AD24B7"/>
    <w:rsid w:val="00AD2547"/>
    <w:rsid w:val="00AD3E23"/>
    <w:rsid w:val="00AD404A"/>
    <w:rsid w:val="00AD4612"/>
    <w:rsid w:val="00AD4AE7"/>
    <w:rsid w:val="00AD72F5"/>
    <w:rsid w:val="00AD777D"/>
    <w:rsid w:val="00AD7F1A"/>
    <w:rsid w:val="00AE0DDB"/>
    <w:rsid w:val="00AE0EE1"/>
    <w:rsid w:val="00AE1CE8"/>
    <w:rsid w:val="00AE2415"/>
    <w:rsid w:val="00AE2F62"/>
    <w:rsid w:val="00AE3DC9"/>
    <w:rsid w:val="00AE48B3"/>
    <w:rsid w:val="00AE4D26"/>
    <w:rsid w:val="00AE55E7"/>
    <w:rsid w:val="00AE5D4E"/>
    <w:rsid w:val="00AE5E6C"/>
    <w:rsid w:val="00AE6AD6"/>
    <w:rsid w:val="00AE6C52"/>
    <w:rsid w:val="00AE7F18"/>
    <w:rsid w:val="00AF251F"/>
    <w:rsid w:val="00AF2993"/>
    <w:rsid w:val="00AF42A7"/>
    <w:rsid w:val="00AF5DF2"/>
    <w:rsid w:val="00AF7AEC"/>
    <w:rsid w:val="00B0016B"/>
    <w:rsid w:val="00B00338"/>
    <w:rsid w:val="00B0057B"/>
    <w:rsid w:val="00B014CB"/>
    <w:rsid w:val="00B01926"/>
    <w:rsid w:val="00B0207E"/>
    <w:rsid w:val="00B038AD"/>
    <w:rsid w:val="00B062E3"/>
    <w:rsid w:val="00B06596"/>
    <w:rsid w:val="00B067D7"/>
    <w:rsid w:val="00B10268"/>
    <w:rsid w:val="00B114D2"/>
    <w:rsid w:val="00B12367"/>
    <w:rsid w:val="00B12CC4"/>
    <w:rsid w:val="00B12F27"/>
    <w:rsid w:val="00B14C3E"/>
    <w:rsid w:val="00B14C98"/>
    <w:rsid w:val="00B15A7E"/>
    <w:rsid w:val="00B15EC1"/>
    <w:rsid w:val="00B17DE0"/>
    <w:rsid w:val="00B17E97"/>
    <w:rsid w:val="00B205C3"/>
    <w:rsid w:val="00B2181C"/>
    <w:rsid w:val="00B21A39"/>
    <w:rsid w:val="00B21E11"/>
    <w:rsid w:val="00B22F36"/>
    <w:rsid w:val="00B241F6"/>
    <w:rsid w:val="00B2441C"/>
    <w:rsid w:val="00B30149"/>
    <w:rsid w:val="00B30DA2"/>
    <w:rsid w:val="00B31D2B"/>
    <w:rsid w:val="00B330C4"/>
    <w:rsid w:val="00B3366A"/>
    <w:rsid w:val="00B338B0"/>
    <w:rsid w:val="00B33A94"/>
    <w:rsid w:val="00B33AC9"/>
    <w:rsid w:val="00B33AF5"/>
    <w:rsid w:val="00B34EB1"/>
    <w:rsid w:val="00B356DF"/>
    <w:rsid w:val="00B362C2"/>
    <w:rsid w:val="00B36D22"/>
    <w:rsid w:val="00B378F5"/>
    <w:rsid w:val="00B37B84"/>
    <w:rsid w:val="00B41756"/>
    <w:rsid w:val="00B42496"/>
    <w:rsid w:val="00B43901"/>
    <w:rsid w:val="00B44005"/>
    <w:rsid w:val="00B46CD9"/>
    <w:rsid w:val="00B4714C"/>
    <w:rsid w:val="00B476D3"/>
    <w:rsid w:val="00B47CF8"/>
    <w:rsid w:val="00B47DD3"/>
    <w:rsid w:val="00B47DE3"/>
    <w:rsid w:val="00B47DEA"/>
    <w:rsid w:val="00B503B7"/>
    <w:rsid w:val="00B512B6"/>
    <w:rsid w:val="00B5159A"/>
    <w:rsid w:val="00B517CB"/>
    <w:rsid w:val="00B51CC8"/>
    <w:rsid w:val="00B530EA"/>
    <w:rsid w:val="00B53B93"/>
    <w:rsid w:val="00B550A7"/>
    <w:rsid w:val="00B601DC"/>
    <w:rsid w:val="00B61F2D"/>
    <w:rsid w:val="00B62B66"/>
    <w:rsid w:val="00B6400D"/>
    <w:rsid w:val="00B6422F"/>
    <w:rsid w:val="00B643ED"/>
    <w:rsid w:val="00B64D3C"/>
    <w:rsid w:val="00B654DE"/>
    <w:rsid w:val="00B664F5"/>
    <w:rsid w:val="00B665DC"/>
    <w:rsid w:val="00B66DFE"/>
    <w:rsid w:val="00B67275"/>
    <w:rsid w:val="00B676C2"/>
    <w:rsid w:val="00B67D21"/>
    <w:rsid w:val="00B67E60"/>
    <w:rsid w:val="00B70FF3"/>
    <w:rsid w:val="00B732EF"/>
    <w:rsid w:val="00B73F5D"/>
    <w:rsid w:val="00B7484A"/>
    <w:rsid w:val="00B74B58"/>
    <w:rsid w:val="00B74DAF"/>
    <w:rsid w:val="00B75F2B"/>
    <w:rsid w:val="00B77455"/>
    <w:rsid w:val="00B77AC8"/>
    <w:rsid w:val="00B8126C"/>
    <w:rsid w:val="00B81874"/>
    <w:rsid w:val="00B8279E"/>
    <w:rsid w:val="00B82FC3"/>
    <w:rsid w:val="00B83413"/>
    <w:rsid w:val="00B8432C"/>
    <w:rsid w:val="00B84622"/>
    <w:rsid w:val="00B84784"/>
    <w:rsid w:val="00B84CD3"/>
    <w:rsid w:val="00B8501F"/>
    <w:rsid w:val="00B85945"/>
    <w:rsid w:val="00B85C74"/>
    <w:rsid w:val="00B85DF2"/>
    <w:rsid w:val="00B866BB"/>
    <w:rsid w:val="00B86CA4"/>
    <w:rsid w:val="00B87CC8"/>
    <w:rsid w:val="00B9147C"/>
    <w:rsid w:val="00B91B37"/>
    <w:rsid w:val="00B92935"/>
    <w:rsid w:val="00B92E4F"/>
    <w:rsid w:val="00B94983"/>
    <w:rsid w:val="00B95062"/>
    <w:rsid w:val="00B95556"/>
    <w:rsid w:val="00B95D5F"/>
    <w:rsid w:val="00B96208"/>
    <w:rsid w:val="00B967A5"/>
    <w:rsid w:val="00B96B6B"/>
    <w:rsid w:val="00B9748B"/>
    <w:rsid w:val="00B97BB5"/>
    <w:rsid w:val="00BA0951"/>
    <w:rsid w:val="00BA1265"/>
    <w:rsid w:val="00BA1D09"/>
    <w:rsid w:val="00BA2109"/>
    <w:rsid w:val="00BA2E01"/>
    <w:rsid w:val="00BA3655"/>
    <w:rsid w:val="00BA48A2"/>
    <w:rsid w:val="00BA4CF3"/>
    <w:rsid w:val="00BA5814"/>
    <w:rsid w:val="00BA58B0"/>
    <w:rsid w:val="00BA5D85"/>
    <w:rsid w:val="00BA6360"/>
    <w:rsid w:val="00BA7010"/>
    <w:rsid w:val="00BA77A7"/>
    <w:rsid w:val="00BA7ABC"/>
    <w:rsid w:val="00BB04CE"/>
    <w:rsid w:val="00BB23F5"/>
    <w:rsid w:val="00BB2443"/>
    <w:rsid w:val="00BB25B9"/>
    <w:rsid w:val="00BB26B9"/>
    <w:rsid w:val="00BB3725"/>
    <w:rsid w:val="00BB3A14"/>
    <w:rsid w:val="00BB4C78"/>
    <w:rsid w:val="00BB6239"/>
    <w:rsid w:val="00BB6B0A"/>
    <w:rsid w:val="00BB6BD5"/>
    <w:rsid w:val="00BB6D68"/>
    <w:rsid w:val="00BC296D"/>
    <w:rsid w:val="00BC2A8B"/>
    <w:rsid w:val="00BC2C2A"/>
    <w:rsid w:val="00BC7950"/>
    <w:rsid w:val="00BC7B78"/>
    <w:rsid w:val="00BD0AFF"/>
    <w:rsid w:val="00BD0E86"/>
    <w:rsid w:val="00BD15CD"/>
    <w:rsid w:val="00BD1900"/>
    <w:rsid w:val="00BD3503"/>
    <w:rsid w:val="00BD3DD8"/>
    <w:rsid w:val="00BD4AB1"/>
    <w:rsid w:val="00BD4C23"/>
    <w:rsid w:val="00BD58EF"/>
    <w:rsid w:val="00BD5BC3"/>
    <w:rsid w:val="00BD5E1F"/>
    <w:rsid w:val="00BD68A0"/>
    <w:rsid w:val="00BE03AC"/>
    <w:rsid w:val="00BE114F"/>
    <w:rsid w:val="00BE142C"/>
    <w:rsid w:val="00BE1834"/>
    <w:rsid w:val="00BE20B8"/>
    <w:rsid w:val="00BE279D"/>
    <w:rsid w:val="00BE30D4"/>
    <w:rsid w:val="00BE3862"/>
    <w:rsid w:val="00BE4316"/>
    <w:rsid w:val="00BE5235"/>
    <w:rsid w:val="00BE528A"/>
    <w:rsid w:val="00BE55C8"/>
    <w:rsid w:val="00BE560B"/>
    <w:rsid w:val="00BE5B3F"/>
    <w:rsid w:val="00BE6C14"/>
    <w:rsid w:val="00BE7357"/>
    <w:rsid w:val="00BE74A9"/>
    <w:rsid w:val="00BE794D"/>
    <w:rsid w:val="00BF1014"/>
    <w:rsid w:val="00BF199D"/>
    <w:rsid w:val="00BF284E"/>
    <w:rsid w:val="00BF292E"/>
    <w:rsid w:val="00BF4A9D"/>
    <w:rsid w:val="00BF4ABD"/>
    <w:rsid w:val="00BF5195"/>
    <w:rsid w:val="00BF68E0"/>
    <w:rsid w:val="00BF74D5"/>
    <w:rsid w:val="00BF7DF0"/>
    <w:rsid w:val="00C00E35"/>
    <w:rsid w:val="00C02C83"/>
    <w:rsid w:val="00C03515"/>
    <w:rsid w:val="00C0440B"/>
    <w:rsid w:val="00C04463"/>
    <w:rsid w:val="00C04B85"/>
    <w:rsid w:val="00C05DBD"/>
    <w:rsid w:val="00C06777"/>
    <w:rsid w:val="00C06810"/>
    <w:rsid w:val="00C07368"/>
    <w:rsid w:val="00C10A45"/>
    <w:rsid w:val="00C11575"/>
    <w:rsid w:val="00C1223D"/>
    <w:rsid w:val="00C12470"/>
    <w:rsid w:val="00C13A94"/>
    <w:rsid w:val="00C140A0"/>
    <w:rsid w:val="00C1469C"/>
    <w:rsid w:val="00C151E4"/>
    <w:rsid w:val="00C15573"/>
    <w:rsid w:val="00C15703"/>
    <w:rsid w:val="00C15A02"/>
    <w:rsid w:val="00C16C70"/>
    <w:rsid w:val="00C16D54"/>
    <w:rsid w:val="00C17FB2"/>
    <w:rsid w:val="00C2038A"/>
    <w:rsid w:val="00C20623"/>
    <w:rsid w:val="00C21274"/>
    <w:rsid w:val="00C230D6"/>
    <w:rsid w:val="00C23864"/>
    <w:rsid w:val="00C24960"/>
    <w:rsid w:val="00C24E65"/>
    <w:rsid w:val="00C2539A"/>
    <w:rsid w:val="00C27A41"/>
    <w:rsid w:val="00C27EE9"/>
    <w:rsid w:val="00C31370"/>
    <w:rsid w:val="00C31A46"/>
    <w:rsid w:val="00C31E62"/>
    <w:rsid w:val="00C31FA0"/>
    <w:rsid w:val="00C329AD"/>
    <w:rsid w:val="00C35E64"/>
    <w:rsid w:val="00C36F19"/>
    <w:rsid w:val="00C377EE"/>
    <w:rsid w:val="00C37FC3"/>
    <w:rsid w:val="00C40179"/>
    <w:rsid w:val="00C410E5"/>
    <w:rsid w:val="00C41C10"/>
    <w:rsid w:val="00C420A4"/>
    <w:rsid w:val="00C42639"/>
    <w:rsid w:val="00C4283D"/>
    <w:rsid w:val="00C4547D"/>
    <w:rsid w:val="00C4552F"/>
    <w:rsid w:val="00C47998"/>
    <w:rsid w:val="00C47E91"/>
    <w:rsid w:val="00C47EDE"/>
    <w:rsid w:val="00C50B0C"/>
    <w:rsid w:val="00C5146B"/>
    <w:rsid w:val="00C52B8D"/>
    <w:rsid w:val="00C53099"/>
    <w:rsid w:val="00C53971"/>
    <w:rsid w:val="00C54C76"/>
    <w:rsid w:val="00C55C97"/>
    <w:rsid w:val="00C5609C"/>
    <w:rsid w:val="00C6003D"/>
    <w:rsid w:val="00C602A7"/>
    <w:rsid w:val="00C60326"/>
    <w:rsid w:val="00C60D7E"/>
    <w:rsid w:val="00C6114E"/>
    <w:rsid w:val="00C62594"/>
    <w:rsid w:val="00C63543"/>
    <w:rsid w:val="00C64B4A"/>
    <w:rsid w:val="00C66E0B"/>
    <w:rsid w:val="00C6742B"/>
    <w:rsid w:val="00C67CBD"/>
    <w:rsid w:val="00C7084C"/>
    <w:rsid w:val="00C735B8"/>
    <w:rsid w:val="00C73672"/>
    <w:rsid w:val="00C74D54"/>
    <w:rsid w:val="00C75583"/>
    <w:rsid w:val="00C75A5F"/>
    <w:rsid w:val="00C75DA0"/>
    <w:rsid w:val="00C76AC8"/>
    <w:rsid w:val="00C778C0"/>
    <w:rsid w:val="00C77F80"/>
    <w:rsid w:val="00C825F7"/>
    <w:rsid w:val="00C82612"/>
    <w:rsid w:val="00C82841"/>
    <w:rsid w:val="00C82BB3"/>
    <w:rsid w:val="00C8304D"/>
    <w:rsid w:val="00C839AC"/>
    <w:rsid w:val="00C83D19"/>
    <w:rsid w:val="00C83F5D"/>
    <w:rsid w:val="00C853C9"/>
    <w:rsid w:val="00C85622"/>
    <w:rsid w:val="00C862F0"/>
    <w:rsid w:val="00C86501"/>
    <w:rsid w:val="00C8666E"/>
    <w:rsid w:val="00C869DD"/>
    <w:rsid w:val="00C90445"/>
    <w:rsid w:val="00C90FDD"/>
    <w:rsid w:val="00C910BE"/>
    <w:rsid w:val="00C91174"/>
    <w:rsid w:val="00C91C28"/>
    <w:rsid w:val="00C9268E"/>
    <w:rsid w:val="00C92D96"/>
    <w:rsid w:val="00C9349B"/>
    <w:rsid w:val="00C936B2"/>
    <w:rsid w:val="00C946B0"/>
    <w:rsid w:val="00C94915"/>
    <w:rsid w:val="00C94932"/>
    <w:rsid w:val="00C96C43"/>
    <w:rsid w:val="00C96D2A"/>
    <w:rsid w:val="00CA0D1D"/>
    <w:rsid w:val="00CA10B3"/>
    <w:rsid w:val="00CA1438"/>
    <w:rsid w:val="00CA15C1"/>
    <w:rsid w:val="00CA21D6"/>
    <w:rsid w:val="00CA27F7"/>
    <w:rsid w:val="00CA2E6F"/>
    <w:rsid w:val="00CA3370"/>
    <w:rsid w:val="00CA34E3"/>
    <w:rsid w:val="00CA3798"/>
    <w:rsid w:val="00CA38F2"/>
    <w:rsid w:val="00CA4F46"/>
    <w:rsid w:val="00CA5B0F"/>
    <w:rsid w:val="00CA5B2E"/>
    <w:rsid w:val="00CA639C"/>
    <w:rsid w:val="00CA6422"/>
    <w:rsid w:val="00CA64EB"/>
    <w:rsid w:val="00CA661B"/>
    <w:rsid w:val="00CA6E46"/>
    <w:rsid w:val="00CA763F"/>
    <w:rsid w:val="00CB04AC"/>
    <w:rsid w:val="00CB10B7"/>
    <w:rsid w:val="00CB2940"/>
    <w:rsid w:val="00CB4067"/>
    <w:rsid w:val="00CB443B"/>
    <w:rsid w:val="00CB4682"/>
    <w:rsid w:val="00CB5F42"/>
    <w:rsid w:val="00CC03F2"/>
    <w:rsid w:val="00CC0878"/>
    <w:rsid w:val="00CC0F33"/>
    <w:rsid w:val="00CC1172"/>
    <w:rsid w:val="00CC1604"/>
    <w:rsid w:val="00CC183C"/>
    <w:rsid w:val="00CC18E0"/>
    <w:rsid w:val="00CC40F9"/>
    <w:rsid w:val="00CC4120"/>
    <w:rsid w:val="00CC4616"/>
    <w:rsid w:val="00CC479C"/>
    <w:rsid w:val="00CC4819"/>
    <w:rsid w:val="00CC5523"/>
    <w:rsid w:val="00CC56A0"/>
    <w:rsid w:val="00CC5712"/>
    <w:rsid w:val="00CC5931"/>
    <w:rsid w:val="00CC708E"/>
    <w:rsid w:val="00CC76F0"/>
    <w:rsid w:val="00CD047A"/>
    <w:rsid w:val="00CD1D59"/>
    <w:rsid w:val="00CD1EA5"/>
    <w:rsid w:val="00CD29ED"/>
    <w:rsid w:val="00CD3529"/>
    <w:rsid w:val="00CD3B10"/>
    <w:rsid w:val="00CD4EA7"/>
    <w:rsid w:val="00CD6FFD"/>
    <w:rsid w:val="00CD7458"/>
    <w:rsid w:val="00CD7E85"/>
    <w:rsid w:val="00CE144C"/>
    <w:rsid w:val="00CE18FE"/>
    <w:rsid w:val="00CE2F93"/>
    <w:rsid w:val="00CE3D3F"/>
    <w:rsid w:val="00CE49AB"/>
    <w:rsid w:val="00CE4C9F"/>
    <w:rsid w:val="00CE4FE4"/>
    <w:rsid w:val="00CE5DDD"/>
    <w:rsid w:val="00CE7B7D"/>
    <w:rsid w:val="00CF044A"/>
    <w:rsid w:val="00CF045C"/>
    <w:rsid w:val="00CF1520"/>
    <w:rsid w:val="00CF16A2"/>
    <w:rsid w:val="00CF1AF3"/>
    <w:rsid w:val="00CF1CE3"/>
    <w:rsid w:val="00CF2532"/>
    <w:rsid w:val="00CF2AB6"/>
    <w:rsid w:val="00CF2D9D"/>
    <w:rsid w:val="00CF31EE"/>
    <w:rsid w:val="00CF33B1"/>
    <w:rsid w:val="00CF41A2"/>
    <w:rsid w:val="00CF4D7B"/>
    <w:rsid w:val="00CF51E7"/>
    <w:rsid w:val="00CF6A7D"/>
    <w:rsid w:val="00CF7BCD"/>
    <w:rsid w:val="00CF7D75"/>
    <w:rsid w:val="00D00545"/>
    <w:rsid w:val="00D01397"/>
    <w:rsid w:val="00D03566"/>
    <w:rsid w:val="00D0386C"/>
    <w:rsid w:val="00D04007"/>
    <w:rsid w:val="00D04555"/>
    <w:rsid w:val="00D04E10"/>
    <w:rsid w:val="00D06C73"/>
    <w:rsid w:val="00D07015"/>
    <w:rsid w:val="00D07061"/>
    <w:rsid w:val="00D07E01"/>
    <w:rsid w:val="00D07F30"/>
    <w:rsid w:val="00D11390"/>
    <w:rsid w:val="00D1255A"/>
    <w:rsid w:val="00D125E4"/>
    <w:rsid w:val="00D12BAB"/>
    <w:rsid w:val="00D12EA6"/>
    <w:rsid w:val="00D13E11"/>
    <w:rsid w:val="00D140E4"/>
    <w:rsid w:val="00D14AB3"/>
    <w:rsid w:val="00D14BCD"/>
    <w:rsid w:val="00D15459"/>
    <w:rsid w:val="00D157F5"/>
    <w:rsid w:val="00D16097"/>
    <w:rsid w:val="00D16160"/>
    <w:rsid w:val="00D16B10"/>
    <w:rsid w:val="00D174FE"/>
    <w:rsid w:val="00D202DB"/>
    <w:rsid w:val="00D207E2"/>
    <w:rsid w:val="00D22F13"/>
    <w:rsid w:val="00D24040"/>
    <w:rsid w:val="00D24BBC"/>
    <w:rsid w:val="00D24F5C"/>
    <w:rsid w:val="00D2573F"/>
    <w:rsid w:val="00D25E85"/>
    <w:rsid w:val="00D26832"/>
    <w:rsid w:val="00D26BFB"/>
    <w:rsid w:val="00D26E59"/>
    <w:rsid w:val="00D273C2"/>
    <w:rsid w:val="00D27F1D"/>
    <w:rsid w:val="00D3027E"/>
    <w:rsid w:val="00D30329"/>
    <w:rsid w:val="00D3220F"/>
    <w:rsid w:val="00D33038"/>
    <w:rsid w:val="00D33275"/>
    <w:rsid w:val="00D3361A"/>
    <w:rsid w:val="00D34084"/>
    <w:rsid w:val="00D347D4"/>
    <w:rsid w:val="00D35894"/>
    <w:rsid w:val="00D370F9"/>
    <w:rsid w:val="00D37147"/>
    <w:rsid w:val="00D3735E"/>
    <w:rsid w:val="00D3759A"/>
    <w:rsid w:val="00D41F16"/>
    <w:rsid w:val="00D423C8"/>
    <w:rsid w:val="00D42BFE"/>
    <w:rsid w:val="00D43980"/>
    <w:rsid w:val="00D4422C"/>
    <w:rsid w:val="00D4499A"/>
    <w:rsid w:val="00D458BD"/>
    <w:rsid w:val="00D46450"/>
    <w:rsid w:val="00D468D3"/>
    <w:rsid w:val="00D4702A"/>
    <w:rsid w:val="00D504A6"/>
    <w:rsid w:val="00D50DCC"/>
    <w:rsid w:val="00D51CF8"/>
    <w:rsid w:val="00D52105"/>
    <w:rsid w:val="00D524EA"/>
    <w:rsid w:val="00D52511"/>
    <w:rsid w:val="00D52E67"/>
    <w:rsid w:val="00D530BF"/>
    <w:rsid w:val="00D53AE6"/>
    <w:rsid w:val="00D545DE"/>
    <w:rsid w:val="00D54F78"/>
    <w:rsid w:val="00D55C09"/>
    <w:rsid w:val="00D55D10"/>
    <w:rsid w:val="00D55E52"/>
    <w:rsid w:val="00D57550"/>
    <w:rsid w:val="00D575AE"/>
    <w:rsid w:val="00D60AB2"/>
    <w:rsid w:val="00D618B7"/>
    <w:rsid w:val="00D6247B"/>
    <w:rsid w:val="00D62C4B"/>
    <w:rsid w:val="00D642EE"/>
    <w:rsid w:val="00D65176"/>
    <w:rsid w:val="00D651C0"/>
    <w:rsid w:val="00D66283"/>
    <w:rsid w:val="00D664DC"/>
    <w:rsid w:val="00D70424"/>
    <w:rsid w:val="00D70ACA"/>
    <w:rsid w:val="00D70C16"/>
    <w:rsid w:val="00D71D97"/>
    <w:rsid w:val="00D72D5E"/>
    <w:rsid w:val="00D735AB"/>
    <w:rsid w:val="00D751A0"/>
    <w:rsid w:val="00D75EA1"/>
    <w:rsid w:val="00D75FB0"/>
    <w:rsid w:val="00D769E5"/>
    <w:rsid w:val="00D76C3D"/>
    <w:rsid w:val="00D770D9"/>
    <w:rsid w:val="00D77431"/>
    <w:rsid w:val="00D7794F"/>
    <w:rsid w:val="00D77F4E"/>
    <w:rsid w:val="00D801E8"/>
    <w:rsid w:val="00D80B7B"/>
    <w:rsid w:val="00D80C06"/>
    <w:rsid w:val="00D8155C"/>
    <w:rsid w:val="00D8218B"/>
    <w:rsid w:val="00D8251B"/>
    <w:rsid w:val="00D82FCF"/>
    <w:rsid w:val="00D8310D"/>
    <w:rsid w:val="00D8336F"/>
    <w:rsid w:val="00D83496"/>
    <w:rsid w:val="00D8541B"/>
    <w:rsid w:val="00D85480"/>
    <w:rsid w:val="00D85EFF"/>
    <w:rsid w:val="00D86DC0"/>
    <w:rsid w:val="00D872A3"/>
    <w:rsid w:val="00D87414"/>
    <w:rsid w:val="00D87DF1"/>
    <w:rsid w:val="00D90350"/>
    <w:rsid w:val="00D91BA7"/>
    <w:rsid w:val="00D9231A"/>
    <w:rsid w:val="00D92FCB"/>
    <w:rsid w:val="00D93084"/>
    <w:rsid w:val="00D93984"/>
    <w:rsid w:val="00D93C8D"/>
    <w:rsid w:val="00D9439F"/>
    <w:rsid w:val="00D94483"/>
    <w:rsid w:val="00D96C43"/>
    <w:rsid w:val="00D976EF"/>
    <w:rsid w:val="00DA0E4A"/>
    <w:rsid w:val="00DA1FFC"/>
    <w:rsid w:val="00DA2460"/>
    <w:rsid w:val="00DA2B37"/>
    <w:rsid w:val="00DA3AFF"/>
    <w:rsid w:val="00DA4638"/>
    <w:rsid w:val="00DA558F"/>
    <w:rsid w:val="00DA5C82"/>
    <w:rsid w:val="00DA69BA"/>
    <w:rsid w:val="00DA6AB0"/>
    <w:rsid w:val="00DA7177"/>
    <w:rsid w:val="00DA7324"/>
    <w:rsid w:val="00DB11A8"/>
    <w:rsid w:val="00DB1B78"/>
    <w:rsid w:val="00DB60F5"/>
    <w:rsid w:val="00DB67D3"/>
    <w:rsid w:val="00DB7EB8"/>
    <w:rsid w:val="00DB7F03"/>
    <w:rsid w:val="00DC04DA"/>
    <w:rsid w:val="00DC101B"/>
    <w:rsid w:val="00DC110B"/>
    <w:rsid w:val="00DC1F47"/>
    <w:rsid w:val="00DC2385"/>
    <w:rsid w:val="00DC2AD2"/>
    <w:rsid w:val="00DC2C9F"/>
    <w:rsid w:val="00DC480B"/>
    <w:rsid w:val="00DC4C59"/>
    <w:rsid w:val="00DC57BB"/>
    <w:rsid w:val="00DC60A8"/>
    <w:rsid w:val="00DC6518"/>
    <w:rsid w:val="00DC67DF"/>
    <w:rsid w:val="00DC6A54"/>
    <w:rsid w:val="00DC7423"/>
    <w:rsid w:val="00DD0F66"/>
    <w:rsid w:val="00DD1551"/>
    <w:rsid w:val="00DD26E4"/>
    <w:rsid w:val="00DD303C"/>
    <w:rsid w:val="00DD389E"/>
    <w:rsid w:val="00DD3A11"/>
    <w:rsid w:val="00DD466E"/>
    <w:rsid w:val="00DD486A"/>
    <w:rsid w:val="00DD49D5"/>
    <w:rsid w:val="00DD638C"/>
    <w:rsid w:val="00DD789C"/>
    <w:rsid w:val="00DD7B2A"/>
    <w:rsid w:val="00DD7D40"/>
    <w:rsid w:val="00DE0584"/>
    <w:rsid w:val="00DE4B84"/>
    <w:rsid w:val="00DE4C62"/>
    <w:rsid w:val="00DE4FA9"/>
    <w:rsid w:val="00DE51B3"/>
    <w:rsid w:val="00DE5654"/>
    <w:rsid w:val="00DE5C34"/>
    <w:rsid w:val="00DE5C38"/>
    <w:rsid w:val="00DE70E2"/>
    <w:rsid w:val="00DF0C91"/>
    <w:rsid w:val="00DF20B6"/>
    <w:rsid w:val="00DF2E62"/>
    <w:rsid w:val="00DF3896"/>
    <w:rsid w:val="00DF3CA1"/>
    <w:rsid w:val="00DF481C"/>
    <w:rsid w:val="00DF4BEF"/>
    <w:rsid w:val="00DF4EAE"/>
    <w:rsid w:val="00DF5A9D"/>
    <w:rsid w:val="00DF5C0D"/>
    <w:rsid w:val="00DF67B0"/>
    <w:rsid w:val="00DF70F5"/>
    <w:rsid w:val="00DF735D"/>
    <w:rsid w:val="00DF748D"/>
    <w:rsid w:val="00DF7D65"/>
    <w:rsid w:val="00E00707"/>
    <w:rsid w:val="00E014BB"/>
    <w:rsid w:val="00E01CF8"/>
    <w:rsid w:val="00E01E0B"/>
    <w:rsid w:val="00E0279D"/>
    <w:rsid w:val="00E02983"/>
    <w:rsid w:val="00E03784"/>
    <w:rsid w:val="00E039A5"/>
    <w:rsid w:val="00E03F5F"/>
    <w:rsid w:val="00E04D28"/>
    <w:rsid w:val="00E05C9A"/>
    <w:rsid w:val="00E05DF6"/>
    <w:rsid w:val="00E07376"/>
    <w:rsid w:val="00E1045D"/>
    <w:rsid w:val="00E10D29"/>
    <w:rsid w:val="00E10E05"/>
    <w:rsid w:val="00E1114F"/>
    <w:rsid w:val="00E112B3"/>
    <w:rsid w:val="00E11909"/>
    <w:rsid w:val="00E11F59"/>
    <w:rsid w:val="00E12128"/>
    <w:rsid w:val="00E135CB"/>
    <w:rsid w:val="00E1382E"/>
    <w:rsid w:val="00E14ADB"/>
    <w:rsid w:val="00E153F8"/>
    <w:rsid w:val="00E1684A"/>
    <w:rsid w:val="00E175E1"/>
    <w:rsid w:val="00E1794F"/>
    <w:rsid w:val="00E209DA"/>
    <w:rsid w:val="00E21124"/>
    <w:rsid w:val="00E22531"/>
    <w:rsid w:val="00E23024"/>
    <w:rsid w:val="00E242A6"/>
    <w:rsid w:val="00E24BB1"/>
    <w:rsid w:val="00E26CF9"/>
    <w:rsid w:val="00E278A7"/>
    <w:rsid w:val="00E3020C"/>
    <w:rsid w:val="00E30DDC"/>
    <w:rsid w:val="00E31BDE"/>
    <w:rsid w:val="00E3224F"/>
    <w:rsid w:val="00E3372F"/>
    <w:rsid w:val="00E337B2"/>
    <w:rsid w:val="00E33ABF"/>
    <w:rsid w:val="00E33BF3"/>
    <w:rsid w:val="00E34B91"/>
    <w:rsid w:val="00E351F0"/>
    <w:rsid w:val="00E37DB1"/>
    <w:rsid w:val="00E40991"/>
    <w:rsid w:val="00E41E9F"/>
    <w:rsid w:val="00E41FF0"/>
    <w:rsid w:val="00E42908"/>
    <w:rsid w:val="00E42C61"/>
    <w:rsid w:val="00E4368A"/>
    <w:rsid w:val="00E43FB1"/>
    <w:rsid w:val="00E441D3"/>
    <w:rsid w:val="00E44569"/>
    <w:rsid w:val="00E44DA9"/>
    <w:rsid w:val="00E46650"/>
    <w:rsid w:val="00E46871"/>
    <w:rsid w:val="00E471C6"/>
    <w:rsid w:val="00E472D1"/>
    <w:rsid w:val="00E50E27"/>
    <w:rsid w:val="00E513C3"/>
    <w:rsid w:val="00E51897"/>
    <w:rsid w:val="00E5200D"/>
    <w:rsid w:val="00E52804"/>
    <w:rsid w:val="00E52D9A"/>
    <w:rsid w:val="00E52FAB"/>
    <w:rsid w:val="00E5332B"/>
    <w:rsid w:val="00E53B6F"/>
    <w:rsid w:val="00E55630"/>
    <w:rsid w:val="00E55B08"/>
    <w:rsid w:val="00E55EED"/>
    <w:rsid w:val="00E566EB"/>
    <w:rsid w:val="00E5689C"/>
    <w:rsid w:val="00E5745B"/>
    <w:rsid w:val="00E610D7"/>
    <w:rsid w:val="00E62C13"/>
    <w:rsid w:val="00E63CF7"/>
    <w:rsid w:val="00E647EF"/>
    <w:rsid w:val="00E6744F"/>
    <w:rsid w:val="00E678B0"/>
    <w:rsid w:val="00E70F1D"/>
    <w:rsid w:val="00E714FB"/>
    <w:rsid w:val="00E7210E"/>
    <w:rsid w:val="00E722D4"/>
    <w:rsid w:val="00E723A6"/>
    <w:rsid w:val="00E72471"/>
    <w:rsid w:val="00E74F39"/>
    <w:rsid w:val="00E751DB"/>
    <w:rsid w:val="00E75414"/>
    <w:rsid w:val="00E75660"/>
    <w:rsid w:val="00E76FE3"/>
    <w:rsid w:val="00E77C92"/>
    <w:rsid w:val="00E81524"/>
    <w:rsid w:val="00E82244"/>
    <w:rsid w:val="00E82477"/>
    <w:rsid w:val="00E82E09"/>
    <w:rsid w:val="00E847E7"/>
    <w:rsid w:val="00E84834"/>
    <w:rsid w:val="00E848AD"/>
    <w:rsid w:val="00E84BDA"/>
    <w:rsid w:val="00E852E8"/>
    <w:rsid w:val="00E85746"/>
    <w:rsid w:val="00E85B03"/>
    <w:rsid w:val="00E8698D"/>
    <w:rsid w:val="00E86CEA"/>
    <w:rsid w:val="00E86E37"/>
    <w:rsid w:val="00E87ED7"/>
    <w:rsid w:val="00E87FCB"/>
    <w:rsid w:val="00E908D7"/>
    <w:rsid w:val="00E90B45"/>
    <w:rsid w:val="00E910B2"/>
    <w:rsid w:val="00E94317"/>
    <w:rsid w:val="00E94322"/>
    <w:rsid w:val="00E9479A"/>
    <w:rsid w:val="00E950F2"/>
    <w:rsid w:val="00E95731"/>
    <w:rsid w:val="00E95E02"/>
    <w:rsid w:val="00E96D0F"/>
    <w:rsid w:val="00EA0583"/>
    <w:rsid w:val="00EA4D51"/>
    <w:rsid w:val="00EA61E1"/>
    <w:rsid w:val="00EA6243"/>
    <w:rsid w:val="00EA7230"/>
    <w:rsid w:val="00EA7358"/>
    <w:rsid w:val="00EA7CE6"/>
    <w:rsid w:val="00EB040F"/>
    <w:rsid w:val="00EB0497"/>
    <w:rsid w:val="00EB04C9"/>
    <w:rsid w:val="00EB13E7"/>
    <w:rsid w:val="00EB225F"/>
    <w:rsid w:val="00EB24E4"/>
    <w:rsid w:val="00EB2551"/>
    <w:rsid w:val="00EB2D3B"/>
    <w:rsid w:val="00EB2D5D"/>
    <w:rsid w:val="00EB2F60"/>
    <w:rsid w:val="00EB3FD8"/>
    <w:rsid w:val="00EB4CB5"/>
    <w:rsid w:val="00EB5E8B"/>
    <w:rsid w:val="00EB66D8"/>
    <w:rsid w:val="00EB6C50"/>
    <w:rsid w:val="00EB6FF2"/>
    <w:rsid w:val="00EB7EFD"/>
    <w:rsid w:val="00EC0115"/>
    <w:rsid w:val="00EC0738"/>
    <w:rsid w:val="00EC07A7"/>
    <w:rsid w:val="00EC0889"/>
    <w:rsid w:val="00EC0D1E"/>
    <w:rsid w:val="00EC0DA0"/>
    <w:rsid w:val="00EC18D4"/>
    <w:rsid w:val="00EC1D97"/>
    <w:rsid w:val="00EC1EBB"/>
    <w:rsid w:val="00EC1ED7"/>
    <w:rsid w:val="00EC4E94"/>
    <w:rsid w:val="00EC6770"/>
    <w:rsid w:val="00ED1A73"/>
    <w:rsid w:val="00ED1C96"/>
    <w:rsid w:val="00ED2986"/>
    <w:rsid w:val="00ED316A"/>
    <w:rsid w:val="00ED506E"/>
    <w:rsid w:val="00ED5E50"/>
    <w:rsid w:val="00ED6A34"/>
    <w:rsid w:val="00ED76CE"/>
    <w:rsid w:val="00ED7D28"/>
    <w:rsid w:val="00EE0D92"/>
    <w:rsid w:val="00EE2E52"/>
    <w:rsid w:val="00EE4639"/>
    <w:rsid w:val="00EE4808"/>
    <w:rsid w:val="00EE4BF0"/>
    <w:rsid w:val="00EE60D6"/>
    <w:rsid w:val="00EE635A"/>
    <w:rsid w:val="00EE6804"/>
    <w:rsid w:val="00EE6CFE"/>
    <w:rsid w:val="00EE7206"/>
    <w:rsid w:val="00EE74C3"/>
    <w:rsid w:val="00EF0307"/>
    <w:rsid w:val="00EF08D0"/>
    <w:rsid w:val="00EF1931"/>
    <w:rsid w:val="00EF19B7"/>
    <w:rsid w:val="00EF1E7A"/>
    <w:rsid w:val="00EF2613"/>
    <w:rsid w:val="00EF29EA"/>
    <w:rsid w:val="00EF3B82"/>
    <w:rsid w:val="00EF4C38"/>
    <w:rsid w:val="00EF4ED2"/>
    <w:rsid w:val="00EF68E8"/>
    <w:rsid w:val="00EF6C1D"/>
    <w:rsid w:val="00EF6DA0"/>
    <w:rsid w:val="00EF7F35"/>
    <w:rsid w:val="00F004ED"/>
    <w:rsid w:val="00F006DE"/>
    <w:rsid w:val="00F0132C"/>
    <w:rsid w:val="00F016BD"/>
    <w:rsid w:val="00F03A33"/>
    <w:rsid w:val="00F0528A"/>
    <w:rsid w:val="00F05AE6"/>
    <w:rsid w:val="00F05BDD"/>
    <w:rsid w:val="00F05EF5"/>
    <w:rsid w:val="00F0664F"/>
    <w:rsid w:val="00F06EA8"/>
    <w:rsid w:val="00F07626"/>
    <w:rsid w:val="00F07BDA"/>
    <w:rsid w:val="00F07F0E"/>
    <w:rsid w:val="00F07F29"/>
    <w:rsid w:val="00F10A14"/>
    <w:rsid w:val="00F10B0C"/>
    <w:rsid w:val="00F10DE3"/>
    <w:rsid w:val="00F10ED6"/>
    <w:rsid w:val="00F12477"/>
    <w:rsid w:val="00F128E1"/>
    <w:rsid w:val="00F14050"/>
    <w:rsid w:val="00F144C2"/>
    <w:rsid w:val="00F1469E"/>
    <w:rsid w:val="00F14969"/>
    <w:rsid w:val="00F14DA2"/>
    <w:rsid w:val="00F15708"/>
    <w:rsid w:val="00F21351"/>
    <w:rsid w:val="00F21CF4"/>
    <w:rsid w:val="00F22029"/>
    <w:rsid w:val="00F223BB"/>
    <w:rsid w:val="00F226ED"/>
    <w:rsid w:val="00F22734"/>
    <w:rsid w:val="00F22E69"/>
    <w:rsid w:val="00F24F7B"/>
    <w:rsid w:val="00F25B3F"/>
    <w:rsid w:val="00F26113"/>
    <w:rsid w:val="00F276C7"/>
    <w:rsid w:val="00F305EF"/>
    <w:rsid w:val="00F30C14"/>
    <w:rsid w:val="00F30E6E"/>
    <w:rsid w:val="00F3272C"/>
    <w:rsid w:val="00F32D4C"/>
    <w:rsid w:val="00F32E30"/>
    <w:rsid w:val="00F334B0"/>
    <w:rsid w:val="00F3373D"/>
    <w:rsid w:val="00F3387A"/>
    <w:rsid w:val="00F33AAC"/>
    <w:rsid w:val="00F341B8"/>
    <w:rsid w:val="00F34225"/>
    <w:rsid w:val="00F34833"/>
    <w:rsid w:val="00F3536E"/>
    <w:rsid w:val="00F35434"/>
    <w:rsid w:val="00F3578A"/>
    <w:rsid w:val="00F36BB0"/>
    <w:rsid w:val="00F36BD8"/>
    <w:rsid w:val="00F40323"/>
    <w:rsid w:val="00F40FBA"/>
    <w:rsid w:val="00F41129"/>
    <w:rsid w:val="00F41699"/>
    <w:rsid w:val="00F42B7F"/>
    <w:rsid w:val="00F42D7A"/>
    <w:rsid w:val="00F433FD"/>
    <w:rsid w:val="00F43D25"/>
    <w:rsid w:val="00F45322"/>
    <w:rsid w:val="00F4646E"/>
    <w:rsid w:val="00F46785"/>
    <w:rsid w:val="00F4697D"/>
    <w:rsid w:val="00F46E30"/>
    <w:rsid w:val="00F4708C"/>
    <w:rsid w:val="00F509FE"/>
    <w:rsid w:val="00F50A88"/>
    <w:rsid w:val="00F5157A"/>
    <w:rsid w:val="00F517A3"/>
    <w:rsid w:val="00F521B8"/>
    <w:rsid w:val="00F52497"/>
    <w:rsid w:val="00F53192"/>
    <w:rsid w:val="00F53374"/>
    <w:rsid w:val="00F540FC"/>
    <w:rsid w:val="00F547E5"/>
    <w:rsid w:val="00F54DD0"/>
    <w:rsid w:val="00F560D6"/>
    <w:rsid w:val="00F5774D"/>
    <w:rsid w:val="00F57EC6"/>
    <w:rsid w:val="00F57ED2"/>
    <w:rsid w:val="00F61A34"/>
    <w:rsid w:val="00F6288A"/>
    <w:rsid w:val="00F62A8A"/>
    <w:rsid w:val="00F62B93"/>
    <w:rsid w:val="00F63160"/>
    <w:rsid w:val="00F634CC"/>
    <w:rsid w:val="00F6405B"/>
    <w:rsid w:val="00F64334"/>
    <w:rsid w:val="00F644DC"/>
    <w:rsid w:val="00F649D3"/>
    <w:rsid w:val="00F64A53"/>
    <w:rsid w:val="00F65A68"/>
    <w:rsid w:val="00F65EFD"/>
    <w:rsid w:val="00F666F1"/>
    <w:rsid w:val="00F668AC"/>
    <w:rsid w:val="00F66F1B"/>
    <w:rsid w:val="00F66F98"/>
    <w:rsid w:val="00F6700E"/>
    <w:rsid w:val="00F67B8E"/>
    <w:rsid w:val="00F700C6"/>
    <w:rsid w:val="00F71BB2"/>
    <w:rsid w:val="00F72787"/>
    <w:rsid w:val="00F72F51"/>
    <w:rsid w:val="00F7306F"/>
    <w:rsid w:val="00F742C6"/>
    <w:rsid w:val="00F74356"/>
    <w:rsid w:val="00F74C5F"/>
    <w:rsid w:val="00F75950"/>
    <w:rsid w:val="00F75B8A"/>
    <w:rsid w:val="00F760EE"/>
    <w:rsid w:val="00F76724"/>
    <w:rsid w:val="00F76871"/>
    <w:rsid w:val="00F7779A"/>
    <w:rsid w:val="00F80714"/>
    <w:rsid w:val="00F8097F"/>
    <w:rsid w:val="00F81A74"/>
    <w:rsid w:val="00F82167"/>
    <w:rsid w:val="00F82797"/>
    <w:rsid w:val="00F82AA8"/>
    <w:rsid w:val="00F832D4"/>
    <w:rsid w:val="00F84F55"/>
    <w:rsid w:val="00F85690"/>
    <w:rsid w:val="00F85A48"/>
    <w:rsid w:val="00F86A34"/>
    <w:rsid w:val="00F8728C"/>
    <w:rsid w:val="00F91536"/>
    <w:rsid w:val="00F924E5"/>
    <w:rsid w:val="00F930F5"/>
    <w:rsid w:val="00F93DB8"/>
    <w:rsid w:val="00F94661"/>
    <w:rsid w:val="00F9572D"/>
    <w:rsid w:val="00F962B1"/>
    <w:rsid w:val="00F974D4"/>
    <w:rsid w:val="00F97E77"/>
    <w:rsid w:val="00FA00A9"/>
    <w:rsid w:val="00FA0A34"/>
    <w:rsid w:val="00FA1716"/>
    <w:rsid w:val="00FA1DB0"/>
    <w:rsid w:val="00FA1E69"/>
    <w:rsid w:val="00FA20F4"/>
    <w:rsid w:val="00FA2C2F"/>
    <w:rsid w:val="00FA36BA"/>
    <w:rsid w:val="00FA50BB"/>
    <w:rsid w:val="00FA51D4"/>
    <w:rsid w:val="00FA73A8"/>
    <w:rsid w:val="00FA7C94"/>
    <w:rsid w:val="00FB039A"/>
    <w:rsid w:val="00FB092D"/>
    <w:rsid w:val="00FB0E0B"/>
    <w:rsid w:val="00FB0F34"/>
    <w:rsid w:val="00FB19F1"/>
    <w:rsid w:val="00FB2267"/>
    <w:rsid w:val="00FB2609"/>
    <w:rsid w:val="00FB2AA7"/>
    <w:rsid w:val="00FB2B2A"/>
    <w:rsid w:val="00FB2D00"/>
    <w:rsid w:val="00FB31CD"/>
    <w:rsid w:val="00FB31E7"/>
    <w:rsid w:val="00FB3E22"/>
    <w:rsid w:val="00FB3F12"/>
    <w:rsid w:val="00FB46A7"/>
    <w:rsid w:val="00FB4BBB"/>
    <w:rsid w:val="00FB51AD"/>
    <w:rsid w:val="00FB7776"/>
    <w:rsid w:val="00FC0F1C"/>
    <w:rsid w:val="00FC1686"/>
    <w:rsid w:val="00FC2C30"/>
    <w:rsid w:val="00FC2CC9"/>
    <w:rsid w:val="00FC3858"/>
    <w:rsid w:val="00FC3E6B"/>
    <w:rsid w:val="00FC4105"/>
    <w:rsid w:val="00FC4D5C"/>
    <w:rsid w:val="00FC5515"/>
    <w:rsid w:val="00FC584C"/>
    <w:rsid w:val="00FC5858"/>
    <w:rsid w:val="00FC5B62"/>
    <w:rsid w:val="00FC72F8"/>
    <w:rsid w:val="00FC7496"/>
    <w:rsid w:val="00FD0548"/>
    <w:rsid w:val="00FD19AB"/>
    <w:rsid w:val="00FD21CB"/>
    <w:rsid w:val="00FD2592"/>
    <w:rsid w:val="00FD2841"/>
    <w:rsid w:val="00FD2A6A"/>
    <w:rsid w:val="00FD2B72"/>
    <w:rsid w:val="00FD2F87"/>
    <w:rsid w:val="00FD3887"/>
    <w:rsid w:val="00FD5887"/>
    <w:rsid w:val="00FD63FE"/>
    <w:rsid w:val="00FD6952"/>
    <w:rsid w:val="00FD6D80"/>
    <w:rsid w:val="00FD6F95"/>
    <w:rsid w:val="00FD7754"/>
    <w:rsid w:val="00FE1EA1"/>
    <w:rsid w:val="00FE2682"/>
    <w:rsid w:val="00FE349D"/>
    <w:rsid w:val="00FE38C1"/>
    <w:rsid w:val="00FE3F56"/>
    <w:rsid w:val="00FE4311"/>
    <w:rsid w:val="00FE4965"/>
    <w:rsid w:val="00FE4CF4"/>
    <w:rsid w:val="00FF0233"/>
    <w:rsid w:val="00FF0BA0"/>
    <w:rsid w:val="00FF2571"/>
    <w:rsid w:val="00FF2713"/>
    <w:rsid w:val="00FF4E51"/>
    <w:rsid w:val="00FF4F8A"/>
    <w:rsid w:val="00FF555A"/>
    <w:rsid w:val="00FF6391"/>
    <w:rsid w:val="00FF6EF2"/>
    <w:rsid w:val="00FF6FD7"/>
    <w:rsid w:val="00FF7CCF"/>
    <w:rsid w:val="00FF7C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90484"/>
  <w15:chartTrackingRefBased/>
  <w15:docId w15:val="{8ECF3BBA-0245-4E4E-962A-538E7DD5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7709"/>
    <w:pPr>
      <w:spacing w:after="0" w:line="276" w:lineRule="auto"/>
    </w:pPr>
    <w:rPr>
      <w:rFonts w:ascii="Times New Roman" w:eastAsia="DengXian" w:hAnsi="Times New Roman" w:cs="Times New Roman"/>
      <w:kern w:val="0"/>
      <w:sz w:val="22"/>
      <w:szCs w:val="22"/>
      <w:lang w:val="en-US"/>
      <w14:ligatures w14:val="none"/>
    </w:rPr>
  </w:style>
  <w:style w:type="paragraph" w:styleId="1">
    <w:name w:val="heading 1"/>
    <w:basedOn w:val="a"/>
    <w:next w:val="a"/>
    <w:link w:val="10"/>
    <w:uiPriority w:val="9"/>
    <w:qFormat/>
    <w:rsid w:val="00096943"/>
    <w:pPr>
      <w:keepNext/>
      <w:keepLines/>
      <w:spacing w:before="400" w:after="120"/>
      <w:outlineLvl w:val="0"/>
    </w:pPr>
    <w:rPr>
      <w:sz w:val="40"/>
      <w:szCs w:val="40"/>
    </w:rPr>
  </w:style>
  <w:style w:type="paragraph" w:styleId="2">
    <w:name w:val="heading 2"/>
    <w:basedOn w:val="a"/>
    <w:next w:val="a"/>
    <w:link w:val="20"/>
    <w:uiPriority w:val="9"/>
    <w:unhideWhenUsed/>
    <w:qFormat/>
    <w:rsid w:val="00721DC9"/>
    <w:pPr>
      <w:keepNext/>
      <w:keepLines/>
      <w:spacing w:before="360" w:after="120"/>
      <w:outlineLvl w:val="1"/>
    </w:pPr>
    <w:rPr>
      <w:sz w:val="32"/>
      <w:szCs w:val="32"/>
    </w:rPr>
  </w:style>
  <w:style w:type="paragraph" w:styleId="3">
    <w:name w:val="heading 3"/>
    <w:basedOn w:val="2"/>
    <w:next w:val="a"/>
    <w:link w:val="30"/>
    <w:uiPriority w:val="9"/>
    <w:unhideWhenUsed/>
    <w:qFormat/>
    <w:rsid w:val="0089787B"/>
    <w:pPr>
      <w:spacing w:before="0" w:after="0"/>
      <w:outlineLvl w:val="2"/>
    </w:pPr>
    <w:rPr>
      <w:i/>
      <w:iCs/>
      <w:sz w:val="22"/>
      <w:szCs w:val="22"/>
    </w:rPr>
  </w:style>
  <w:style w:type="paragraph" w:styleId="4">
    <w:name w:val="heading 4"/>
    <w:basedOn w:val="a"/>
    <w:next w:val="a"/>
    <w:link w:val="40"/>
    <w:uiPriority w:val="9"/>
    <w:unhideWhenUsed/>
    <w:qFormat/>
    <w:rsid w:val="00A75A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75A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75A9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5A9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5A9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5A9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943"/>
    <w:rPr>
      <w:rFonts w:ascii="Times New Roman" w:eastAsia="DengXian" w:hAnsi="Times New Roman" w:cs="Times New Roman"/>
      <w:kern w:val="0"/>
      <w:sz w:val="40"/>
      <w:szCs w:val="40"/>
      <w:lang w:val="en-US"/>
      <w14:ligatures w14:val="none"/>
    </w:rPr>
  </w:style>
  <w:style w:type="character" w:customStyle="1" w:styleId="20">
    <w:name w:val="标题 2 字符"/>
    <w:basedOn w:val="a0"/>
    <w:link w:val="2"/>
    <w:uiPriority w:val="9"/>
    <w:rsid w:val="00721DC9"/>
    <w:rPr>
      <w:rFonts w:ascii="Times New Roman" w:eastAsia="DengXian" w:hAnsi="Times New Roman" w:cs="Times New Roman"/>
      <w:kern w:val="0"/>
      <w:sz w:val="32"/>
      <w:szCs w:val="32"/>
      <w:lang w:val="en-US"/>
      <w14:ligatures w14:val="none"/>
    </w:rPr>
  </w:style>
  <w:style w:type="character" w:customStyle="1" w:styleId="30">
    <w:name w:val="标题 3 字符"/>
    <w:basedOn w:val="a0"/>
    <w:link w:val="3"/>
    <w:uiPriority w:val="9"/>
    <w:rsid w:val="0089787B"/>
    <w:rPr>
      <w:rFonts w:ascii="Times New Roman" w:eastAsia="DengXian" w:hAnsi="Times New Roman" w:cs="Times New Roman"/>
      <w:i/>
      <w:iCs/>
      <w:kern w:val="0"/>
      <w:sz w:val="22"/>
      <w:szCs w:val="22"/>
      <w:lang w:val="en-US"/>
      <w14:ligatures w14:val="none"/>
    </w:rPr>
  </w:style>
  <w:style w:type="character" w:customStyle="1" w:styleId="40">
    <w:name w:val="标题 4 字符"/>
    <w:basedOn w:val="a0"/>
    <w:link w:val="4"/>
    <w:uiPriority w:val="9"/>
    <w:rsid w:val="00A75A94"/>
    <w:rPr>
      <w:rFonts w:eastAsiaTheme="majorEastAsia" w:cstheme="majorBidi"/>
      <w:i/>
      <w:iCs/>
      <w:color w:val="2F5496" w:themeColor="accent1" w:themeShade="BF"/>
    </w:rPr>
  </w:style>
  <w:style w:type="character" w:customStyle="1" w:styleId="50">
    <w:name w:val="标题 5 字符"/>
    <w:basedOn w:val="a0"/>
    <w:link w:val="5"/>
    <w:uiPriority w:val="9"/>
    <w:semiHidden/>
    <w:rsid w:val="00A75A94"/>
    <w:rPr>
      <w:rFonts w:eastAsiaTheme="majorEastAsia" w:cstheme="majorBidi"/>
      <w:color w:val="2F5496" w:themeColor="accent1" w:themeShade="BF"/>
    </w:rPr>
  </w:style>
  <w:style w:type="character" w:customStyle="1" w:styleId="60">
    <w:name w:val="标题 6 字符"/>
    <w:basedOn w:val="a0"/>
    <w:link w:val="6"/>
    <w:uiPriority w:val="9"/>
    <w:semiHidden/>
    <w:rsid w:val="00A75A94"/>
    <w:rPr>
      <w:rFonts w:eastAsiaTheme="majorEastAsia" w:cstheme="majorBidi"/>
      <w:i/>
      <w:iCs/>
      <w:color w:val="595959" w:themeColor="text1" w:themeTint="A6"/>
    </w:rPr>
  </w:style>
  <w:style w:type="character" w:customStyle="1" w:styleId="70">
    <w:name w:val="标题 7 字符"/>
    <w:basedOn w:val="a0"/>
    <w:link w:val="7"/>
    <w:uiPriority w:val="9"/>
    <w:semiHidden/>
    <w:rsid w:val="00A75A94"/>
    <w:rPr>
      <w:rFonts w:eastAsiaTheme="majorEastAsia" w:cstheme="majorBidi"/>
      <w:color w:val="595959" w:themeColor="text1" w:themeTint="A6"/>
    </w:rPr>
  </w:style>
  <w:style w:type="character" w:customStyle="1" w:styleId="80">
    <w:name w:val="标题 8 字符"/>
    <w:basedOn w:val="a0"/>
    <w:link w:val="8"/>
    <w:uiPriority w:val="9"/>
    <w:semiHidden/>
    <w:rsid w:val="00A75A94"/>
    <w:rPr>
      <w:rFonts w:eastAsiaTheme="majorEastAsia" w:cstheme="majorBidi"/>
      <w:i/>
      <w:iCs/>
      <w:color w:val="272727" w:themeColor="text1" w:themeTint="D8"/>
    </w:rPr>
  </w:style>
  <w:style w:type="character" w:customStyle="1" w:styleId="90">
    <w:name w:val="标题 9 字符"/>
    <w:basedOn w:val="a0"/>
    <w:link w:val="9"/>
    <w:uiPriority w:val="9"/>
    <w:semiHidden/>
    <w:rsid w:val="00A75A94"/>
    <w:rPr>
      <w:rFonts w:eastAsiaTheme="majorEastAsia" w:cstheme="majorBidi"/>
      <w:color w:val="272727" w:themeColor="text1" w:themeTint="D8"/>
    </w:rPr>
  </w:style>
  <w:style w:type="paragraph" w:styleId="a3">
    <w:name w:val="Title"/>
    <w:basedOn w:val="a"/>
    <w:next w:val="a"/>
    <w:link w:val="a4"/>
    <w:uiPriority w:val="10"/>
    <w:qFormat/>
    <w:rsid w:val="00A75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5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A9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75A9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75A94"/>
    <w:pPr>
      <w:spacing w:before="160"/>
      <w:jc w:val="center"/>
    </w:pPr>
    <w:rPr>
      <w:i/>
      <w:iCs/>
      <w:color w:val="404040" w:themeColor="text1" w:themeTint="BF"/>
    </w:rPr>
  </w:style>
  <w:style w:type="character" w:customStyle="1" w:styleId="a8">
    <w:name w:val="引用 字符"/>
    <w:basedOn w:val="a0"/>
    <w:link w:val="a7"/>
    <w:uiPriority w:val="29"/>
    <w:rsid w:val="00A75A94"/>
    <w:rPr>
      <w:i/>
      <w:iCs/>
      <w:color w:val="404040" w:themeColor="text1" w:themeTint="BF"/>
    </w:rPr>
  </w:style>
  <w:style w:type="paragraph" w:styleId="a9">
    <w:name w:val="List Paragraph"/>
    <w:basedOn w:val="a"/>
    <w:uiPriority w:val="34"/>
    <w:qFormat/>
    <w:rsid w:val="00A75A94"/>
    <w:pPr>
      <w:ind w:left="720"/>
      <w:contextualSpacing/>
    </w:pPr>
  </w:style>
  <w:style w:type="character" w:styleId="aa">
    <w:name w:val="Intense Emphasis"/>
    <w:basedOn w:val="a0"/>
    <w:uiPriority w:val="21"/>
    <w:qFormat/>
    <w:rsid w:val="00A75A94"/>
    <w:rPr>
      <w:i/>
      <w:iCs/>
      <w:color w:val="2F5496" w:themeColor="accent1" w:themeShade="BF"/>
    </w:rPr>
  </w:style>
  <w:style w:type="paragraph" w:styleId="ab">
    <w:name w:val="Intense Quote"/>
    <w:basedOn w:val="a"/>
    <w:next w:val="a"/>
    <w:link w:val="ac"/>
    <w:uiPriority w:val="30"/>
    <w:qFormat/>
    <w:rsid w:val="00A75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5A94"/>
    <w:rPr>
      <w:i/>
      <w:iCs/>
      <w:color w:val="2F5496" w:themeColor="accent1" w:themeShade="BF"/>
    </w:rPr>
  </w:style>
  <w:style w:type="character" w:styleId="ad">
    <w:name w:val="Intense Reference"/>
    <w:basedOn w:val="a0"/>
    <w:uiPriority w:val="32"/>
    <w:qFormat/>
    <w:rsid w:val="00A75A94"/>
    <w:rPr>
      <w:b/>
      <w:bCs/>
      <w:smallCaps/>
      <w:color w:val="2F5496" w:themeColor="accent1" w:themeShade="BF"/>
      <w:spacing w:val="5"/>
    </w:rPr>
  </w:style>
  <w:style w:type="paragraph" w:styleId="ae">
    <w:name w:val="Normal (Web)"/>
    <w:basedOn w:val="a"/>
    <w:uiPriority w:val="99"/>
    <w:unhideWhenUsed/>
    <w:rsid w:val="00683BD0"/>
    <w:pPr>
      <w:spacing w:before="100" w:beforeAutospacing="1" w:after="100" w:afterAutospacing="1" w:line="240" w:lineRule="auto"/>
    </w:pPr>
    <w:rPr>
      <w:rFonts w:eastAsia="Times New Roman"/>
    </w:rPr>
  </w:style>
  <w:style w:type="character" w:styleId="af">
    <w:name w:val="Strong"/>
    <w:basedOn w:val="a0"/>
    <w:uiPriority w:val="22"/>
    <w:qFormat/>
    <w:rsid w:val="00683BD0"/>
    <w:rPr>
      <w:b/>
      <w:bCs/>
    </w:rPr>
  </w:style>
  <w:style w:type="character" w:styleId="af0">
    <w:name w:val="Emphasis"/>
    <w:basedOn w:val="a0"/>
    <w:uiPriority w:val="20"/>
    <w:qFormat/>
    <w:rsid w:val="00683BD0"/>
    <w:rPr>
      <w:i/>
      <w:iCs/>
    </w:rPr>
  </w:style>
  <w:style w:type="character" w:styleId="HTML">
    <w:name w:val="HTML Code"/>
    <w:basedOn w:val="a0"/>
    <w:uiPriority w:val="99"/>
    <w:semiHidden/>
    <w:unhideWhenUsed/>
    <w:rsid w:val="00683BD0"/>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8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1">
    <w:name w:val="HTML 预设格式 字符"/>
    <w:basedOn w:val="a0"/>
    <w:link w:val="HTML0"/>
    <w:uiPriority w:val="99"/>
    <w:semiHidden/>
    <w:rsid w:val="00683BD0"/>
    <w:rPr>
      <w:rFonts w:ascii="Courier New" w:eastAsia="Times New Roman" w:hAnsi="Courier New" w:cs="Courier New"/>
      <w:kern w:val="0"/>
      <w:sz w:val="20"/>
      <w:szCs w:val="20"/>
      <w14:ligatures w14:val="none"/>
    </w:rPr>
  </w:style>
  <w:style w:type="paragraph" w:customStyle="1" w:styleId="whitespace-normal">
    <w:name w:val="whitespace-normal"/>
    <w:basedOn w:val="a"/>
    <w:rsid w:val="00AB7A08"/>
    <w:pPr>
      <w:spacing w:before="100" w:beforeAutospacing="1" w:after="100" w:afterAutospacing="1" w:line="240" w:lineRule="auto"/>
    </w:pPr>
    <w:rPr>
      <w:rFonts w:eastAsia="Times New Roman"/>
    </w:rPr>
  </w:style>
  <w:style w:type="paragraph" w:styleId="af1">
    <w:name w:val="header"/>
    <w:basedOn w:val="a"/>
    <w:link w:val="af2"/>
    <w:uiPriority w:val="99"/>
    <w:unhideWhenUsed/>
    <w:rsid w:val="004D18B2"/>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4D18B2"/>
    <w:rPr>
      <w:rFonts w:ascii="Times New Roman" w:eastAsia="DengXian" w:hAnsi="Times New Roman" w:cs="Times New Roman"/>
      <w:kern w:val="0"/>
      <w:sz w:val="18"/>
      <w:szCs w:val="18"/>
      <w:lang w:val="en-US"/>
      <w14:ligatures w14:val="none"/>
    </w:rPr>
  </w:style>
  <w:style w:type="paragraph" w:styleId="af3">
    <w:name w:val="footer"/>
    <w:basedOn w:val="a"/>
    <w:link w:val="af4"/>
    <w:uiPriority w:val="99"/>
    <w:unhideWhenUsed/>
    <w:rsid w:val="004D18B2"/>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4D18B2"/>
    <w:rPr>
      <w:rFonts w:ascii="Times New Roman" w:eastAsia="DengXian" w:hAnsi="Times New Roman" w:cs="Times New Roman"/>
      <w:kern w:val="0"/>
      <w:sz w:val="18"/>
      <w:szCs w:val="18"/>
      <w:lang w:val="en-US"/>
      <w14:ligatures w14:val="none"/>
    </w:rPr>
  </w:style>
  <w:style w:type="character" w:styleId="af5">
    <w:name w:val="annotation reference"/>
    <w:basedOn w:val="a0"/>
    <w:uiPriority w:val="99"/>
    <w:semiHidden/>
    <w:unhideWhenUsed/>
    <w:rsid w:val="0089787B"/>
    <w:rPr>
      <w:sz w:val="21"/>
      <w:szCs w:val="21"/>
    </w:rPr>
  </w:style>
  <w:style w:type="paragraph" w:styleId="af6">
    <w:name w:val="annotation text"/>
    <w:basedOn w:val="a"/>
    <w:link w:val="af7"/>
    <w:uiPriority w:val="99"/>
    <w:unhideWhenUsed/>
    <w:rsid w:val="0089787B"/>
  </w:style>
  <w:style w:type="character" w:customStyle="1" w:styleId="af7">
    <w:name w:val="批注文字 字符"/>
    <w:basedOn w:val="a0"/>
    <w:link w:val="af6"/>
    <w:uiPriority w:val="99"/>
    <w:rsid w:val="0089787B"/>
    <w:rPr>
      <w:rFonts w:ascii="Times New Roman" w:eastAsia="DengXian" w:hAnsi="Times New Roman" w:cs="Times New Roman"/>
      <w:kern w:val="0"/>
      <w:sz w:val="22"/>
      <w:szCs w:val="22"/>
      <w:lang w:val="en-US"/>
      <w14:ligatures w14:val="none"/>
    </w:rPr>
  </w:style>
  <w:style w:type="paragraph" w:styleId="af8">
    <w:name w:val="annotation subject"/>
    <w:basedOn w:val="af6"/>
    <w:next w:val="af6"/>
    <w:link w:val="af9"/>
    <w:uiPriority w:val="99"/>
    <w:semiHidden/>
    <w:unhideWhenUsed/>
    <w:rsid w:val="0089787B"/>
    <w:rPr>
      <w:b/>
      <w:bCs/>
    </w:rPr>
  </w:style>
  <w:style w:type="character" w:customStyle="1" w:styleId="af9">
    <w:name w:val="批注主题 字符"/>
    <w:basedOn w:val="af7"/>
    <w:link w:val="af8"/>
    <w:uiPriority w:val="99"/>
    <w:semiHidden/>
    <w:rsid w:val="0089787B"/>
    <w:rPr>
      <w:rFonts w:ascii="Times New Roman" w:eastAsia="DengXian" w:hAnsi="Times New Roman" w:cs="Times New Roman"/>
      <w:b/>
      <w:bCs/>
      <w:kern w:val="0"/>
      <w:sz w:val="22"/>
      <w:szCs w:val="22"/>
      <w:lang w:val="en-US"/>
      <w14:ligatures w14:val="none"/>
    </w:rPr>
  </w:style>
  <w:style w:type="paragraph" w:styleId="afa">
    <w:name w:val="No Spacing"/>
    <w:uiPriority w:val="1"/>
    <w:qFormat/>
    <w:rsid w:val="00BB3725"/>
    <w:pPr>
      <w:spacing w:after="0" w:line="240" w:lineRule="auto"/>
    </w:pPr>
    <w:rPr>
      <w:rFonts w:ascii="Times New Roman" w:eastAsia="DengXian" w:hAnsi="Times New Roman" w:cs="Times New Roman"/>
      <w:kern w:val="0"/>
      <w:sz w:val="22"/>
      <w:szCs w:val="22"/>
      <w:lang w:val="en-US"/>
      <w14:ligatures w14:val="none"/>
    </w:rPr>
  </w:style>
  <w:style w:type="paragraph" w:styleId="afb">
    <w:name w:val="Bibliography"/>
    <w:basedOn w:val="a"/>
    <w:next w:val="a"/>
    <w:uiPriority w:val="37"/>
    <w:unhideWhenUsed/>
    <w:rsid w:val="00895A6A"/>
    <w:pPr>
      <w:spacing w:line="480" w:lineRule="auto"/>
      <w:ind w:left="720" w:hanging="720"/>
    </w:pPr>
  </w:style>
  <w:style w:type="paragraph" w:styleId="afc">
    <w:name w:val="Revision"/>
    <w:hidden/>
    <w:uiPriority w:val="99"/>
    <w:semiHidden/>
    <w:rsid w:val="00650353"/>
    <w:pPr>
      <w:spacing w:after="0" w:line="240" w:lineRule="auto"/>
    </w:pPr>
    <w:rPr>
      <w:rFonts w:ascii="Times New Roman" w:eastAsia="DengXian" w:hAnsi="Times New Roman" w:cs="Times New Roman"/>
      <w:kern w:val="0"/>
      <w:sz w:val="22"/>
      <w:szCs w:val="22"/>
      <w:lang w:val="en-US"/>
      <w14:ligatures w14:val="none"/>
    </w:rPr>
  </w:style>
  <w:style w:type="paragraph" w:styleId="afd">
    <w:name w:val="footnote text"/>
    <w:basedOn w:val="a"/>
    <w:link w:val="afe"/>
    <w:uiPriority w:val="99"/>
    <w:unhideWhenUsed/>
    <w:rsid w:val="003A7F6A"/>
    <w:pPr>
      <w:snapToGrid w:val="0"/>
    </w:pPr>
    <w:rPr>
      <w:sz w:val="18"/>
      <w:szCs w:val="18"/>
    </w:rPr>
  </w:style>
  <w:style w:type="character" w:customStyle="1" w:styleId="afe">
    <w:name w:val="脚注文本 字符"/>
    <w:basedOn w:val="a0"/>
    <w:link w:val="afd"/>
    <w:uiPriority w:val="99"/>
    <w:rsid w:val="003A7F6A"/>
    <w:rPr>
      <w:rFonts w:ascii="Times New Roman" w:eastAsia="DengXian" w:hAnsi="Times New Roman" w:cs="Times New Roman"/>
      <w:kern w:val="0"/>
      <w:sz w:val="18"/>
      <w:szCs w:val="18"/>
      <w:lang w:val="en-US"/>
      <w14:ligatures w14:val="none"/>
    </w:rPr>
  </w:style>
  <w:style w:type="character" w:styleId="aff">
    <w:name w:val="footnote reference"/>
    <w:basedOn w:val="a0"/>
    <w:uiPriority w:val="99"/>
    <w:semiHidden/>
    <w:unhideWhenUsed/>
    <w:rsid w:val="003A7F6A"/>
    <w:rPr>
      <w:vertAlign w:val="superscript"/>
    </w:rPr>
  </w:style>
  <w:style w:type="character" w:styleId="aff0">
    <w:name w:val="endnote reference"/>
    <w:basedOn w:val="a0"/>
    <w:uiPriority w:val="99"/>
    <w:semiHidden/>
    <w:unhideWhenUsed/>
    <w:rsid w:val="003F0BDC"/>
    <w:rPr>
      <w:vertAlign w:val="superscript"/>
    </w:rPr>
  </w:style>
  <w:style w:type="paragraph" w:customStyle="1" w:styleId="msonormal0">
    <w:name w:val="msonormal"/>
    <w:basedOn w:val="a"/>
    <w:rsid w:val="0049271D"/>
    <w:pPr>
      <w:spacing w:before="100" w:beforeAutospacing="1" w:after="100" w:afterAutospacing="1" w:line="240" w:lineRule="auto"/>
    </w:pPr>
    <w:rPr>
      <w:rFonts w:ascii="宋体" w:eastAsia="宋体" w:hAnsi="宋体" w:cs="宋体"/>
      <w:sz w:val="24"/>
      <w:szCs w:val="24"/>
    </w:rPr>
  </w:style>
  <w:style w:type="character" w:styleId="aff1">
    <w:name w:val="Placeholder Text"/>
    <w:basedOn w:val="a0"/>
    <w:uiPriority w:val="99"/>
    <w:semiHidden/>
    <w:rsid w:val="005F51B7"/>
    <w:rPr>
      <w:color w:val="666666"/>
    </w:rPr>
  </w:style>
  <w:style w:type="table" w:styleId="aff2">
    <w:name w:val="Table Grid"/>
    <w:basedOn w:val="a1"/>
    <w:uiPriority w:val="39"/>
    <w:rsid w:val="00C85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Hyperlink"/>
    <w:basedOn w:val="a0"/>
    <w:uiPriority w:val="99"/>
    <w:semiHidden/>
    <w:unhideWhenUsed/>
    <w:rsid w:val="00D8310D"/>
    <w:rPr>
      <w:color w:val="0000FF"/>
      <w:u w:val="single"/>
    </w:rPr>
  </w:style>
  <w:style w:type="character" w:styleId="aff4">
    <w:name w:val="FollowedHyperlink"/>
    <w:basedOn w:val="a0"/>
    <w:uiPriority w:val="99"/>
    <w:semiHidden/>
    <w:unhideWhenUsed/>
    <w:rsid w:val="007A20FC"/>
    <w:rPr>
      <w:color w:val="954F72" w:themeColor="followedHyperlink"/>
      <w:u w:val="single"/>
    </w:rPr>
  </w:style>
  <w:style w:type="paragraph" w:customStyle="1" w:styleId="font-claude-response-body">
    <w:name w:val="font-claude-response-body"/>
    <w:basedOn w:val="a"/>
    <w:rsid w:val="001B228E"/>
    <w:pPr>
      <w:spacing w:before="100" w:beforeAutospacing="1" w:after="100" w:afterAutospacing="1" w:line="240" w:lineRule="auto"/>
    </w:pPr>
    <w:rPr>
      <w:rFonts w:ascii="宋体" w:eastAsia="宋体" w:hAnsi="宋体" w:cs="宋体"/>
      <w:sz w:val="24"/>
      <w:szCs w:val="24"/>
    </w:rPr>
  </w:style>
  <w:style w:type="paragraph" w:customStyle="1" w:styleId="is-empty">
    <w:name w:val="is-empty"/>
    <w:basedOn w:val="a"/>
    <w:rsid w:val="001B228E"/>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735D26-6C91-BA43-8A94-9290E85EA535}">
  <we:reference id="wa200010453" version="1.0.0.1" store="en-US" storeType="OMEX"/>
  <we:alternateReferences>
    <we:reference id="wa200010453" version="1.0.0.1" store="en-US" storeType="OMEX"/>
  </we:alternateReferences>
  <we:properties>
    <we:property name="claude.fileId" value="&quot;4f150158-abe3-41eb-a954-cbaa2ad3a4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C45C2D3718F54BAB3ADEDEFD74F7A9" ma:contentTypeVersion="18" ma:contentTypeDescription="Create a new document." ma:contentTypeScope="" ma:versionID="52467f36d33058867f936523ba01ed10">
  <xsd:schema xmlns:xsd="http://www.w3.org/2001/XMLSchema" xmlns:xs="http://www.w3.org/2001/XMLSchema" xmlns:p="http://schemas.microsoft.com/office/2006/metadata/properties" xmlns:ns3="3cf70596-38dc-4ce6-9278-e0d86146bab3" xmlns:ns4="84f0b3bb-4423-4810-93fe-3a204a1dc552" targetNamespace="http://schemas.microsoft.com/office/2006/metadata/properties" ma:root="true" ma:fieldsID="84346fc7004c3c7887802658c9f1a30f" ns3:_="" ns4:_="">
    <xsd:import namespace="3cf70596-38dc-4ce6-9278-e0d86146bab3"/>
    <xsd:import namespace="84f0b3bb-4423-4810-93fe-3a204a1dc55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70596-38dc-4ce6-9278-e0d86146b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f0b3bb-4423-4810-93fe-3a204a1dc55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cf70596-38dc-4ce6-9278-e0d86146bab3" xsi:nil="true"/>
  </documentManagement>
</p:properties>
</file>

<file path=customXml/itemProps1.xml><?xml version="1.0" encoding="utf-8"?>
<ds:datastoreItem xmlns:ds="http://schemas.openxmlformats.org/officeDocument/2006/customXml" ds:itemID="{567B59D7-131D-4C70-B4CC-CC1500E5A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70596-38dc-4ce6-9278-e0d86146bab3"/>
    <ds:schemaRef ds:uri="84f0b3bb-4423-4810-93fe-3a204a1dc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54526A-0988-4C48-A834-B2F9C7F46E55}">
  <ds:schemaRefs>
    <ds:schemaRef ds:uri="http://schemas.openxmlformats.org/officeDocument/2006/bibliography"/>
  </ds:schemaRefs>
</ds:datastoreItem>
</file>

<file path=customXml/itemProps3.xml><?xml version="1.0" encoding="utf-8"?>
<ds:datastoreItem xmlns:ds="http://schemas.openxmlformats.org/officeDocument/2006/customXml" ds:itemID="{E3105A13-4FCA-4E78-AF53-CE17F4E2AAE5}">
  <ds:schemaRefs>
    <ds:schemaRef ds:uri="http://schemas.microsoft.com/sharepoint/v3/contenttype/forms"/>
  </ds:schemaRefs>
</ds:datastoreItem>
</file>

<file path=customXml/itemProps4.xml><?xml version="1.0" encoding="utf-8"?>
<ds:datastoreItem xmlns:ds="http://schemas.openxmlformats.org/officeDocument/2006/customXml" ds:itemID="{FF2142BF-C147-4080-B770-63959A968E88}">
  <ds:schemaRefs>
    <ds:schemaRef ds:uri="http://schemas.microsoft.com/office/2006/metadata/properties"/>
    <ds:schemaRef ds:uri="http://schemas.microsoft.com/office/infopath/2007/PartnerControls"/>
    <ds:schemaRef ds:uri="3cf70596-38dc-4ce6-9278-e0d86146bab3"/>
  </ds:schemaRefs>
</ds:datastoreItem>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Normal.dotm</Template>
  <TotalTime>1131</TotalTime>
  <Pages>47</Pages>
  <Words>51579</Words>
  <Characters>294003</Characters>
  <Application>Microsoft Office Word</Application>
  <DocSecurity>0</DocSecurity>
  <Lines>2450</Lines>
  <Paragraphs>689</Paragraphs>
  <ScaleCrop>false</ScaleCrop>
  <Company/>
  <LinksUpToDate>false</LinksUpToDate>
  <CharactersWithSpaces>344893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SHERLOCK H. (Student)</dc:creator>
  <cp:keywords/>
  <dc:description/>
  <cp:lastModifiedBy>昊然 石</cp:lastModifiedBy>
  <cp:revision>1357</cp:revision>
  <cp:lastPrinted>2026-02-01T11:56:00Z</cp:lastPrinted>
  <dcterms:created xsi:type="dcterms:W3CDTF">2026-08-20T10:08:00Z</dcterms:created>
  <dcterms:modified xsi:type="dcterms:W3CDTF">2026-08-24T10:31:00Z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0x01010095C45C2D3718F54BAB3ADEDEFD74F7A9</vt:lpwstr>
  </property>
  <property fmtid="{D5CDD505-2E9C-101B-9397-08002B2CF9AE}" pid="3" name="ZOTERO_PREF_1">
    <vt:lpwstr>&lt;data data-version="3" zotero-version="9.0.6"&gt;&lt;session id="7OQJ0wb5"/&gt;&lt;style id="http://www.zotero.org/styles/apa" locale="en-US" hasBibliography="1" bibliographyStyleHasBeenSet="1"/&gt;&lt;prefs&gt;&lt;pref name="fieldType" value="Field"/&gt;&lt;/prefs&gt;&lt;/data&gt;</vt:lpwstr>
  </property>
  <property fmtid="{D5CDD505-2E9C-101B-9397-08002B2CF9AE}" pid="4" name="ZOTERO_PREF_2">
    <vt:lpwstr/>
  </property>
</Properties>
</file>