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Collateral Valuation Report - CUST-006</w:t>
      </w:r>
    </w:p>
    <w:p>
      <w:r>
        <w:t>Collateral Type: Restaurant equipment</w:t>
      </w:r>
    </w:p>
    <w:p>
      <w:r>
        <w:t>Estimated Market Value: USD 70,000</w:t>
      </w:r>
    </w:p>
    <w:p>
      <w:r>
        <w:t>Requested Loan Amount: USD 45,000</w:t>
      </w:r>
    </w:p>
    <w:p>
      <w:r>
        <w:t>Calculated LTV: 64.3%</w:t>
      </w:r>
    </w:p>
    <w:p>
      <w:r>
        <w:t>Valuation Exception: None</w:t>
      </w:r>
    </w:p>
    <w:p>
      <w:r>
        <w:t>Independent valuation recommended for high-risk borrowers or unusual collateral.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Valuation 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value</w:t>
            </w:r>
          </w:p>
        </w:tc>
        <w:tc>
          <w:tcPr>
            <w:tcW w:type="dxa" w:w="4320"/>
          </w:tcPr>
          <w:p>
            <w:r>
              <w:t>USD 70,000</w:t>
            </w:r>
          </w:p>
        </w:tc>
      </w:tr>
      <w:tr>
        <w:tc>
          <w:tcPr>
            <w:tcW w:type="dxa" w:w="4320"/>
          </w:tcPr>
          <w:p>
            <w:r>
              <w:t>Forced sale discount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Estimated realizable value</w:t>
            </w:r>
          </w:p>
        </w:tc>
        <w:tc>
          <w:tcPr>
            <w:tcW w:type="dxa" w:w="4320"/>
          </w:tcPr>
          <w:p>
            <w:r>
              <w:t>USD 56,000</w:t>
            </w:r>
          </w:p>
        </w:tc>
      </w:tr>
      <w:tr>
        <w:tc>
          <w:tcPr>
            <w:tcW w:type="dxa" w:w="4320"/>
          </w:tcPr>
          <w:p>
            <w:r>
              <w:t>Loan-to-value</w:t>
            </w:r>
          </w:p>
        </w:tc>
        <w:tc>
          <w:tcPr>
            <w:tcW w:type="dxa" w:w="4320"/>
          </w:tcPr>
          <w:p>
            <w:r>
              <w:t>64.3%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