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CUST-012</w:t>
      </w:r>
    </w:p>
    <w:p>
      <w:r>
        <w:t>Collateral Type: Second residential property</w:t>
      </w:r>
    </w:p>
    <w:p>
      <w:r>
        <w:t>Estimated Market Value: USD 250,000</w:t>
      </w:r>
    </w:p>
    <w:p>
      <w:r>
        <w:t>Requested Loan Amount: USD 220,000</w:t>
      </w:r>
    </w:p>
    <w:p>
      <w:r>
        <w:t>Calculated LTV: 88.0%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250,000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200,000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88.0%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